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-597535</wp:posOffset>
            </wp:positionV>
            <wp:extent cx="8255" cy="5981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8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3982720</wp:posOffset>
            </wp:positionH>
            <wp:positionV relativeFrom="paragraph">
              <wp:posOffset>-605790</wp:posOffset>
            </wp:positionV>
            <wp:extent cx="825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4006850</wp:posOffset>
            </wp:positionH>
            <wp:positionV relativeFrom="paragraph">
              <wp:posOffset>-581660</wp:posOffset>
            </wp:positionV>
            <wp:extent cx="1269365" cy="558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58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-1636395</wp:posOffset>
            </wp:positionH>
            <wp:positionV relativeFrom="paragraph">
              <wp:posOffset>34290</wp:posOffset>
            </wp:positionV>
            <wp:extent cx="6969760" cy="15925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59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Ralston Dianne B.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60" w:firstLine="4"/>
        <w:spacing w:after="0" w:line="25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3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-2487295</wp:posOffset>
            </wp:positionH>
            <wp:positionV relativeFrom="paragraph">
              <wp:posOffset>147955</wp:posOffset>
            </wp:positionV>
            <wp:extent cx="6969760" cy="8648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20942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2094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35560</wp:posOffset>
            </wp:positionV>
            <wp:extent cx="7018655" cy="10509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1050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103,810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12/01/2020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103,810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103,810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award represents the right to receive, at settlement, one (1) share of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8"/>
              </w:rPr>
              <w:t>2. The restricted stock unit award was granted December 1, 2020 and vests in three equal annual installments beginning on December 1, 2021.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Saul R. Laureles, Attorney-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-1504315</wp:posOffset>
            </wp:positionV>
            <wp:extent cx="7018655" cy="7035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703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14246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2020-12-03T19:55:15Z</dcterms:created>
  <dcterms:modified xsi:type="dcterms:W3CDTF">2020-12-03T19:55:15Z</dcterms:modified>
</cp:coreProperties>
</file>