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October 21,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20" w:right="400" w:hanging="419"/>
        <w:spacing w:after="0" w:line="277" w:lineRule="auto"/>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40" w:firstLine="440"/>
        <w:spacing w:after="0" w:line="301"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September 30, 2020, which was filed with the U.S. Securities and Exchange Commission on October 21, 2020. Such disclosure appears on page 34 of the Quarterly Report on Form 10-Q and is incorporated by reference herein.</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2020-10-21T13:02:24Z</dcterms:created>
  <dcterms:modified xsi:type="dcterms:W3CDTF">2020-10-21T13:02:24Z</dcterms:modified>
</cp:coreProperties>
</file>