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300"/>
        <w:spacing w:after="0"/>
        <w:rPr>
          <w:sz w:val="20"/>
          <w:szCs w:val="20"/>
          <w:color w:val="auto"/>
        </w:rPr>
      </w:pPr>
      <w:r>
        <w:rPr>
          <w:rFonts w:ascii="Arial" w:cs="Arial" w:eastAsia="Arial" w:hAnsi="Arial"/>
          <w:sz w:val="15"/>
          <w:szCs w:val="15"/>
          <w:b w:val="1"/>
          <w:bCs w:val="1"/>
          <w:color w:val="auto"/>
        </w:rPr>
        <w:t>June 30, 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3"/>
              </w:rPr>
              <w:t>5599 SAN FELIPE, 17</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860" w:val="left"/>
          <w:tab w:leader="none" w:pos="5380" w:val="left"/>
          <w:tab w:leader="none" w:pos="92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jc w:val="center"/>
              <w:ind w:right="622"/>
              <w:spacing w:after="0"/>
              <w:rPr>
                <w:sz w:val="20"/>
                <w:szCs w:val="20"/>
                <w:color w:val="auto"/>
              </w:rPr>
            </w:pPr>
            <w:r>
              <w:rPr>
                <w:rFonts w:ascii="Arial" w:cs="Arial" w:eastAsia="Arial" w:hAnsi="Arial"/>
                <w:sz w:val="14"/>
                <w:szCs w:val="14"/>
                <w:b w:val="1"/>
                <w:bCs w:val="1"/>
                <w:color w:val="auto"/>
                <w:w w:val="80"/>
              </w:rPr>
              <w:t>Class</w:t>
            </w:r>
          </w:p>
        </w:tc>
        <w:tc>
          <w:tcPr>
            <w:tcW w:w="5100" w:type="dxa"/>
            <w:vAlign w:val="bottom"/>
          </w:tcPr>
          <w:p>
            <w:pPr>
              <w:jc w:val="center"/>
              <w:ind w:right="182"/>
              <w:spacing w:after="0"/>
              <w:rPr>
                <w:sz w:val="20"/>
                <w:szCs w:val="20"/>
                <w:color w:val="auto"/>
              </w:rPr>
            </w:pPr>
            <w:r>
              <w:rPr>
                <w:rFonts w:ascii="Arial" w:cs="Arial" w:eastAsia="Arial" w:hAnsi="Arial"/>
                <w:sz w:val="14"/>
                <w:szCs w:val="14"/>
                <w:b w:val="1"/>
                <w:bCs w:val="1"/>
                <w:color w:val="auto"/>
                <w:w w:val="86"/>
              </w:rPr>
              <w:t>Outstanding at June 30, 2008</w:t>
            </w:r>
          </w:p>
        </w:tc>
      </w:tr>
      <w:tr>
        <w:trPr>
          <w:trHeight w:val="222"/>
        </w:trPr>
        <w:tc>
          <w:tcPr>
            <w:tcW w:w="6320" w:type="dxa"/>
            <w:vAlign w:val="bottom"/>
          </w:tcPr>
          <w:p>
            <w:pPr>
              <w:jc w:val="center"/>
              <w:ind w:right="602"/>
              <w:spacing w:after="0"/>
              <w:rPr>
                <w:sz w:val="20"/>
                <w:szCs w:val="20"/>
                <w:color w:val="auto"/>
              </w:rPr>
            </w:pPr>
            <w:r>
              <w:rPr>
                <w:rFonts w:ascii="Arial" w:cs="Arial" w:eastAsia="Arial" w:hAnsi="Arial"/>
                <w:sz w:val="18"/>
                <w:szCs w:val="18"/>
                <w:color w:val="auto"/>
                <w:w w:val="92"/>
              </w:rPr>
              <w:t>COMMON STOCK, $0.01 PAR VALUE PER SHARE</w:t>
            </w:r>
          </w:p>
        </w:tc>
        <w:tc>
          <w:tcPr>
            <w:tcW w:w="5100" w:type="dxa"/>
            <w:vAlign w:val="bottom"/>
          </w:tcPr>
          <w:p>
            <w:pPr>
              <w:jc w:val="right"/>
              <w:ind w:right="2102"/>
              <w:spacing w:after="0"/>
              <w:rPr>
                <w:sz w:val="20"/>
                <w:szCs w:val="20"/>
                <w:color w:val="auto"/>
              </w:rPr>
            </w:pPr>
            <w:r>
              <w:rPr>
                <w:rFonts w:ascii="Arial" w:cs="Arial" w:eastAsia="Arial" w:hAnsi="Arial"/>
                <w:sz w:val="18"/>
                <w:szCs w:val="18"/>
                <w:color w:val="auto"/>
              </w:rPr>
              <w:t>1,199,597,272</w:t>
            </w:r>
          </w:p>
        </w:tc>
      </w:tr>
      <w:tr>
        <w:trPr>
          <w:trHeight w:val="205"/>
        </w:trPr>
        <w:tc>
          <w:tcPr>
            <w:tcW w:w="63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2008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7"/>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7"/>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91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8"/>
                <w:szCs w:val="18"/>
                <w:color w:val="auto"/>
              </w:rPr>
            </w:pPr>
          </w:p>
        </w:tc>
        <w:tc>
          <w:tcPr>
            <w:tcW w:w="636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Certifications</w:t>
              </w:r>
            </w:hyperlink>
          </w:p>
        </w:tc>
        <w:tc>
          <w:tcPr>
            <w:tcW w:w="906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630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60" w:type="dxa"/>
            <w:vAlign w:val="bottom"/>
            <w:gridSpan w:val="5"/>
          </w:tcPr>
          <w:p>
            <w:pPr>
              <w:jc w:val="center"/>
              <w:ind w:left="2772"/>
              <w:spacing w:after="0"/>
              <w:rPr>
                <w:sz w:val="20"/>
                <w:szCs w:val="20"/>
                <w:color w:val="auto"/>
              </w:rPr>
            </w:pPr>
            <w:r>
              <w:rPr>
                <w:rFonts w:ascii="Arial" w:cs="Arial" w:eastAsia="Arial" w:hAnsi="Arial"/>
                <w:sz w:val="18"/>
                <w:szCs w:val="18"/>
                <w:b w:val="1"/>
                <w:bCs w:val="1"/>
                <w:color w:val="auto"/>
                <w:w w:val="99"/>
              </w:rPr>
              <w:t>PART I. FINANCIAL INFORMATION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00" w:type="dxa"/>
            <w:vAlign w:val="bottom"/>
            <w:gridSpan w:val="7"/>
          </w:tcPr>
          <w:p>
            <w:pPr>
              <w:jc w:val="center"/>
              <w:ind w:left="245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60" w:type="dxa"/>
            <w:vAlign w:val="bottom"/>
            <w:gridSpan w:val="5"/>
          </w:tcPr>
          <w:p>
            <w:pPr>
              <w:jc w:val="center"/>
              <w:ind w:left="2792"/>
              <w:spacing w:after="0"/>
              <w:rPr>
                <w:sz w:val="20"/>
                <w:szCs w:val="20"/>
                <w:color w:val="auto"/>
              </w:rPr>
            </w:pPr>
            <w:r>
              <w:rPr>
                <w:rFonts w:ascii="Arial" w:cs="Arial" w:eastAsia="Arial" w:hAnsi="Arial"/>
                <w:sz w:val="18"/>
                <w:szCs w:val="18"/>
                <w:b w:val="1"/>
                <w:bCs w:val="1"/>
                <w:color w:val="auto"/>
                <w:w w:val="98"/>
              </w:rPr>
              <w:t>CONSOLIDATED STATEMENT OF INCOME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500"/>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7"/>
              </w:rPr>
              <w:t>(Stated in thousands</w:t>
            </w:r>
          </w:p>
        </w:tc>
        <w:tc>
          <w:tcPr>
            <w:tcW w:w="174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w w:val="92"/>
              </w:rPr>
              <w:t>except per share amounts)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6,746,148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5,638,762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13,036,021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11,103,167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97,484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199,227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4,608,879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3,736,871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8,967,174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7,359,215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197,374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174,679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388,405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25,871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19,998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48,839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146,130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119,066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284,462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61,354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66,270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127,395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from Continuing Operations before taxes and minority interest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1,803,537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1,619,362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3,418,973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3,173,868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377,731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360,883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686,318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1,425,806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1,258,479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2,732,655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(12,206)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1,419,995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1,258,479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2,720,449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1,419,995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1,258,479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2,758,299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Average shares outstanding:</w:t>
            </w: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1,195,162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1,184,243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1,195,578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1,230,229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1,240,911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1,231,009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4"/>
              </w:rPr>
              <w:t>Jun. 30, 2008</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185,724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2,714,169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2,971,800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6,211,511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(2008—$88,284; 2007—$85,780)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1,800,479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180,592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804,823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11,897,298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11,055,383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448,687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1,589,764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LESS ACCUMULATED 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8,826,709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8,007,991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270,047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5,340,115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5,142,083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903,083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232,274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486,962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29,994,939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4,768,554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961,270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253,522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Long-term debt—current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602,883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Bank &amp; short-term loans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645,216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7,231,445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360,730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3,757,749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837,466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769,880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12,957,270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12,915,603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61,253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61,881</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4,505,098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retained for use in the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17,716,804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15,461,767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(4,197,928)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(3,549,243)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(1,047,558)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16,976,416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14,875,888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29,994,939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27,853,372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380" w:type="dxa"/>
            <w:vAlign w:val="bottom"/>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2,758,299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2,439,306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(37,850)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1,072,541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(118,971)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(4,334)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82,332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22"/>
                <w:szCs w:val="22"/>
                <w:color w:val="auto"/>
                <w:vertAlign w:val="superscript"/>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(767,573)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(159,240)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(149,997)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accounts payable and accrued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181,477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estimated liability for taxes on income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(110,857)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(Decrease) increase in postretirement benefits</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(2,665)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(22,827)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2,729,313</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2,486,541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w w:val="89"/>
              </w:rPr>
              <w:t>(1,644,963)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(1,294,521)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(187,632)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Business acquisitions and investments</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(182,380)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(purchases) of investments,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262,856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(104,846)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89"/>
              </w:rPr>
              <w:t>(1,856,965)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(1,756,525)</w:t>
            </w:r>
          </w:p>
        </w:tc>
        <w:tc>
          <w:tcPr>
            <w:tcW w:w="0" w:type="dxa"/>
            <w:vAlign w:val="bottom"/>
          </w:tcPr>
          <w:p>
            <w:pPr>
              <w:spacing w:after="0"/>
              <w:rPr>
                <w:sz w:val="1"/>
                <w:szCs w:val="1"/>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(460,335)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95,782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138,489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Stock option tax benefits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131,628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plan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89"/>
              </w:rPr>
              <w:t>(1,119,316)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524,308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(223,913)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decrease in short-term debt</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(34,543)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(76,970)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(947,900)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(749,629)</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Cash flow from discontinued operations—operating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63,382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(12,170)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197,233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185,724</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Accumulated 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7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w w:val="84"/>
              </w:rPr>
              <w:t>Comprehensive Income (Loss)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Retained</w:t>
            </w:r>
          </w:p>
        </w:tc>
        <w:tc>
          <w:tcPr>
            <w:tcW w:w="1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Marked to</w:t>
            </w:r>
          </w:p>
        </w:tc>
        <w:tc>
          <w:tcPr>
            <w:tcW w:w="220" w:type="dxa"/>
            <w:vAlign w:val="bottom"/>
          </w:tcPr>
          <w:p>
            <w:pPr>
              <w:spacing w:after="0"/>
              <w:rPr>
                <w:sz w:val="12"/>
                <w:szCs w:val="12"/>
                <w:color w:val="auto"/>
              </w:rPr>
            </w:pPr>
          </w:p>
        </w:tc>
        <w:tc>
          <w:tcPr>
            <w:tcW w:w="13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7"/>
              </w:rPr>
              <w:t>Deferred Employee</w:t>
            </w:r>
          </w:p>
        </w:tc>
        <w:tc>
          <w:tcPr>
            <w:tcW w:w="10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0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Comprehensive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Issued</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Treasury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Benefits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4"/>
              </w:rPr>
              <w:t>Income (Loss)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(Stated in</w:t>
            </w:r>
          </w:p>
        </w:tc>
        <w:tc>
          <w:tcPr>
            <w:tcW w:w="1400" w:type="dxa"/>
            <w:vAlign w:val="bottom"/>
            <w:gridSpan w:val="3"/>
          </w:tcPr>
          <w:p>
            <w:pPr>
              <w:jc w:val="right"/>
              <w:ind w:right="652"/>
              <w:spacing w:after="0" w:line="142" w:lineRule="exact"/>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$ 4,136,363</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(3,549,243)</w:t>
            </w:r>
          </w:p>
        </w:tc>
        <w:tc>
          <w:tcPr>
            <w:tcW w:w="9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$ 15,461,767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(383,741)</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(820,885)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2,758,299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2,758,299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Translation adjustment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94,258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net of tax</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(6,231)</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 net of tax</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13,895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Dividends declared ($0.42 per share)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(503,262)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(1,119,316)</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52,441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25,091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116,162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453</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79,207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328,925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benefits on stock options</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131,628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color w:val="auto"/>
              </w:rPr>
              <w:t>Balance, June 30, 2008</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3"/>
              </w:rPr>
              <w:t>$ 4,505,098</w:t>
            </w:r>
          </w:p>
        </w:tc>
        <w:tc>
          <w:tcPr>
            <w:tcW w:w="1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(4,197,928)</w:t>
            </w:r>
          </w:p>
        </w:tc>
        <w:tc>
          <w:tcPr>
            <w:tcW w:w="9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w w:val="97"/>
              </w:rPr>
              <w:t>$ 17,716,804</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38,235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(359,166)</w:t>
            </w:r>
          </w:p>
        </w:tc>
        <w:tc>
          <w:tcPr>
            <w:tcW w:w="2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(726,627)</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2,883,740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1,334,212,164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(138,595,840)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1,195,616,324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979,448</w:t>
            </w:r>
          </w:p>
        </w:tc>
        <w:tc>
          <w:tcPr>
            <w:tcW w:w="1320" w:type="dxa"/>
            <w:vAlign w:val="bottom"/>
          </w:tcPr>
          <w:p>
            <w:pPr>
              <w:jc w:val="right"/>
              <w:spacing w:after="0"/>
              <w:rPr>
                <w:sz w:val="20"/>
                <w:szCs w:val="20"/>
                <w:color w:val="auto"/>
              </w:rPr>
            </w:pPr>
            <w:r>
              <w:rPr>
                <w:rFonts w:ascii="Arial" w:cs="Arial" w:eastAsia="Arial" w:hAnsi="Arial"/>
                <w:sz w:val="18"/>
                <w:szCs w:val="18"/>
                <w:color w:val="auto"/>
              </w:rPr>
              <w:t>979,448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(12,399,962)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4,246,520</w:t>
            </w:r>
          </w:p>
        </w:tc>
        <w:tc>
          <w:tcPr>
            <w:tcW w:w="1320" w:type="dxa"/>
            <w:vAlign w:val="bottom"/>
          </w:tcPr>
          <w:p>
            <w:pPr>
              <w:jc w:val="right"/>
              <w:spacing w:after="0"/>
              <w:rPr>
                <w:sz w:val="20"/>
                <w:szCs w:val="20"/>
                <w:color w:val="auto"/>
              </w:rPr>
            </w:pPr>
            <w:r>
              <w:rPr>
                <w:rFonts w:ascii="Arial" w:cs="Arial" w:eastAsia="Arial" w:hAnsi="Arial"/>
                <w:sz w:val="18"/>
                <w:szCs w:val="18"/>
                <w:color w:val="auto"/>
              </w:rPr>
              <w:t>4,246,520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11,138,942</w:t>
            </w:r>
          </w:p>
        </w:tc>
        <w:tc>
          <w:tcPr>
            <w:tcW w:w="1320" w:type="dxa"/>
            <w:vAlign w:val="bottom"/>
          </w:tcPr>
          <w:p>
            <w:pPr>
              <w:jc w:val="right"/>
              <w:spacing w:after="0"/>
              <w:rPr>
                <w:sz w:val="20"/>
                <w:szCs w:val="20"/>
                <w:color w:val="auto"/>
              </w:rPr>
            </w:pPr>
            <w:r>
              <w:rPr>
                <w:rFonts w:ascii="Arial" w:cs="Arial" w:eastAsia="Arial" w:hAnsi="Arial"/>
                <w:sz w:val="18"/>
                <w:szCs w:val="18"/>
                <w:color w:val="auto"/>
              </w:rPr>
              <w:t>11,138,942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(134,614,892)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1,199,597,272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six-month period ended June 30, 2008 are not necessarily indicative of the results that may be expected for the full year ending December 31, 2008. The December 31, 2007 balance sheet information has been derived from the audited 2007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2007, filed with the Securities and Exchange Commission on February 13,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In December 2007, the Financial Accounting Standards Board (“FASB”) issued SFAS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an acquirer in a business combination recognizes and measures the assets acquired, liabilities assumed, and any noncontrolling interest (previously referred to as minority interest) in the acquiree. The provisions of SFAS 141(R) are effective for business combinations occurring on or after January 1, 2009.</w:t>
      </w:r>
    </w:p>
    <w:p>
      <w:pPr>
        <w:spacing w:after="0" w:line="14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In December 2007, the FASB issued SFAS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(“SFAS 160”)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amends ARB 51 to establish accounting and reporting standards for the noncontrolling interest in a subsidiary and for the loss of control of a subsidiary. Upon its adoption on January 1, 2009, noncontrolling interests will be classified as equity in the Schlumberger financial statements.</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SFAS 160 also changes the way the consolidated income statement is presented by requiring net income to include the net income for both the parent and the noncontrolling interest, with disclosure of both amounts on the consolidated statement of income. The calculation of earnings per share will continue to be based on income amounts attributable to the parent. The provisions of this standard must be applied retrospectively upon adoption.</w:t>
      </w:r>
    </w:p>
    <w:p>
      <w:pPr>
        <w:spacing w:after="0" w:line="22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from continuing operations to diluted earnings per share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82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8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Operations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vMerge w:val="continue"/>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1,419,995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1,195,162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1,258,479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1,184,243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3,436</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15,804</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6,568</w:t>
            </w: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34,440</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1,423,431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1,230,229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1,265,047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1,240,911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9"/>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8"/>
              </w:rPr>
              <w:t>Income from</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Income from</w:t>
            </w:r>
          </w:p>
        </w:tc>
        <w:tc>
          <w:tcPr>
            <w:tcW w:w="82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Continuing</w:t>
            </w:r>
          </w:p>
        </w:tc>
        <w:tc>
          <w:tcPr>
            <w:tcW w:w="8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Operations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vMerge w:val="continue"/>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thousands</w:t>
            </w:r>
          </w:p>
        </w:tc>
        <w:tc>
          <w:tcPr>
            <w:tcW w:w="1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2,720,449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1,195,578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2,439,306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1,181,348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7,446</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17,497</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13,765</w:t>
            </w: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35,437</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2,727,895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1,231,009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2,453,071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1,237,814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first six months of 2008, the $353 million outstanding 1.5% Series A Convertible Debentures due June 1, 2023 and $55 million of the 2.125% Series B Convertible Debentures due June 1, 2023 were converted into 11.1 million shares of Schlumberger common stock.</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68" w:lineRule="exact"/>
        <w:rPr>
          <w:sz w:val="20"/>
          <w:szCs w:val="20"/>
          <w:color w:val="auto"/>
        </w:rPr>
      </w:pPr>
    </w:p>
    <w:p>
      <w:pPr>
        <w:ind w:left="9480"/>
        <w:spacing w:after="0"/>
        <w:tabs>
          <w:tab w:leader="none" w:pos="105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0</wp:posOffset>
            </wp:positionV>
            <wp:extent cx="308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0</wp:posOffset>
            </wp:positionV>
            <wp:extent cx="317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9620"/>
        <w:spacing w:after="0"/>
        <w:rPr>
          <w:sz w:val="20"/>
          <w:szCs w:val="20"/>
          <w:color w:val="auto"/>
        </w:rPr>
      </w:pPr>
      <w:r>
        <w:rPr>
          <w:rFonts w:ascii="Arial" w:cs="Arial" w:eastAsia="Arial" w:hAnsi="Arial"/>
          <w:sz w:val="14"/>
          <w:szCs w:val="14"/>
          <w:b w:val="1"/>
          <w:bCs w:val="1"/>
          <w:color w:val="auto"/>
        </w:rPr>
        <w:t>(Stated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70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Six months</w:t>
            </w:r>
          </w:p>
        </w:tc>
        <w:tc>
          <w:tcPr>
            <w:tcW w:w="4700" w:type="dxa"/>
            <w:vAlign w:val="bottom"/>
          </w:tcPr>
          <w:p>
            <w:pPr>
              <w:jc w:val="right"/>
              <w:ind w:right="332"/>
              <w:spacing w:after="0"/>
              <w:rPr>
                <w:sz w:val="20"/>
                <w:szCs w:val="20"/>
                <w:color w:val="auto"/>
              </w:rPr>
            </w:pPr>
            <w:r>
              <w:rPr>
                <w:rFonts w:ascii="Arial" w:cs="Arial" w:eastAsia="Arial" w:hAnsi="Arial"/>
                <w:sz w:val="18"/>
                <w:szCs w:val="18"/>
                <w:b w:val="1"/>
                <w:bCs w:val="1"/>
                <w:color w:val="auto"/>
              </w:rPr>
              <w:t>0.7</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first six months of 2008, Schlumberger made certain acquisitions and minority interest investments, none of which were significant on an individual basis, for an aggregate amount of $182 million.</w:t>
      </w:r>
    </w:p>
    <w:p>
      <w:pPr>
        <w:spacing w:after="0" w:line="24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86"/>
              </w:rPr>
              <w:t>Jun. 30</w:t>
            </w:r>
          </w:p>
        </w:tc>
        <w:tc>
          <w:tcPr>
            <w:tcW w:w="1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280" w:type="dxa"/>
            <w:vAlign w:val="bottom"/>
            <w:gridSpan w:val="2"/>
          </w:tcPr>
          <w:p>
            <w:pPr>
              <w:spacing w:after="0"/>
              <w:rPr>
                <w:sz w:val="14"/>
                <w:szCs w:val="14"/>
                <w:color w:val="auto"/>
              </w:rPr>
            </w:pPr>
          </w:p>
        </w:tc>
        <w:tc>
          <w:tcPr>
            <w:tcW w:w="42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60" w:type="dxa"/>
            <w:vAlign w:val="bottom"/>
            <w:gridSpan w:val="3"/>
          </w:tcPr>
          <w:p>
            <w:pPr>
              <w:jc w:val="right"/>
              <w:ind w:right="10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612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$ 1,496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Work in process</w:t>
            </w:r>
          </w:p>
        </w:tc>
        <w:tc>
          <w:tcPr>
            <w:tcW w:w="6120" w:type="dxa"/>
            <w:vAlign w:val="bottom"/>
            <w:gridSpan w:val="5"/>
          </w:tcPr>
          <w:p>
            <w:pPr>
              <w:jc w:val="right"/>
              <w:ind w:right="252"/>
              <w:spacing w:after="0"/>
              <w:rPr>
                <w:sz w:val="20"/>
                <w:szCs w:val="20"/>
                <w:color w:val="auto"/>
              </w:rPr>
            </w:pPr>
            <w:r>
              <w:rPr>
                <w:rFonts w:ascii="Arial" w:cs="Arial" w:eastAsia="Arial" w:hAnsi="Arial"/>
                <w:sz w:val="18"/>
                <w:szCs w:val="18"/>
                <w:b w:val="1"/>
                <w:bCs w:val="1"/>
                <w:color w:val="auto"/>
              </w:rPr>
              <w:t>144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$ 1,800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39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Jun. 30</w:t>
            </w: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6"/>
              <w:spacing w:after="0" w:line="142" w:lineRule="exact"/>
              <w:rPr>
                <w:sz w:val="20"/>
                <w:szCs w:val="20"/>
                <w:color w:val="auto"/>
              </w:rPr>
            </w:pPr>
            <w:r>
              <w:rPr>
                <w:rFonts w:ascii="Arial" w:cs="Arial" w:eastAsia="Arial" w:hAnsi="Arial"/>
                <w:sz w:val="14"/>
                <w:szCs w:val="14"/>
                <w:b w:val="1"/>
                <w:bCs w:val="1"/>
                <w:color w:val="auto"/>
                <w:w w:val="71"/>
              </w:rPr>
              <w:t>(Stated</w:t>
            </w:r>
          </w:p>
        </w:tc>
        <w:tc>
          <w:tcPr>
            <w:tcW w:w="1060" w:type="dxa"/>
            <w:vAlign w:val="bottom"/>
            <w:gridSpan w:val="4"/>
          </w:tcPr>
          <w:p>
            <w:pPr>
              <w:jc w:val="right"/>
              <w:ind w:right="22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$ 18,758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0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8,827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80" w:type="dxa"/>
            <w:vAlign w:val="bottom"/>
            <w:vMerge w:val="restart"/>
          </w:tcPr>
          <w:p>
            <w:pPr>
              <w:jc w:val="right"/>
              <w:ind w:right="3432"/>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relating to fixed assets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Borders>
              <w:bottom w:val="single" w:sz="8" w:color="auto"/>
            </w:tcBorders>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rPr>
              <w:t>(Stated in millions)</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Six Months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713</w:t>
            </w:r>
          </w:p>
        </w:tc>
      </w:tr>
      <w:tr>
        <w:trPr>
          <w:trHeight w:val="485"/>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6960" w:type="dxa"/>
            <w:vAlign w:val="bottom"/>
            <w:gridSpan w:val="2"/>
          </w:tcPr>
          <w:p>
            <w:pPr>
              <w:ind w:left="160"/>
              <w:spacing w:after="0"/>
              <w:rPr>
                <w:sz w:val="20"/>
                <w:szCs w:val="20"/>
                <w:color w:val="auto"/>
              </w:rPr>
            </w:pPr>
            <w:r>
              <w:rPr>
                <w:rFonts w:ascii="Arial" w:cs="Arial" w:eastAsia="Arial" w:hAnsi="Arial"/>
                <w:sz w:val="18"/>
                <w:szCs w:val="18"/>
                <w:b w:val="1"/>
                <w:bCs w:val="1"/>
                <w:color w:val="auto"/>
              </w:rPr>
              <w:t>Multiclient Seismic Data</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726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(Stated in millions)</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Capitalized in period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r>
      <w:tr>
        <w:trPr>
          <w:trHeight w:val="222"/>
        </w:trPr>
        <w:tc>
          <w:tcPr>
            <w:tcW w:w="300" w:type="dxa"/>
            <w:vAlign w:val="bottom"/>
          </w:tcPr>
          <w:p>
            <w:pPr>
              <w:spacing w:after="0"/>
              <w:rPr>
                <w:sz w:val="19"/>
                <w:szCs w:val="19"/>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Balance at June 30, 2008</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six months ended June 30, 2008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6"/>
              </w:rPr>
              <w:t>Oilfield</w:t>
            </w:r>
          </w:p>
        </w:tc>
        <w:tc>
          <w:tcPr>
            <w:tcW w:w="420" w:type="dxa"/>
            <w:vAlign w:val="bottom"/>
          </w:tcPr>
          <w:p>
            <w:pPr>
              <w:spacing w:after="0"/>
              <w:rPr>
                <w:sz w:val="14"/>
                <w:szCs w:val="14"/>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Western</w:t>
            </w:r>
          </w:p>
        </w:tc>
        <w:tc>
          <w:tcPr>
            <w:tcW w:w="540" w:type="dxa"/>
            <w:vAlign w:val="bottom"/>
          </w:tcPr>
          <w:p>
            <w:pPr>
              <w:spacing w:after="0"/>
              <w:rPr>
                <w:sz w:val="14"/>
                <w:szCs w:val="14"/>
                <w:color w:val="auto"/>
              </w:rPr>
            </w:pPr>
          </w:p>
        </w:tc>
      </w:tr>
      <w:tr>
        <w:trPr>
          <w:trHeight w:val="161"/>
        </w:trPr>
        <w:tc>
          <w:tcPr>
            <w:tcW w:w="80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Services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79"/>
              </w:rPr>
              <w:t>Geco</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r>
      <w:tr>
        <w:trPr>
          <w:trHeight w:val="142"/>
        </w:trPr>
        <w:tc>
          <w:tcPr>
            <w:tcW w:w="8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4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$ 4,185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$ 5,142</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Additions</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Balance at June 30, 2008</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$ 4,325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1,015</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$ 5,340</w:t>
            </w:r>
          </w:p>
        </w:tc>
      </w:tr>
      <w:tr>
        <w:trPr>
          <w:trHeight w:val="20"/>
        </w:trPr>
        <w:tc>
          <w:tcPr>
            <w:tcW w:w="8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Jun. 30, 2008</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Dec. 31, 2007</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351</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Technology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98</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4"/>
              </w:rPr>
              <w:t>1,314</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1,260</w:t>
            </w: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charged to income was as follows:</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7"/>
          </w:tcPr>
          <w:p>
            <w:pPr>
              <w:ind w:left="8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Six Months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3"/>
          </w:tcPr>
          <w:p>
            <w:pPr>
              <w:ind w:left="4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Based on the net book value of intangible assets at June 30, 2008, amortization charged to income for the subsequent five years is estimated to be: remainder of 2008–$65 million; 2009–$104 million; 2010–$95 million; 2011–$88 million; 2012–$78 million and 2013–$64 million.</w:t>
      </w:r>
    </w:p>
    <w:p>
      <w:pPr>
        <w:spacing w:after="0" w:line="20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120" w:type="dxa"/>
            <w:vAlign w:val="bottom"/>
            <w:tcBorders>
              <w:top w:val="single" w:sz="8" w:color="auto"/>
            </w:tcBorders>
            <w:gridSpan w:val="3"/>
          </w:tcPr>
          <w:p>
            <w:pPr>
              <w:ind w:left="78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78"/>
              </w:rPr>
              <w:t>(Stated</w:t>
            </w:r>
          </w:p>
        </w:tc>
        <w:tc>
          <w:tcPr>
            <w:tcW w:w="7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78"/>
              </w:rPr>
              <w:t>in millions)</w:t>
            </w:r>
          </w:p>
        </w:tc>
        <w:tc>
          <w:tcPr>
            <w:tcW w:w="2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8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88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92"/>
              <w:spacing w:after="0"/>
              <w:rPr>
                <w:sz w:val="20"/>
                <w:szCs w:val="20"/>
                <w:color w:val="auto"/>
              </w:rPr>
            </w:pPr>
            <w:r>
              <w:rPr>
                <w:rFonts w:ascii="Arial" w:cs="Arial" w:eastAsia="Arial" w:hAnsi="Arial"/>
                <w:sz w:val="18"/>
                <w:szCs w:val="18"/>
                <w:color w:val="auto"/>
              </w:rPr>
              <w:t>34</w:t>
            </w:r>
          </w:p>
        </w:tc>
        <w:tc>
          <w:tcPr>
            <w:tcW w:w="34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82</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14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(Stated</w:t>
            </w:r>
          </w:p>
        </w:tc>
        <w:tc>
          <w:tcPr>
            <w:tcW w:w="9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474</w:t>
            </w:r>
          </w:p>
        </w:tc>
        <w:tc>
          <w:tcPr>
            <w:tcW w:w="1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734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2,685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1,619</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$ 3,419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Jun. 30</w:t>
            </w: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$ 413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$ 397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deferred tax assets at June 30, 2008 and December 31, 2007 are net of valuation allowances relating to net operating losses in certain countries of $212 million and $214 million, respectively. The deferred tax assets presented above are also net of valuation allowances relating to a capital loss carryforward of $146 million at June 30, 2008 ($144 million at December 31, 2007) which expires in 2009 and 2010, and a foreign tax credit carryforward of $55 million, at both June 30, 2008 and December 31, 2007, which expires in 2009 through 2012.</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3"/>
              </w:rPr>
              <w:t>Second Quarter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8"/>
          </w:tcPr>
          <w:p>
            <w:pPr>
              <w:jc w:val="right"/>
              <w:ind w:right="640"/>
              <w:spacing w:after="0" w:line="142" w:lineRule="exact"/>
              <w:rPr>
                <w:sz w:val="20"/>
                <w:szCs w:val="20"/>
                <w:color w:val="auto"/>
              </w:rPr>
            </w:pPr>
            <w:r>
              <w:rPr>
                <w:rFonts w:ascii="Arial" w:cs="Arial" w:eastAsia="Arial" w:hAnsi="Arial"/>
                <w:sz w:val="14"/>
                <w:szCs w:val="14"/>
                <w:b w:val="1"/>
                <w:bCs w:val="1"/>
                <w:color w:val="auto"/>
                <w:w w:val="86"/>
              </w:rPr>
              <w:t>(Stated in millions)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132</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138</w:t>
            </w:r>
          </w:p>
        </w:tc>
        <w:tc>
          <w:tcPr>
            <w:tcW w:w="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215</w:t>
            </w:r>
          </w:p>
        </w:tc>
        <w:tc>
          <w:tcPr>
            <w:tcW w:w="5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265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206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462</w:t>
            </w:r>
          </w:p>
        </w:tc>
        <w:tc>
          <w:tcPr>
            <w:tcW w:w="5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409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355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690</w:t>
            </w:r>
          </w:p>
        </w:tc>
        <w:tc>
          <w:tcPr>
            <w:tcW w:w="5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5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5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3"/>
              </w:rPr>
              <w:t>(10)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(31)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(24)</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460"/>
              <w:spacing w:after="0"/>
              <w:rPr>
                <w:sz w:val="20"/>
                <w:szCs w:val="20"/>
                <w:color w:val="auto"/>
              </w:rPr>
            </w:pPr>
            <w:r>
              <w:rPr>
                <w:rFonts w:ascii="Arial" w:cs="Arial" w:eastAsia="Arial" w:hAnsi="Arial"/>
                <w:sz w:val="18"/>
                <w:szCs w:val="18"/>
                <w:color w:val="auto"/>
              </w:rPr>
              <w:t>Consolidated taxes on income</w:t>
            </w: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378</w:t>
            </w:r>
          </w:p>
        </w:tc>
        <w:tc>
          <w:tcPr>
            <w:tcW w:w="360" w:type="dxa"/>
            <w:vAlign w:val="bottom"/>
            <w:vMerge w:val="continue"/>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361</w:t>
            </w:r>
          </w:p>
        </w:tc>
        <w:tc>
          <w:tcPr>
            <w:tcW w:w="60" w:type="dxa"/>
            <w:vAlign w:val="bottom"/>
            <w:vMerge w:val="continue"/>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686</w:t>
            </w:r>
          </w:p>
        </w:tc>
        <w:tc>
          <w:tcPr>
            <w:tcW w:w="5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40" w:type="dxa"/>
            <w:vAlign w:val="bottom"/>
            <w:gridSpan w:val="7"/>
          </w:tcPr>
          <w:p>
            <w:pPr>
              <w:jc w:val="right"/>
              <w:ind w:right="600"/>
              <w:spacing w:after="0"/>
              <w:rPr>
                <w:sz w:val="20"/>
                <w:szCs w:val="20"/>
                <w:color w:val="auto"/>
              </w:rPr>
            </w:pPr>
            <w:r>
              <w:rPr>
                <w:rFonts w:ascii="Arial" w:cs="Arial" w:eastAsia="Arial" w:hAnsi="Arial"/>
                <w:sz w:val="18"/>
                <w:szCs w:val="18"/>
                <w:color w:val="auto"/>
                <w:w w:val="89"/>
              </w:rPr>
              <w:t>A reconciliation of the US statutory federal tax rate of 35% to the consolidated effective income tax rate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32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700" w:type="dxa"/>
            <w:vAlign w:val="bottom"/>
            <w:gridSpan w:val="4"/>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4"/>
              </w:rPr>
              <w:t>35%</w:t>
            </w:r>
          </w:p>
        </w:tc>
        <w:tc>
          <w:tcPr>
            <w:tcW w:w="4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US state income taxes</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(13)</w:t>
            </w:r>
          </w:p>
        </w:tc>
        <w:tc>
          <w:tcPr>
            <w:tcW w:w="5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rPr>
              <w:t>(1)</w:t>
            </w:r>
          </w:p>
        </w:tc>
        <w:tc>
          <w:tcPr>
            <w:tcW w:w="5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5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46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700" w:type="dxa"/>
            <w:vAlign w:val="bottom"/>
            <w:gridSpan w:val="4"/>
          </w:tcPr>
          <w:p>
            <w:pPr>
              <w:jc w:val="right"/>
              <w:ind w:right="114"/>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9"/>
                <w:szCs w:val="19"/>
                <w:color w:val="auto"/>
              </w:rPr>
            </w:pPr>
          </w:p>
        </w:tc>
        <w:tc>
          <w:tcPr>
            <w:tcW w:w="540" w:type="dxa"/>
            <w:vAlign w:val="bottom"/>
            <w:gridSpan w:val="4"/>
          </w:tcPr>
          <w:p>
            <w:pPr>
              <w:ind w:left="180"/>
              <w:spacing w:after="0"/>
              <w:rPr>
                <w:sz w:val="20"/>
                <w:szCs w:val="20"/>
                <w:color w:val="auto"/>
              </w:rPr>
            </w:pPr>
            <w:r>
              <w:rPr>
                <w:rFonts w:ascii="Arial" w:cs="Arial" w:eastAsia="Arial" w:hAnsi="Arial"/>
                <w:sz w:val="18"/>
                <w:szCs w:val="18"/>
                <w:color w:val="auto"/>
                <w:w w:val="94"/>
              </w:rPr>
              <w:t>22%</w:t>
            </w:r>
          </w:p>
        </w:tc>
        <w:tc>
          <w:tcPr>
            <w:tcW w:w="480" w:type="dxa"/>
            <w:vAlign w:val="bottom"/>
          </w:tcPr>
          <w:p>
            <w:pPr>
              <w:spacing w:after="0"/>
              <w:rPr>
                <w:sz w:val="19"/>
                <w:szCs w:val="19"/>
                <w:color w:val="auto"/>
              </w:rPr>
            </w:pPr>
          </w:p>
        </w:tc>
        <w:tc>
          <w:tcPr>
            <w:tcW w:w="9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20%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4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Schlumberger and its subsidiaries are parties to various other legal proceedings from time to time. A liability is accrued when a loss is both probable and can be reasonably estimated. At this time the ultimate dispositions of these proceedings are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SECOND QUARTER 2008</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5"/>
              </w:rPr>
              <w:t xml:space="preserve">SECOND QUARTER 2007 </w:t>
            </w:r>
            <w:r>
              <w:rPr>
                <w:rFonts w:ascii="Arial" w:cs="Arial" w:eastAsia="Arial" w:hAnsi="Arial"/>
                <w:sz w:val="22"/>
                <w:szCs w:val="22"/>
                <w:b w:val="1"/>
                <w:bCs w:val="1"/>
                <w:color w:val="auto"/>
                <w:w w:val="95"/>
                <w:vertAlign w:val="superscript"/>
              </w:rPr>
              <w:t>(1)</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&amp; MI</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(Stated</w:t>
            </w:r>
          </w:p>
        </w:tc>
        <w:tc>
          <w:tcPr>
            <w:tcW w:w="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80"/>
              </w:rPr>
              <w:t>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$1,438</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$1,339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Europe/CIS/Africa</w:t>
            </w:r>
          </w:p>
        </w:tc>
        <w:tc>
          <w:tcPr>
            <w:tcW w:w="500" w:type="dxa"/>
            <w:vAlign w:val="bottom"/>
          </w:tcPr>
          <w:p>
            <w:pPr>
              <w:jc w:val="right"/>
              <w:spacing w:after="0"/>
              <w:rPr>
                <w:sz w:val="20"/>
                <w:szCs w:val="20"/>
                <w:color w:val="auto"/>
              </w:rPr>
            </w:pPr>
            <w:r>
              <w:rPr>
                <w:rFonts w:ascii="Arial" w:cs="Arial" w:eastAsia="Arial" w:hAnsi="Arial"/>
                <w:sz w:val="18"/>
                <w:szCs w:val="18"/>
                <w:color w:val="auto"/>
              </w:rPr>
              <w:t>2,070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WesternGeco</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20" w:type="dxa"/>
            <w:vAlign w:val="bottom"/>
            <w:gridSpan w:val="3"/>
            <w:vMerge w:val="continue"/>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6,746</w:t>
            </w:r>
          </w:p>
        </w:tc>
        <w:tc>
          <w:tcPr>
            <w:tcW w:w="280" w:type="dxa"/>
            <w:vAlign w:val="bottom"/>
            <w:gridSpan w:val="2"/>
          </w:tcPr>
          <w:p>
            <w:pPr>
              <w:ind w:left="20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1,453</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5,639</w:t>
            </w: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($3 million in 2008; $1 million in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($7 million in 2008; $1 million in 2007).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3"/>
              </w:rPr>
              <w:t>SIX MONTHS 2008</w:t>
            </w:r>
          </w:p>
        </w:tc>
        <w:tc>
          <w:tcPr>
            <w:tcW w:w="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 xml:space="preserve">SIX MONTHS 2007 </w:t>
            </w:r>
            <w:r>
              <w:rPr>
                <w:rFonts w:ascii="Arial" w:cs="Arial" w:eastAsia="Arial" w:hAnsi="Arial"/>
                <w:sz w:val="22"/>
                <w:szCs w:val="22"/>
                <w:b w:val="1"/>
                <w:bCs w:val="1"/>
                <w:color w:val="auto"/>
                <w:w w:val="91"/>
                <w:vertAlign w:val="superscript"/>
              </w:rPr>
              <w:t>(1)</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Minority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Tax</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&amp; MI</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&amp; MI</w:t>
            </w:r>
          </w:p>
        </w:tc>
        <w:tc>
          <w:tcPr>
            <w:tcW w:w="10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&amp; MI</w:t>
            </w: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(Stated</w:t>
            </w:r>
          </w:p>
        </w:tc>
        <w:tc>
          <w:tcPr>
            <w:tcW w:w="2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2,546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2,301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WesternGeco</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8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Elims &amp; Other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13,036</w:t>
            </w:r>
          </w:p>
        </w:tc>
        <w:tc>
          <w:tcPr>
            <w:tcW w:w="18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2,775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11,103</w:t>
            </w:r>
          </w:p>
        </w:tc>
        <w:tc>
          <w:tcPr>
            <w:tcW w:w="18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2,504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line="211"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(3)</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6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($4 million in 2008; $2 million in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($14 million in 2008; $2 million in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pension cost for the Schlumberger US plans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4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76"/>
              </w:rPr>
              <w:t>2007</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pension cost</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60" w:type="dxa"/>
            <w:vAlign w:val="bottom"/>
            <w:vMerge w:val="continue"/>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440"/>
              <w:spacing w:after="0"/>
              <w:rPr>
                <w:sz w:val="20"/>
                <w:szCs w:val="20"/>
                <w:color w:val="auto"/>
              </w:rPr>
            </w:pPr>
            <w:r>
              <w:rPr>
                <w:rFonts w:ascii="Arial" w:cs="Arial" w:eastAsia="Arial" w:hAnsi="Arial"/>
                <w:sz w:val="18"/>
                <w:szCs w:val="18"/>
                <w:color w:val="auto"/>
                <w:w w:val="95"/>
              </w:rPr>
              <w:t>Net pension cost for the Schlumberger UK plan included the following components: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4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76"/>
              </w:rPr>
              <w:t>2007</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net loss &amp; other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postretirement benefit cost for the Schlumberger US plans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Second Quarter</w:t>
            </w:r>
          </w:p>
        </w:tc>
        <w:tc>
          <w:tcPr>
            <w:tcW w:w="4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Six Months</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2007</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Net postretirement benefit cost</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60" w:type="dxa"/>
            <w:vAlign w:val="bottom"/>
            <w:vMerge w:val="continue"/>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960" w:type="dxa"/>
            <w:vAlign w:val="bottom"/>
            <w:gridSpan w:val="9"/>
          </w:tcPr>
          <w:p>
            <w:pPr>
              <w:ind w:left="20"/>
              <w:spacing w:after="0"/>
              <w:rPr>
                <w:sz w:val="20"/>
                <w:szCs w:val="20"/>
                <w:color w:val="auto"/>
              </w:rPr>
            </w:pPr>
            <w:r>
              <w:rPr>
                <w:rFonts w:ascii="Arial" w:cs="Arial" w:eastAsia="Arial" w:hAnsi="Arial"/>
                <w:sz w:val="18"/>
                <w:szCs w:val="18"/>
                <w:b w:val="1"/>
                <w:bCs w:val="1"/>
                <w:color w:val="auto"/>
                <w:w w:val="89"/>
              </w:rPr>
              <w:t>Management’s Discussion and Analysis of Financial Condition and Results of Operations.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BUSINESS REVIEW</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Second Quarter</w:t>
            </w:r>
          </w:p>
        </w:tc>
        <w:tc>
          <w:tcPr>
            <w:tcW w:w="5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w w:val="96"/>
              </w:rPr>
              <w:t xml:space="preserve">2007 </w:t>
            </w:r>
            <w:r>
              <w:rPr>
                <w:rFonts w:ascii="Arial" w:cs="Arial" w:eastAsia="Arial" w:hAnsi="Arial"/>
                <w:sz w:val="19"/>
                <w:szCs w:val="19"/>
                <w:b w:val="1"/>
                <w:bCs w:val="1"/>
                <w:color w:val="auto"/>
                <w:w w:val="96"/>
                <w:vertAlign w:val="superscript"/>
              </w:rPr>
              <w:t>(1)</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 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line="169" w:lineRule="exact"/>
              <w:rPr>
                <w:sz w:val="20"/>
                <w:szCs w:val="20"/>
                <w:color w:val="auto"/>
              </w:rPr>
            </w:pPr>
            <w:r>
              <w:rPr>
                <w:rFonts w:ascii="Arial" w:cs="Arial" w:eastAsia="Arial" w:hAnsi="Arial"/>
                <w:sz w:val="12"/>
                <w:szCs w:val="12"/>
                <w:b w:val="1"/>
                <w:bCs w:val="1"/>
                <w:color w:val="auto"/>
                <w:w w:val="96"/>
              </w:rPr>
              <w:t xml:space="preserve">2007 </w:t>
            </w:r>
            <w:r>
              <w:rPr>
                <w:rFonts w:ascii="Arial" w:cs="Arial" w:eastAsia="Arial" w:hAnsi="Arial"/>
                <w:sz w:val="19"/>
                <w:szCs w:val="19"/>
                <w:b w:val="1"/>
                <w:bCs w:val="1"/>
                <w:color w:val="auto"/>
                <w:w w:val="96"/>
                <w:vertAlign w:val="superscript"/>
              </w:rPr>
              <w:t>(1)</w:t>
            </w:r>
          </w:p>
        </w:tc>
        <w:tc>
          <w:tcPr>
            <w:tcW w:w="3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120" w:type="dxa"/>
            <w:vAlign w:val="bottom"/>
            <w:gridSpan w:val="4"/>
          </w:tcPr>
          <w:p>
            <w:pPr>
              <w:jc w:val="right"/>
              <w:ind w:right="276"/>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Revenue</w:t>
            </w:r>
          </w:p>
        </w:tc>
        <w:tc>
          <w:tcPr>
            <w:tcW w:w="304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6,066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4,974</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3"/>
              </w:rPr>
              <w:t>11,671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9,733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1,704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1,513</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Arial" w:cs="Arial" w:eastAsia="Arial" w:hAnsi="Arial"/>
                <w:sz w:val="18"/>
                <w:szCs w:val="18"/>
                <w:b w:val="1"/>
                <w:bCs w:val="1"/>
                <w:color w:val="auto"/>
                <w:w w:val="86"/>
              </w:rPr>
              <w:t>WesternGeco</w:t>
            </w:r>
          </w:p>
        </w:tc>
        <w:tc>
          <w:tcPr>
            <w:tcW w:w="3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060" w:type="dxa"/>
            <w:vAlign w:val="bottom"/>
            <w:gridSpan w:val="2"/>
          </w:tcPr>
          <w:p>
            <w:pPr>
              <w:spacing w:after="0"/>
              <w:rPr>
                <w:sz w:val="20"/>
                <w:szCs w:val="20"/>
                <w:color w:val="auto"/>
              </w:rPr>
            </w:pPr>
            <w:r>
              <w:rPr>
                <w:rFonts w:ascii="Arial" w:cs="Arial" w:eastAsia="Arial" w:hAnsi="Arial"/>
                <w:sz w:val="18"/>
                <w:szCs w:val="18"/>
                <w:color w:val="auto"/>
              </w:rPr>
              <w:t>Pretax Operating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6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2008 Compared to Second Quarter 2007</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for the second quarter of 2008 was $6.75 billion versus $5.64 billion for the same period last year. Income before income taxes and minority interest was $1.80 billion for the three-month period ended June 30, 2008 compared to $1.62 billion for the same period in 2007.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Second-quarter revenue of $6.07 billion was 8% higher sequentially and 22% higher year-on-year. Sequential revenue increases were recorded across all Areas, most notably in the North Sea, US land West, Mexico/Central America, US land Central, Arabian, and Peru/Colombia/Ecuador GeoMarkets*. In addition, double-digit growth rates were recorded by the China/Japan/Korea, Thailand/Vietnam, Australia/Papua New Guinea, US land North, and US Gulf Coast GeoMarkets. Across all Areas demand was particularly strong for Drilling &amp; Measurements, Well Services, and Testing Services technologies.</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Revenue increased 22% year-on-year with growth recorded across all Areas. The increase in Europe/CIS/Africa resulted from strong activity-led demand in the North Sea, West &amp; South Africa and Continental Europe GeoMarkets as well as Russia and from the consolidation of Tyumenpromgeofizika and Framo following the acquisition of majority shareholdings in the second and fourth quarters of 2007, respectively. Growth in Latin America was led by the Mexico/Central America and Peru/Columbia/Ecuador GeoMarkets while in the Middle East &amp; Asia growth was highest in the Australia/Papua New Guinea, Arabian and China/Japan/Korea GeoMarkets. In North America, increases were highest in the US land West and Central GeoMarkets. Double-digit growth rates were registered across all Technologies, with the largest increases in Drilling &amp; Measurements, Wireline and Well Services.</w:t>
      </w:r>
    </w:p>
    <w:p>
      <w:pPr>
        <w:spacing w:after="0" w:line="1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Second-quarter pretax operating income of $1.70 billion increased 13% sequentially and 13% year-on-year. Pretax operating margin increased 129 basis points (bps) sequentially to reach 28.1%. The sequential increase was mainly driven by stronger demand for high-margin technologies in the North Sea and US Gulf Coast GeoMarkets, increased demand for higher-margin Wireline and Well Services technologies in the Arabian GeoMarket together with higher operating leverage in the US land GeoMarkets. Growth was also recorded due to increased demand for higher-margin Drilling &amp; Measurements and Wireline technologies offshore, and lower Integrated Project Management (IPM) project start-up costs on land in Mexico/Central America. These increases were partially offset by the impact of the seasonal slowdown of activity in Canada following the spring break-up.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*Markof Schlumberger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Year-on-year pretax operating income growth resulted from overall stronger activity levels and a more favorable revenue mix in Europe/CIS/Africa, Middle East &amp; Asia, and Latin America. These increases were partially offset by a decrease in North America that was largely a result of the reduced pricing for certain well-stimulation related activities in the US land GeoMarkets. Oilfield Services pretax operating margins decreased 234 bps as a result of the pricing weakness in North America, the impact of operational delays in the Nigeria &amp; Gulf of Guinea GeoMarket and the effect of the consolidation of Framo and Tyumenpromgeofizika.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$1.44 billion increased 1% sequentially and 7% year-on-year. Pretax operating income of $344 million decreased 5% sequentially and 18% year-on-year.</w:t>
      </w:r>
    </w:p>
    <w:p>
      <w:pPr>
        <w:spacing w:after="0" w:line="13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Sequentially, the US land GeoMarkets recorded strong revenue increases, driven by robust demand for Well Services and Wireline technologies in addition to a rebound in activity following the end of seasonal winter weather restrictions. The US Gulf Coast registered strong growth from demand for Drilling &amp; Measurements services and a surge in Completions product sales. These increases were largely offset by the significant seasonal slowdown of activity in Canada.</w:t>
      </w:r>
    </w:p>
    <w:p>
      <w:pPr>
        <w:spacing w:after="0" w:line="8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year-on-year revenue growth was led by the US land West and Central GeoMarkets on robust demand for Well Services and Drilling &amp; Measurements technologies together with higher Artificial Lift Systems product sales. The US Gulf Coast GeoMarket grew on increased demand for Drilling &amp; Measurements services and strong Completions product sales, while the Canada GeoMarket improved as a result of strong demand for Well Services technologies. These increases were partially offset by a decrease in US land North due to weather-related delays.</w:t>
      </w:r>
    </w:p>
    <w:p>
      <w:pPr>
        <w:spacing w:after="0" w:line="11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Pretax operating margin for the Area decreased sequentially from 25.6% to 23.9% as the higher operating leverage in the US land GeoMarket, and the strong demand for high-margin technologies in the US Gulf Coast GeoMarket, were more than offset by the seasonal slowdown in Canada.</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from 31.2% to 23.9% primarily as a result of reduced pricing for well-stimulation related activities in the US land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$1.06 billion increased 15% sequentially and 39% year-on-year. Pretax operating income of $243 million increased 31% sequentially and 36% year-on-year.</w:t>
      </w:r>
    </w:p>
    <w:p>
      <w:pPr>
        <w:spacing w:after="0" w:line="1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Sequential revenue growth was strong across the Area, led by the Mexico/Central America GeoMarket due to the ramp-up of IPM projects, and higher offshore activity following operational delays in previous quarters. In addition, Peru/Colombia/Ecuador saw significant improvement due to higher demand for Wireline and Drilling &amp; Measurements technologies together with increased gain share in IPM activity in Colombia, while the Venezuela/Trinidad &amp; Tobago GeoMarket benefited from strong demand for Well Services and Wireline technologies. In the Brazil GeoMarket, growth was driven by higher exploration activity and increased SIS product sales. The Argentina/Bolivia/Chile GeoMarket improved on strong demand for Well Services and Wireline technologies; however, growth was partially offset by delays in Argentina.</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Year-on-year revenue growth was driven by an increase in IPM projects activity in Mexico/Central America; by higher IPM activity and increased demand for Wireline and Drilling &amp; Measurements services and Artificial Lift Systems products in Peru/Columbia/Ecuador; and by robust demand for Testing Services and Well Services technologies together with higher Completions product sales in Brazil. In addition, Venezuela/Trinidad &amp; Tobago improved on strong demand for Wireline, Well Services and Drilling &amp; Measurements technologies. Argentina/Bolivia/Chile grew as a result of increased demand for Drilling &amp; Measurements and Well Services technologies as well as for Artificial Lift Systems products.</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Pretax operating margin improved sequentially by a notable 296 bps to 23.0% primarily due to increased demand for high-margin Drilling &amp; Measurements and Wireline technologies offshore Mexico/Central America and a more favorable activity mix in Peru/Colombia/Ecuador and Brazil. In addition, lower IPM project start-up costs on land in Mexico/Central America also contributed to the improvement.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06" w:lineRule="auto"/>
        <w:rPr>
          <w:sz w:val="20"/>
          <w:szCs w:val="20"/>
          <w:color w:val="auto"/>
        </w:rPr>
      </w:pPr>
      <w:r>
        <w:rPr>
          <w:rFonts w:ascii="Arial" w:cs="Arial" w:eastAsia="Arial" w:hAnsi="Arial"/>
          <w:sz w:val="16"/>
          <w:szCs w:val="16"/>
          <w:color w:val="auto"/>
        </w:rPr>
        <w:t>Year-on-year pretax operating margin was down 55 bps to 23.0% primarily due to a less favorable revenue mix in the Venezuela/Trinidad &amp; Tobago, Argentina/Bolivia/Chile and Brazil GeoMarkets. These negative factors were partially offset by a strong contribution from gain share on IPM projects in Peru/Columbia/Ecuador in addition to higher operating leverage in Mexico/Central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$2.07 billion increased 9% sequentially and 28% year-on-year. Pretax operating income of $583 million increased 17% sequentially and 26% year-on-year.</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Sequential revenue growth was primarily driven by strong demand for all Technologies across the North Sea GeoMarket—in particular for Drilling &amp; Measurements and high-pressure, high-temperature Wireline services. Strong activity for all Technologies in West &amp; South Africa together with increased demand for exploration-related activities in East Russia also contributed to sequential growth. These increases were partially offset by operational delays in the Nigeria &amp; Gulf of Guinea GeoMarket and the seasonal slowdown of activity in the North Russia GeoMarket.</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Year-on-year revenue growth was primarily led by the North Sea on strong demand for high-pressure, high-temperature Wireline, Well Services and Drilling &amp; Measurement technologies and for higher exploration-related as well as IPM activity in Russia. The consolidation of Tyumenpromgeofizika and Framo also contributed to the increase in revenue.</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Pretax operating margin increased sequentially by 181 bps to 28.2% due to a more favorable activity mix in the North Sea, East Russia, and West &amp; South Africa GeoMarkets. Strengthened IPM activity in South Russia also contributed to the increase.</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Year-on-year pretax operating margin decreased from 28.7% to 28.2% as the impact of operational delays in Nigeria &amp; Gulf of Guinea and the effect of the consolidation of Tyumenpromgeofizika and Framo were only partially offset by a more favorable revenue mix in the North Sea, West &amp; South Africa and North Africa GeoMarkets and in Russia.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$1.44 billion increased 9% sequentially and 19% year-on-year. Pretax operating income of $525 million increased 14% sequentially and 23% year-on-year.</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Sequentially, growth was led by the Arabian GeoMarket with high demand for Well Services and Testing Services technologies together with increased Completions product sales. The China/Japan/Korea GeoMarket experienced a robust rebound in activity following the winter slowdown of the prior quarter, while Australia/Papua New Guinea grew on increased offshore exploration activity that resulted in strong demand for Wireline and Drilling &amp; Measurements services. Growth was also recorded from exploration-related Wireline services in Thailand/Vietnam; from Wireline and Well Services technologies and SIS products sales in the Gulf GeoMarket; and from high demand for Well Services technologies and Artificial Lift Systems products in Indonesia. These increases were partially offset by activity declines in the India and Qatar GeoMarkets.</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Year-on-year revenue growth was registered across the Area but most notably in the Australia/Papua New Guinea GeoMarket on increased offshore exploration activity that resulted in strong demand for Wireline, Testing Services and Drilling &amp; Measurements technologies; in the Arabian GeoMarket on increased demand for Testing Services and Drilling &amp; Measurements technologies in addition to increased Completions product sales; and in the China/Japan/Korea GeoMarket on higher rig count resulting in robust demand across all Technologies. In addition, the Gulf GeoMarket grew on increased demand for Well Services and Wireline technologies.</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Pretax operating margin improved by 148 bps sequentially to 36.3% due to increased demand for high-margin Wireline, Drilling &amp; Measurements and Well Services technologies in the China/Japan/Korea, Brunei/Malaysia/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Philippines and Gulf GeoMarkets. The improvement was also driven by a more favorable activity mix for exploration-related services in the Australia/Papua New Guinea and Thailand/Vietnam GeoMarkets. These increases were partially offset by the reduced activity in India and Qatar.</w:t>
      </w:r>
    </w:p>
    <w:p>
      <w:pPr>
        <w:spacing w:after="0" w:line="8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Year-on-year pretax operating margin increased from 35.3% to 36.3% primarily as a result of the higher overall activity, a more favorable mix of exploration-related services in Australia/Papua New Guinea and increased demand for higher-margin technologies in China/Japan/Korea. Robust demand for Wireline and Well Services technologies in the Gulf also contributed to the increase.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Second-quarter revenue of $671 million decreased 1% over the prior quarter but was 1% higher than the same period last year. Pretax operating income of $196 million was flat sequentially and 9% lower year-on-year.</w:t>
      </w:r>
    </w:p>
    <w:p>
      <w:pPr>
        <w:spacing w:after="0" w:line="132"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Sequentially, Multiclient revenue increased on additional pre-commitments for wide-azimuth surveys in North America as well as pre-commitments on new projects in Norway and Australia, although these increases were partially offset by lower late sales of narrow-azimuth data in North America. Land revenue increased due to improved utilization and productivity in North Africa partially offset by reduced activity in Latin America. Data Processing revenue also recorded a sequential increase—primarily in Europe and India. However, these increases were more than offset by decreased Marine revenue resulting from seasonal vessel transits and vessel transfers to multiclient surveys.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Year-on-year Marine revenue increased as the result of the addition of the seventh Q vessel to the fleet and increased efficiency partially offset by one additional vessel working on a multiclient survey. Data Processing recorded growth on higher demand in Europe/CIS/Africa and Latin America. These increases were partially offset by a decrease in Multiclient sales in North America and lower activity for Land.</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Pretax operating margin was essentially flat sequentially at 29.2% as increased contributions from higher Land and Data Processing activity were partially offset by the impact of the Multiclient sales mix in North America.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declined from 32.5% to 29.2% primarily due to reduced high-margin Multiclient data sales in North America.</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2008 Compared to Six Months 2007</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Six-month revenue for the period ended June 30, 2008 was $13.04 billion versus $11.10 billion for the same period last year. Income before income taxes and minority interest was $3.42 billion in 2008 compared to $3.17 billion for the first six months of 2007.</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Six-month revenue of $11.67 billion was 20% higher compared to the same period last year. All Areas recorded revenue growth, most notably in the Mexico/Central America, North Sea, West &amp; South Africa, Peru/Columbia/Ecuador and Australia/Papua New Guinea GeoMarkets as well as in Russia. The consolidation of Framo and Tyumenpromgeofizika also contributed to the increase.</w:t>
      </w:r>
    </w:p>
    <w:p>
      <w:pPr>
        <w:spacing w:after="0" w:line="140"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Pretax operating margin decreased from 30.0% to 27.5% primarily as the result of reduced pricing for well-stimulation related activities in the US land GeoMarkets, cost inflation across all Areas and the impact of the consolidation of Tyumenpromgeofizika and Framo.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$2.86 billion increased 5% versus the same period last year, led by the Canada GeoMarket as a result of an extended winter drilling season and by the US land Central GeoMarket on strong demand for Drilling &amp; Measurements and Well Services technologies. The US land West GeoMarket registered growth on increased demand for Well Services and Drilling &amp; Measurements technologies coupled with higher Artificial Lift Systems product sales while the US Gulf Coast GeoMarket grew on demand for Drilling &amp; Measurements services and higher Completions product sales. These increases were partially offset by the impact of weather-related delays in the US land North GeoMarket.</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Pretax operating margin decreased from 31.3% to 24.8% primarily due to reduced pricing for well stimulation related activities in the US land GeoMarkets and cost inflation across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of $1.98 billion increased 33% versus the same period last year. Double-digit growth was registered across the Area primarily as the result of increased land activity in IPM projects and higher offshore activity in Mexico/Central America; increased IPM project activity coupled with strong demand for Wireline services and higher Artificial Lift Systems product sales in Peru/Columbia/Ecuador; and a surge in demand for Testing Services and Well Services technologies in addition to higher Completions product sales in Brazil.</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Pretax operating margin decreased from 23.0% to 21.6% primarily as a result of increased third-party IPM revenue in Mexico/Central America and cost inflation across the Area that offset the positive impact of higher margin activities in Mexico/Central America, Peru/Columbia/Ecuador and Brazil.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Revenue of $3.97 billion was 26% higher than the same period last year, led by the North Sea GeoMarket on increased exploration activity that resulted in a surge in demand for Wireline and Well Services technologies and by the West &amp; South Africa GeoMarket on robust demand for Drilling &amp; Measurements and Well Services technologies. Strong growth was also recorded in the Continental Europe GeoMarket with increased demand for Drilling &amp; Measurements and Well Services technologies while Russia grew primarily on higher demand for Drilling &amp; Measurements services and increased IPM project activity. The consolidation of Tyumenpromgeofizika and Framo also contributed to the increase in revenue.</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Pretax operating margin decreased from 28.5% to 27.3% primarily as result of operational delays in the Nigeria &amp; Gulf of Guinea GeoMarket and cost inflation in the West &amp; South Africa and Continental Europe GeoMarkets in addition to the impact from the consolidation of Tyumenpromgeofizika and Framo. These decreases were offset by the impact of a more favorable revenue mix in the North Sea, North Africa, Caspian and Russia GeoMarkets.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of $2.76 billion was 20% higher versus the same period last quarter. Growth was strongest in the Australia/Papua New Guinea GeoMarket on increased offshore exploration activity that resulted in strong demand for Wireline, Testing Services and Drilling &amp; Measurements technologies; in the Arabian GeoMarket on strong demand for Testing Services and Drilling &amp; Measurements technologies in addition to increased Completions product sales; in the China/Japan/Korea GeoMarket on higher rig count and strong demand across all Technologies; and in the Gulf and the Brunei/Malaysia/Philippines GeoMarkets due to increased exploration-related activity.</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Pretax operating margin increased from 34.8% to 35.6% primarily as a result of the stronger overall activity coupled with a favorable mix of exploration-related activity in the Australia/Papua New Guinea and Brunei/Malaysia/Philippines GeoMarkets. Strong demand for high-margin Drilling &amp; Measurements and Wireline technologies in the China/Japan/Korea, Qatar and East Mediterranean GeoMarkets also contributed to the margin improvement.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Six-month revenue of $1.35 billion was 2% lower than the same period last year primarily as a result of a decline in Multiclient sales in North America and lower activity in Land, partially offset by an increase in Marine upon the addition of a new vessel and increased demand in Data Processing.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decreased from 35.2% to 29.1% primarily as the result of the reduced high-margin multiclient sales in North America.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second quarter and six months ended June 30, 2008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87"/>
              </w:rPr>
              <w:t>Second Quarter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w:t>
            </w:r>
          </w:p>
        </w:tc>
      </w:tr>
      <w:tr>
        <w:trPr>
          <w:trHeight w:val="142"/>
        </w:trPr>
        <w:tc>
          <w:tcPr>
            <w:tcW w:w="6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(Stated</w:t>
            </w: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w:t>
            </w:r>
          </w:p>
        </w:tc>
        <w:tc>
          <w:tcPr>
            <w:tcW w:w="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w:t>
            </w:r>
          </w:p>
        </w:tc>
        <w:tc>
          <w:tcPr>
            <w:tcW w:w="2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Equity in Net Earnings of Affiliated Companies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increase in net earnings of affiliated companies was primarily due to the results of the MI-SWACO drilling fluids joint venture that Schlumberger operates with Smith International,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Gross margin was 31.7% and 33.7% in the second quarter of 2008 and 2007, and 31.2% and 33.7% in the six-month periods ended June 30, 2008 and 2007, respectively. The decrease in gross margin was driven by pricing decreases for certain land well-stimulation related activities in the US, the impact of cost inflation and by lower high-margin Multiclient sales in WesternGeco.</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percentage of Revenue, Research &amp; engineering, Marketing and General &amp; administrative expenses for the second quarter and six months ended June 30, 2008 and 2007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Second Quarter</w:t>
            </w:r>
          </w:p>
        </w:tc>
        <w:tc>
          <w:tcPr>
            <w:tcW w:w="1080" w:type="dxa"/>
            <w:vAlign w:val="bottom"/>
            <w:gridSpan w:val="3"/>
          </w:tcPr>
          <w:p>
            <w:pPr>
              <w:ind w:left="400"/>
              <w:spacing w:after="0"/>
              <w:rPr>
                <w:sz w:val="20"/>
                <w:szCs w:val="20"/>
                <w:color w:val="auto"/>
              </w:rPr>
            </w:pPr>
            <w:r>
              <w:rPr>
                <w:rFonts w:ascii="Arial" w:cs="Arial" w:eastAsia="Arial" w:hAnsi="Arial"/>
                <w:sz w:val="14"/>
                <w:szCs w:val="14"/>
                <w:b w:val="1"/>
                <w:bCs w:val="1"/>
                <w:color w:val="auto"/>
                <w:w w:val="88"/>
              </w:rPr>
              <w:t>Six Months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Marketing</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0.4%</w:t>
            </w: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second quarter and six months ended June 30, 2008 and 2007,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tcPr>
          <w:p>
            <w:pPr>
              <w:ind w:left="12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4"/>
                <w:szCs w:val="14"/>
                <w:color w:val="auto"/>
              </w:rPr>
            </w:pPr>
          </w:p>
        </w:tc>
        <w:tc>
          <w:tcPr>
            <w:tcW w:w="114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Six Months</w:t>
            </w:r>
          </w:p>
        </w:tc>
      </w:tr>
      <w:tr>
        <w:trPr>
          <w:trHeight w:val="142"/>
        </w:trPr>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(Stated</w:t>
            </w: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$ 323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WesternGeco</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92"/>
              <w:spacing w:after="0"/>
              <w:rPr>
                <w:sz w:val="20"/>
                <w:szCs w:val="20"/>
                <w:color w:val="auto"/>
              </w:rPr>
            </w:pPr>
            <w:r>
              <w:rPr>
                <w:rFonts w:ascii="Arial" w:cs="Arial" w:eastAsia="Arial" w:hAnsi="Arial"/>
                <w:sz w:val="18"/>
                <w:szCs w:val="18"/>
                <w:color w:val="auto"/>
              </w:rPr>
              <w:t>28</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59</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$ 197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92"/>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$ 388</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$ 342</w:t>
            </w: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effective tax rate for the second quarter of 2008 was 20.9% compared to 22.3% for the same period in 2007. The effective tax rate for the six months ended June 30, 2008 was 20.1% compared to 23.1% in the same period of the prior year. The decreases in the effective tax rate are primarily attributable to the geographic mix of earnings as both Oilfield Services and WesternGeco had a lower proportion of pretax earnings in North America.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86"/>
              </w:rPr>
              <w:t>Jun.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Jun.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$(1,857)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2,758</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1,073</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(907)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(1,833)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acquisitions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Dividends paid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(460)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5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Stock repurchase program</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(1,119)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Conversion of debentures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58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38"/>
              <w:spacing w:after="0"/>
              <w:rPr>
                <w:sz w:val="20"/>
                <w:szCs w:val="20"/>
                <w:color w:val="auto"/>
              </w:rPr>
            </w:pPr>
            <w:r>
              <w:rPr>
                <w:rFonts w:ascii="Arial" w:cs="Arial" w:eastAsia="Arial" w:hAnsi="Arial"/>
                <w:sz w:val="18"/>
                <w:szCs w:val="18"/>
                <w:b w:val="1"/>
                <w:bCs w:val="1"/>
                <w:color w:val="auto"/>
              </w:rPr>
              <w:t>(20)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8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220" w:type="dxa"/>
            <w:vAlign w:val="bottom"/>
            <w:gridSpan w:val="4"/>
            <w:vMerge w:val="restart"/>
          </w:tcPr>
          <w:p>
            <w:pPr>
              <w:ind w:left="460"/>
              <w:spacing w:after="0"/>
              <w:rPr>
                <w:sz w:val="20"/>
                <w:szCs w:val="20"/>
                <w:color w:val="auto"/>
              </w:rPr>
            </w:pPr>
            <w:r>
              <w:rPr>
                <w:rFonts w:ascii="Arial" w:cs="Arial" w:eastAsia="Arial" w:hAnsi="Arial"/>
                <w:sz w:val="18"/>
                <w:szCs w:val="18"/>
                <w:color w:val="auto"/>
              </w:rPr>
              <w:t>Net Debt, end of period</w:t>
            </w: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4"/>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(2,018</w:t>
            </w:r>
          </w:p>
        </w:tc>
        <w:tc>
          <w:tcPr>
            <w:tcW w:w="58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(2,084)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220" w:type="dxa"/>
            <w:vAlign w:val="bottom"/>
            <w:gridSpan w:val="4"/>
          </w:tcPr>
          <w:p>
            <w:pPr>
              <w:spacing w:after="0"/>
              <w:rPr>
                <w:sz w:val="20"/>
                <w:szCs w:val="20"/>
                <w:color w:val="auto"/>
              </w:rPr>
            </w:pPr>
            <w:r>
              <w:rPr>
                <w:rFonts w:ascii="Arial" w:cs="Arial" w:eastAsia="Arial" w:hAnsi="Arial"/>
                <w:sz w:val="18"/>
                <w:szCs w:val="18"/>
                <w:color w:val="auto"/>
              </w:rPr>
              <w:t>(1)   Includes Multiclient seismic data costs.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Jun.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86"/>
              </w:rPr>
              <w:t>Jun.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4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center"/>
              <w:ind w:right="98"/>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w:t>
            </w:r>
          </w:p>
        </w:tc>
        <w:tc>
          <w:tcPr>
            <w:tcW w:w="1520" w:type="dxa"/>
            <w:vAlign w:val="bottom"/>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   147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2,714</w:t>
            </w:r>
          </w:p>
        </w:tc>
        <w:tc>
          <w:tcPr>
            <w:tcW w:w="1520" w:type="dxa"/>
            <w:vAlign w:val="bottom"/>
            <w:gridSpan w:val="4"/>
          </w:tcPr>
          <w:p>
            <w:pPr>
              <w:jc w:val="right"/>
              <w:ind w:right="478"/>
              <w:spacing w:after="0"/>
              <w:rPr>
                <w:sz w:val="20"/>
                <w:szCs w:val="20"/>
                <w:color w:val="auto"/>
              </w:rPr>
            </w:pPr>
            <w:r>
              <w:rPr>
                <w:rFonts w:ascii="Arial" w:cs="Arial" w:eastAsia="Arial" w:hAnsi="Arial"/>
                <w:sz w:val="18"/>
                <w:szCs w:val="18"/>
                <w:color w:val="auto"/>
              </w:rPr>
              <w:t>2,738</w:t>
            </w:r>
          </w:p>
        </w:tc>
        <w:tc>
          <w:tcPr>
            <w:tcW w:w="560" w:type="dxa"/>
            <w:vAlign w:val="bottom"/>
          </w:tcPr>
          <w:p>
            <w:pPr>
              <w:jc w:val="right"/>
              <w:spacing w:after="0"/>
              <w:rPr>
                <w:sz w:val="20"/>
                <w:szCs w:val="20"/>
                <w:color w:val="auto"/>
              </w:rPr>
            </w:pPr>
            <w:r>
              <w:rPr>
                <w:rFonts w:ascii="Arial" w:cs="Arial" w:eastAsia="Arial" w:hAnsi="Arial"/>
                <w:sz w:val="18"/>
                <w:szCs w:val="18"/>
                <w:color w:val="auto"/>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449</w:t>
            </w:r>
          </w:p>
        </w:tc>
        <w:tc>
          <w:tcPr>
            <w:tcW w:w="1520" w:type="dxa"/>
            <w:vAlign w:val="bottom"/>
            <w:gridSpan w:val="4"/>
            <w:shd w:val="clear" w:color="auto" w:fill="CCEEFF"/>
          </w:tcPr>
          <w:p>
            <w:pPr>
              <w:jc w:val="right"/>
              <w:ind w:right="478"/>
              <w:spacing w:after="0"/>
              <w:rPr>
                <w:sz w:val="20"/>
                <w:szCs w:val="20"/>
                <w:color w:val="auto"/>
              </w:rPr>
            </w:pPr>
            <w:r>
              <w:rPr>
                <w:rFonts w:ascii="Arial" w:cs="Arial" w:eastAsia="Arial" w:hAnsi="Arial"/>
                <w:sz w:val="18"/>
                <w:szCs w:val="18"/>
                <w:color w:val="auto"/>
              </w:rPr>
              <w:t>323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Bank loans and current portion of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(1,248)</w:t>
            </w:r>
          </w:p>
        </w:tc>
        <w:tc>
          <w:tcPr>
            <w:tcW w:w="1520" w:type="dxa"/>
            <w:vAlign w:val="bottom"/>
            <w:gridSpan w:val="4"/>
          </w:tcPr>
          <w:p>
            <w:pPr>
              <w:jc w:val="right"/>
              <w:ind w:right="418"/>
              <w:spacing w:after="0"/>
              <w:rPr>
                <w:sz w:val="20"/>
                <w:szCs w:val="20"/>
                <w:color w:val="auto"/>
              </w:rPr>
            </w:pPr>
            <w:r>
              <w:rPr>
                <w:rFonts w:ascii="Arial" w:cs="Arial" w:eastAsia="Arial" w:hAnsi="Arial"/>
                <w:sz w:val="18"/>
                <w:szCs w:val="18"/>
                <w:color w:val="auto"/>
              </w:rPr>
              <w:t>(797)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(361)</w:t>
            </w:r>
          </w:p>
        </w:tc>
        <w:tc>
          <w:tcPr>
            <w:tcW w:w="1520" w:type="dxa"/>
            <w:vAlign w:val="bottom"/>
            <w:gridSpan w:val="4"/>
            <w:shd w:val="clear" w:color="auto" w:fill="CCEEFF"/>
          </w:tcPr>
          <w:p>
            <w:pPr>
              <w:jc w:val="right"/>
              <w:ind w:right="418"/>
              <w:spacing w:after="0"/>
              <w:rPr>
                <w:sz w:val="20"/>
                <w:szCs w:val="20"/>
                <w:color w:val="auto"/>
              </w:rPr>
            </w:pPr>
            <w:r>
              <w:rPr>
                <w:rFonts w:ascii="Arial" w:cs="Arial" w:eastAsia="Arial" w:hAnsi="Arial"/>
                <w:sz w:val="18"/>
                <w:szCs w:val="18"/>
                <w:color w:val="auto"/>
              </w:rPr>
              <w:t>(1,029)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Other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(3,758)</w:t>
            </w:r>
          </w:p>
        </w:tc>
        <w:tc>
          <w:tcPr>
            <w:tcW w:w="1520" w:type="dxa"/>
            <w:vAlign w:val="bottom"/>
            <w:gridSpan w:val="4"/>
          </w:tcPr>
          <w:p>
            <w:pPr>
              <w:jc w:val="right"/>
              <w:ind w:right="418"/>
              <w:spacing w:after="0"/>
              <w:rPr>
                <w:sz w:val="20"/>
                <w:szCs w:val="20"/>
                <w:color w:val="auto"/>
              </w:rPr>
            </w:pPr>
            <w:r>
              <w:rPr>
                <w:rFonts w:ascii="Arial" w:cs="Arial" w:eastAsia="Arial" w:hAnsi="Arial"/>
                <w:sz w:val="18"/>
                <w:szCs w:val="18"/>
                <w:color w:val="auto"/>
              </w:rPr>
              <w:t>(3,466)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(2,018)</w:t>
            </w:r>
          </w:p>
        </w:tc>
        <w:tc>
          <w:tcPr>
            <w:tcW w:w="1520" w:type="dxa"/>
            <w:vAlign w:val="bottom"/>
            <w:gridSpan w:val="4"/>
            <w:shd w:val="clear" w:color="auto" w:fill="CCEEFF"/>
          </w:tcPr>
          <w:p>
            <w:pPr>
              <w:jc w:val="right"/>
              <w:ind w:right="41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2008 and 2007 included:</w:t>
      </w:r>
    </w:p>
    <w:p>
      <w:pPr>
        <w:spacing w:after="0" w:line="90" w:lineRule="exact"/>
        <w:rPr>
          <w:sz w:val="20"/>
          <w:szCs w:val="20"/>
          <w:color w:val="auto"/>
        </w:rPr>
      </w:pPr>
    </w:p>
    <w:p>
      <w:pPr>
        <w:ind w:left="900" w:right="28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first six months of 2008, the $353 million of outstanding 1.5% Series A Convertible Debentures due June 1, 2023 were converted by holders into approximately 9.8 million shares of Schlumberger common stock. In addition, $55 million of the 2.125% Series B Convertible Debentures due June 1, 2023 were converted by holders into approximately 1.4 million shares of Schlumberger common stock.</w:t>
      </w:r>
    </w:p>
    <w:p>
      <w:pPr>
        <w:spacing w:after="0" w:line="25"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April 20, 2006, the Board of Directors of Schlumberger approved a share repurchase program of up to 40 million shares of its common stock to be acquired in the open market before April 2010, subject to market conditions. This program was completed during the second quarter of 2008. On April 17, 2008, the Board of Directors of Schlumberger approved an $8 billion share repurchase program for shares of its common stock to be acquired in the open market before December 31, 2011, of which $235 million have been repurchased as of June 30, 2008. The following table summarizes the activity under these share repurchase programs during the six months ended June 30, 2008 and 2007, respectively:</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Total cost</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Total number</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5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of shares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of shares</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 paid</w:t>
            </w:r>
          </w:p>
        </w:tc>
      </w:tr>
      <w:tr>
        <w:trPr>
          <w:trHeight w:val="161"/>
        </w:trPr>
        <w:tc>
          <w:tcPr>
            <w:tcW w:w="2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4"/>
              </w:rPr>
              <w:t>purchased</w:t>
            </w:r>
          </w:p>
        </w:tc>
        <w:tc>
          <w:tcPr>
            <w:tcW w:w="5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5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r>
      <w:tr>
        <w:trPr>
          <w:trHeight w:val="129"/>
        </w:trPr>
        <w:tc>
          <w:tcPr>
            <w:tcW w:w="25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4"/>
          </w:tcPr>
          <w:p>
            <w:pPr>
              <w:jc w:val="center"/>
              <w:ind w:left="466"/>
              <w:spacing w:after="0" w:line="129" w:lineRule="exact"/>
              <w:rPr>
                <w:sz w:val="20"/>
                <w:szCs w:val="20"/>
                <w:color w:val="auto"/>
              </w:rPr>
            </w:pPr>
            <w:r>
              <w:rPr>
                <w:rFonts w:ascii="Arial" w:cs="Arial" w:eastAsia="Arial" w:hAnsi="Arial"/>
                <w:sz w:val="14"/>
                <w:szCs w:val="14"/>
                <w:b w:val="1"/>
                <w:bCs w:val="1"/>
                <w:color w:val="auto"/>
                <w:w w:val="84"/>
              </w:rPr>
              <w:t>(Stated in thousands, except per share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61"/>
        </w:trPr>
        <w:tc>
          <w:tcPr>
            <w:tcW w:w="2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amounts)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6"/>
        </w:trPr>
        <w:tc>
          <w:tcPr>
            <w:tcW w:w="254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4"/>
              </w:rPr>
              <w:t>2008</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1,119,316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90.27</w:t>
            </w:r>
          </w:p>
        </w:tc>
      </w:tr>
      <w:tr>
        <w:trPr>
          <w:trHeight w:val="282"/>
        </w:trPr>
        <w:tc>
          <w:tcPr>
            <w:tcW w:w="2540" w:type="dxa"/>
            <w:vAlign w:val="bottom"/>
          </w:tcPr>
          <w:p>
            <w:pPr>
              <w:jc w:val="right"/>
              <w:ind w:right="2092"/>
              <w:spacing w:after="0"/>
              <w:rPr>
                <w:sz w:val="20"/>
                <w:szCs w:val="20"/>
                <w:color w:val="auto"/>
              </w:rPr>
            </w:pPr>
            <w:r>
              <w:rPr>
                <w:rFonts w:ascii="Arial" w:cs="Arial" w:eastAsia="Arial" w:hAnsi="Arial"/>
                <w:sz w:val="18"/>
                <w:szCs w:val="18"/>
                <w:color w:val="auto"/>
                <w:w w:val="84"/>
              </w:rPr>
              <w:t>2007</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504,677</w:t>
            </w:r>
          </w:p>
        </w:tc>
        <w:tc>
          <w:tcPr>
            <w:tcW w:w="860" w:type="dxa"/>
            <w:vAlign w:val="bottom"/>
          </w:tcPr>
          <w:p>
            <w:pPr>
              <w:jc w:val="right"/>
              <w:spacing w:after="0"/>
              <w:rPr>
                <w:sz w:val="20"/>
                <w:szCs w:val="20"/>
                <w:color w:val="auto"/>
              </w:rPr>
            </w:pPr>
            <w:r>
              <w:rPr>
                <w:rFonts w:ascii="Arial" w:cs="Arial" w:eastAsia="Arial" w:hAnsi="Arial"/>
                <w:sz w:val="18"/>
                <w:szCs w:val="18"/>
                <w:color w:val="auto"/>
              </w:rPr>
              <w:t>7,380.7</w:t>
            </w:r>
          </w:p>
        </w:tc>
        <w:tc>
          <w:tcPr>
            <w:tcW w:w="560" w:type="dxa"/>
            <w:vAlign w:val="bottom"/>
          </w:tcPr>
          <w:p>
            <w:pPr>
              <w:spacing w:after="0"/>
              <w:rPr>
                <w:sz w:val="24"/>
                <w:szCs w:val="24"/>
                <w:color w:val="auto"/>
              </w:rPr>
            </w:pP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68.38</w:t>
            </w:r>
          </w:p>
        </w:tc>
      </w:tr>
      <w:tr>
        <w:trPr>
          <w:trHeight w:val="365"/>
        </w:trPr>
        <w:tc>
          <w:tcPr>
            <w:tcW w:w="2540" w:type="dxa"/>
            <w:vAlign w:val="bottom"/>
          </w:tcPr>
          <w:p>
            <w:pPr>
              <w:spacing w:after="0"/>
              <w:rPr>
                <w:sz w:val="24"/>
                <w:szCs w:val="24"/>
                <w:color w:val="auto"/>
              </w:rPr>
            </w:pPr>
          </w:p>
        </w:tc>
        <w:tc>
          <w:tcPr>
            <w:tcW w:w="3580" w:type="dxa"/>
            <w:vAlign w:val="bottom"/>
          </w:tcPr>
          <w:p>
            <w:pPr>
              <w:jc w:val="right"/>
              <w:ind w:right="115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paid during the six months ended June 30, 2008 and 2007 were $460 million and $354 million, respectively. On January 18, 2008, Schlumberger announced that its Board of Directors approved a 20% increase in the quarterly dividend to $0.21 per share, commencing with the dividend that was paid April 4, 2008.</w:t>
      </w:r>
    </w:p>
    <w:p>
      <w:pPr>
        <w:spacing w:after="0" w:line="59"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provided by operations was $2.7 billion in the first six months of 2008 compared to $2.5 billion in the first six months of 2007. This improvement was primarily driven by the revenue and consequent net income increases experienced in the first six months of 2008, partially offset by increases in working capital requirements.</w:t>
      </w:r>
    </w:p>
    <w:p>
      <w:pPr>
        <w:spacing w:after="0" w:line="59"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including multiclient seismic data costs, were $1.8 billion during the first six months of 2008 compared to $1.4 billion during the first six months of 2007. Capital expenditures, including multiclient seismic data costs, are expected to approach $4.5 billion for the full year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and capital expenditures. These statements are subject to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project start-up costs and third-party service costs; operational and new equipment delays; seasonal factors and weather-related events; and other risks and uncertainties detailed in our most recent Form 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year ended December 31, 2007. Schlumberger’s exposure to market risk has not changed materially since December 31, 2007.</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June 30, 2008. Based on this evaluation, the CEO and the CFO have concluded that, as of June 30, 2008,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There has been no change in Schlumberger’s internal control over financial reporting that occurred during the quarter ended June 30, 2008 that has materially affected, or is reasonably likely to materially affect, Schlumberger’s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have been no material changes from the risk factors as previously disclosed in Part 1, Item 1A, of our Form 10-K for our fiscal year ended December 31,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the quarter ended June 30, 2008, Schlumberger issued 8,464,908 shares of its common stock upon conversion by holders of $306.6 million aggregate principal amount of its 1.5% Series A Convertible Debentures due June 1, 2023 and 1,376,000 shares of its common stock upon conversion by holders of $55.0 million aggregate principal amount of its 2.125% Series B Convertible Debentures due June 1, 2023. Such shares were issued in transactions exempt from registration under Section 3(a)(9) of the Securities Act of 1933,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On April 20, 2006, the Board of Directors of Schlumberger approved a share repurchase program of up to 40 million shares of Schlumberger common stock to be acquired in the open market before April 2010, subject to market conditions (the “2006 Program”). The 2006 Program was completed on May 29, 2008.</w:t>
      </w:r>
    </w:p>
    <w:p>
      <w:pPr>
        <w:spacing w:after="0" w:line="8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On April 17, 2008, the Board of Directors of Schlumberger approved an $8 billion share repurchase program for shares of Schlumberger common stock to be acquired in the open market before December 31, 2011 (the “2008 Program). The 2008 Program commenced on May 30, 2008.</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with respect to the Schlumberger common stock repurchase programs for the three months ended June 30, 2008.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2006 Program</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2008 Program</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9"/>
        </w:trPr>
        <w:tc>
          <w:tcPr>
            <w:tcW w:w="3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Max.</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number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Max. value</w:t>
            </w:r>
          </w:p>
        </w:tc>
      </w:tr>
      <w:tr>
        <w:trPr>
          <w:trHeight w:val="149"/>
        </w:trPr>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of shares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3"/>
              </w:rPr>
              <w:t>of shares</w:t>
            </w:r>
          </w:p>
        </w:tc>
      </w:tr>
      <w:tr>
        <w:trPr>
          <w:trHeight w:val="149"/>
        </w:trPr>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that may</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purchased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that may yet</w:t>
            </w:r>
          </w:p>
        </w:tc>
      </w:tr>
      <w:tr>
        <w:trPr>
          <w:trHeight w:val="149"/>
        </w:trPr>
        <w:tc>
          <w:tcPr>
            <w:tcW w:w="3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 part of</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yet be</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73"/>
              </w:rPr>
              <w:t>be</w:t>
            </w:r>
          </w:p>
        </w:tc>
      </w:tr>
      <w:tr>
        <w:trPr>
          <w:trHeight w:val="149"/>
        </w:trPr>
        <w:tc>
          <w:tcPr>
            <w:tcW w:w="3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price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price</w:t>
            </w:r>
          </w:p>
        </w:tc>
        <w:tc>
          <w:tcPr>
            <w:tcW w:w="2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purchased</w:t>
            </w:r>
          </w:p>
        </w:tc>
      </w:tr>
      <w:tr>
        <w:trPr>
          <w:trHeight w:val="149"/>
        </w:trPr>
        <w:tc>
          <w:tcPr>
            <w:tcW w:w="3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1"/>
              </w:rPr>
              <w:t>paid per</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 the</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8"/>
              </w:rPr>
              <w:t>paid per</w:t>
            </w:r>
          </w:p>
        </w:tc>
        <w:tc>
          <w:tcPr>
            <w:tcW w:w="2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announced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under the</w:t>
            </w:r>
          </w:p>
        </w:tc>
      </w:tr>
      <w:tr>
        <w:trPr>
          <w:trHeight w:val="161"/>
        </w:trPr>
        <w:tc>
          <w:tcPr>
            <w:tcW w:w="34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0"/>
              </w:rPr>
              <w:t>share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0"/>
              </w:rPr>
              <w:t>share</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1"/>
              </w:rPr>
              <w:t>program</w:t>
            </w:r>
          </w:p>
        </w:tc>
      </w:tr>
      <w:tr>
        <w:trPr>
          <w:trHeight w:val="142"/>
        </w:trPr>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60" w:type="dxa"/>
            <w:vAlign w:val="bottom"/>
            <w:gridSpan w:val="9"/>
          </w:tcPr>
          <w:p>
            <w:pPr>
              <w:jc w:val="right"/>
              <w:ind w:right="263"/>
              <w:spacing w:after="0" w:line="142" w:lineRule="exact"/>
              <w:rPr>
                <w:sz w:val="20"/>
                <w:szCs w:val="20"/>
                <w:color w:val="auto"/>
              </w:rPr>
            </w:pPr>
            <w:r>
              <w:rPr>
                <w:rFonts w:ascii="Arial" w:cs="Arial" w:eastAsia="Arial" w:hAnsi="Arial"/>
                <w:sz w:val="14"/>
                <w:szCs w:val="14"/>
                <w:b w:val="1"/>
                <w:bCs w:val="1"/>
                <w:color w:val="auto"/>
              </w:rPr>
              <w:t>(Stated in thousands except per share amounts)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April 2008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May 2008</w:t>
            </w:r>
          </w:p>
        </w:tc>
        <w:tc>
          <w:tcPr>
            <w:tcW w:w="760" w:type="dxa"/>
            <w:vAlign w:val="bottom"/>
          </w:tcPr>
          <w:p>
            <w:pPr>
              <w:jc w:val="right"/>
              <w:spacing w:after="0"/>
              <w:rPr>
                <w:sz w:val="20"/>
                <w:szCs w:val="20"/>
                <w:color w:val="auto"/>
              </w:rPr>
            </w:pPr>
            <w:r>
              <w:rPr>
                <w:rFonts w:ascii="Arial" w:cs="Arial" w:eastAsia="Arial" w:hAnsi="Arial"/>
                <w:sz w:val="18"/>
                <w:szCs w:val="18"/>
                <w:color w:val="auto"/>
              </w:rPr>
              <w:t>2,421.5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2,421.5</w:t>
            </w: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100.90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7,987,387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June 2008</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2,175.0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2,175.0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7,765,240</w:t>
            </w:r>
          </w:p>
        </w:tc>
      </w:tr>
      <w:tr>
        <w:trPr>
          <w:trHeight w:val="20"/>
        </w:trPr>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3,146.7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3,146.7</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102.07</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three months ended June 30, 2008, Schlumberger repurchased a total of 5.45 million shares of common stock under both the 2006 Program and the 2008 Program at an average price of $101.90 for a total of $555 million.</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or tax withholding obligations. Schlumberger does not view these transactions as implicating the disclosure required under this Item. The number of shares of Schlumberger common stock received from optionholders is immaterial.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10.1 – Fourth Amendment to Schlumberger 1989 Stock Incentive Plan.</w:t>
      </w:r>
    </w:p>
    <w:p>
      <w:pPr>
        <w:spacing w:after="0" w:line="171"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10.2 – Fourth Amendment to Schlumberger 1994 Stock Option Plan.</w:t>
      </w:r>
    </w:p>
    <w:p>
      <w:pPr>
        <w:spacing w:after="0" w:line="171"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10.3 Second Amendment to Schlumberger 1998 Stock Option Plan.</w:t>
      </w:r>
    </w:p>
    <w:p>
      <w:pPr>
        <w:spacing w:after="0" w:line="171"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10.4 First Amendment to Schlumberger 2001 Stock Option Plan.</w:t>
      </w:r>
    </w:p>
    <w:p>
      <w:pPr>
        <w:spacing w:after="0" w:line="171"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10.5 First and Second Amendments to Schlumberger 2005 Stock Incentive Plan.</w:t>
      </w:r>
    </w:p>
    <w:p>
      <w:pPr>
        <w:spacing w:after="0" w:line="171"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10.6 First Amendment to Schlumberger 2008 Stock Incentive Plan.</w:t>
      </w:r>
    </w:p>
    <w:p>
      <w:pPr>
        <w:spacing w:after="0" w:line="171" w:lineRule="exact"/>
        <w:rPr>
          <w:rFonts w:ascii="Arial" w:cs="Arial" w:eastAsia="Arial" w:hAnsi="Arial"/>
          <w:sz w:val="18"/>
          <w:szCs w:val="18"/>
          <w:color w:val="auto"/>
        </w:rPr>
      </w:pPr>
    </w:p>
    <w:p>
      <w:pPr>
        <w:ind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131" w:lineRule="exact"/>
        <w:rPr>
          <w:rFonts w:ascii="Arial" w:cs="Arial" w:eastAsia="Arial" w:hAnsi="Arial"/>
          <w:sz w:val="18"/>
          <w:szCs w:val="18"/>
          <w:color w:val="auto"/>
        </w:rPr>
      </w:pPr>
    </w:p>
    <w:p>
      <w:pPr>
        <w:ind w:right="60"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132" w:lineRule="exact"/>
        <w:rPr>
          <w:sz w:val="20"/>
          <w:szCs w:val="20"/>
          <w:color w:val="auto"/>
        </w:rPr>
      </w:pPr>
    </w:p>
    <w:p>
      <w:pPr>
        <w:ind w:right="6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131" w:lineRule="exact"/>
        <w:rPr>
          <w:rFonts w:ascii="Arial" w:cs="Arial" w:eastAsia="Arial" w:hAnsi="Arial"/>
          <w:sz w:val="18"/>
          <w:szCs w:val="18"/>
          <w:color w:val="auto"/>
        </w:rPr>
      </w:pPr>
    </w:p>
    <w:p>
      <w:pPr>
        <w:ind w:right="28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Form 10-Q.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10-Q.</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Date: July 23,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Howard Guild</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Howard Guild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Accounting Officer and Duly Authorized Signatory</w:t>
            </w:r>
          </w:p>
        </w:tc>
      </w:tr>
    </w:tbl>
    <w:p>
      <w:pPr>
        <w:sectPr>
          <w:pgSz w:w="11900" w:h="16838" w:orient="portrait"/>
          <w:cols w:equalWidth="0" w:num="1">
            <w:col w:w="11420"/>
          </w:cols>
          <w:pgMar w:left="240" w:top="459"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1989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January 26, 1989)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1989 Stock Incentive Plan, as established effective January 26, 1989, and having reserved the right under Section 15 thereof to amend the Plan, does hereby amend the Plan, generally effective January 17, 2008, or as otherwise specified below, as follows:</w:t>
      </w:r>
    </w:p>
    <w:p>
      <w:pPr>
        <w:spacing w:after="0" w:line="2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5(c)(i) of the Plan is hereby amended in its entirety to read as follows: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84" w:lineRule="exact"/>
        <w:rPr>
          <w:sz w:val="20"/>
          <w:szCs w:val="20"/>
          <w:color w:val="auto"/>
        </w:rPr>
      </w:pPr>
    </w:p>
    <w:p>
      <w:pPr>
        <w:ind w:left="460" w:right="5380" w:hanging="452"/>
        <w:spacing w:after="0" w:line="344" w:lineRule="auto"/>
        <w:tabs>
          <w:tab w:leader="none" w:pos="4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Section 5(c)(iv) of the Plan is hereby amended in its entirely to read as follows: “(iv) </w:t>
      </w:r>
      <w:r>
        <w:rPr>
          <w:rFonts w:ascii="Arial" w:cs="Arial" w:eastAsia="Arial" w:hAnsi="Arial"/>
          <w:sz w:val="18"/>
          <w:szCs w:val="18"/>
          <w:i w:val="1"/>
          <w:iCs w:val="1"/>
          <w:color w:val="auto"/>
        </w:rPr>
        <w:t>Termination of Employment and Subsequent Events.</w:t>
      </w:r>
    </w:p>
    <w:p>
      <w:pPr>
        <w:ind w:left="460" w:right="20" w:firstLine="443"/>
        <w:spacing w:after="0" w:line="256" w:lineRule="auto"/>
        <w:tabs>
          <w:tab w:leader="none" w:pos="1186"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62" w:lineRule="exact"/>
        <w:rPr>
          <w:rFonts w:ascii="Arial" w:cs="Arial" w:eastAsia="Arial" w:hAnsi="Arial"/>
          <w:sz w:val="18"/>
          <w:szCs w:val="18"/>
          <w:color w:val="auto"/>
        </w:rPr>
      </w:pPr>
    </w:p>
    <w:p>
      <w:pPr>
        <w:ind w:left="460" w:right="300" w:firstLine="443"/>
        <w:spacing w:after="0" w:line="294" w:lineRule="auto"/>
        <w:tabs>
          <w:tab w:leader="none" w:pos="1176" w:val="left"/>
        </w:tabs>
        <w:numPr>
          <w:ilvl w:val="2"/>
          <w:numId w:val="21"/>
        </w:numPr>
        <w:rPr>
          <w:rFonts w:ascii="Arial" w:cs="Arial" w:eastAsia="Arial" w:hAnsi="Arial"/>
          <w:sz w:val="16"/>
          <w:szCs w:val="16"/>
          <w:color w:val="auto"/>
        </w:rPr>
      </w:pPr>
      <w:r>
        <w:rPr>
          <w:rFonts w:ascii="Arial" w:cs="Arial" w:eastAsia="Arial" w:hAnsi="Arial"/>
          <w:sz w:val="16"/>
          <w:szCs w:val="16"/>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be a period commencing on the date of death and ending (i) for Stock Options granted on or after October 19, 1994, sixty (60) months after the date of death or the remainder of the Option Period, whichever is less, and (ii) for all other Stock Options, twelve (12) months after the date of death or the remainder of the Option Period, whichever is less.</w:t>
      </w:r>
    </w:p>
    <w:p>
      <w:pPr>
        <w:spacing w:after="0" w:line="34" w:lineRule="exact"/>
        <w:rPr>
          <w:rFonts w:ascii="Arial" w:cs="Arial" w:eastAsia="Arial" w:hAnsi="Arial"/>
          <w:sz w:val="16"/>
          <w:szCs w:val="16"/>
          <w:color w:val="auto"/>
        </w:rPr>
      </w:pPr>
    </w:p>
    <w:p>
      <w:pPr>
        <w:ind w:left="460" w:right="160" w:firstLine="443"/>
        <w:spacing w:after="0" w:line="283" w:lineRule="auto"/>
        <w:tabs>
          <w:tab w:leader="none" w:pos="1176" w:val="left"/>
        </w:tabs>
        <w:numPr>
          <w:ilvl w:val="2"/>
          <w:numId w:val="21"/>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be a period commencing on the date of the optionee’s termination of employment ending</w:t>
      </w:r>
    </w:p>
    <w:p>
      <w:pPr>
        <w:spacing w:after="0" w:line="2" w:lineRule="exact"/>
        <w:rPr>
          <w:rFonts w:ascii="Arial" w:cs="Arial" w:eastAsia="Arial" w:hAnsi="Arial"/>
          <w:sz w:val="16"/>
          <w:szCs w:val="16"/>
          <w:color w:val="auto"/>
        </w:rPr>
      </w:pPr>
    </w:p>
    <w:p>
      <w:pPr>
        <w:ind w:left="460" w:right="320" w:firstLine="4"/>
        <w:spacing w:after="0" w:line="323" w:lineRule="auto"/>
        <w:tabs>
          <w:tab w:leader="none" w:pos="670" w:val="left"/>
        </w:tabs>
        <w:numPr>
          <w:ilvl w:val="1"/>
          <w:numId w:val="21"/>
        </w:numPr>
        <w:rPr>
          <w:rFonts w:ascii="Arial" w:cs="Arial" w:eastAsia="Arial" w:hAnsi="Arial"/>
          <w:sz w:val="16"/>
          <w:szCs w:val="16"/>
          <w:color w:val="auto"/>
        </w:rPr>
      </w:pPr>
      <w:r>
        <w:rPr>
          <w:rFonts w:ascii="Arial" w:cs="Arial" w:eastAsia="Arial" w:hAnsi="Arial"/>
          <w:sz w:val="16"/>
          <w:szCs w:val="16"/>
          <w:color w:val="auto"/>
        </w:rPr>
        <w:t>for Stock Options granted on or after October 19, 1994, sixty (60) months after the date of death or the remainder of the Option Period, whichever is less, and (ii) for all other Stock Options, twelve (12) months after the date of death or the remainder of the Option Period, whichever is less.</w:t>
      </w:r>
    </w:p>
    <w:p>
      <w:pPr>
        <w:spacing w:after="0" w:line="11" w:lineRule="exact"/>
        <w:rPr>
          <w:rFonts w:ascii="Arial" w:cs="Arial" w:eastAsia="Arial" w:hAnsi="Arial"/>
          <w:sz w:val="16"/>
          <w:szCs w:val="16"/>
          <w:color w:val="auto"/>
        </w:rPr>
      </w:pPr>
    </w:p>
    <w:p>
      <w:pPr>
        <w:jc w:val="both"/>
        <w:ind w:left="460" w:right="20" w:firstLine="443"/>
        <w:spacing w:after="0" w:line="335" w:lineRule="auto"/>
        <w:tabs>
          <w:tab w:leader="none" w:pos="1186" w:val="left"/>
        </w:tabs>
        <w:numPr>
          <w:ilvl w:val="2"/>
          <w:numId w:val="22"/>
        </w:numPr>
        <w:rPr>
          <w:rFonts w:ascii="Arial" w:cs="Arial" w:eastAsia="Arial" w:hAnsi="Arial"/>
          <w:sz w:val="15"/>
          <w:szCs w:val="15"/>
          <w:color w:val="auto"/>
        </w:rPr>
      </w:pPr>
      <w:r>
        <w:rPr>
          <w:rFonts w:ascii="Arial" w:cs="Arial" w:eastAsia="Arial" w:hAnsi="Arial"/>
          <w:sz w:val="15"/>
          <w:szCs w:val="15"/>
          <w:color w:val="auto"/>
        </w:rPr>
        <w:t>If the optionee’s employment with the Company is terminated without the consent of the Company for any reason other than the death of the optionee, or if the optionee’s employment with the Company is terminated for cause, his rights under any then outstanding Stock Option shall terminate immediately. The Committee shall be the sole judge of whether the optionee’s employment is terminated without the consent of the Company or for cause.”</w:t>
      </w:r>
    </w:p>
    <w:p>
      <w:pPr>
        <w:sectPr>
          <w:pgSz w:w="11900" w:h="16838" w:orient="portrait"/>
          <w:cols w:equalWidth="0" w:num="1">
            <w:col w:w="11420"/>
          </w:cols>
          <w:pgMar w:left="240" w:top="125" w:right="239" w:bottom="1440" w:gutter="0" w:footer="0" w:header="0"/>
        </w:sectPr>
      </w:pPr>
    </w:p>
    <w:bookmarkStart w:id="26" w:name="page27"/>
    <w:bookmarkEnd w:id="26"/>
    <w:p>
      <w:pPr>
        <w:ind w:left="452" w:right="5440" w:hanging="452"/>
        <w:spacing w:after="0" w:line="344" w:lineRule="auto"/>
        <w:tabs>
          <w:tab w:leader="none" w:pos="441"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5(c)(v) of the Plan is hereby amended in its entirety to read as follows: “(v) </w:t>
      </w:r>
      <w:r>
        <w:rPr>
          <w:rFonts w:ascii="Arial" w:cs="Arial" w:eastAsia="Arial" w:hAnsi="Arial"/>
          <w:sz w:val="18"/>
          <w:szCs w:val="18"/>
          <w:i w:val="1"/>
          <w:iCs w:val="1"/>
          <w:color w:val="auto"/>
        </w:rPr>
        <w:t>Retirement, Disability and Subsequent Events.</w:t>
      </w:r>
    </w:p>
    <w:p>
      <w:pPr>
        <w:ind w:left="892"/>
        <w:spacing w:after="0"/>
        <w:rPr>
          <w:rFonts w:ascii="Arial" w:cs="Arial" w:eastAsia="Arial" w:hAnsi="Arial"/>
          <w:sz w:val="18"/>
          <w:szCs w:val="18"/>
          <w:color w:val="auto"/>
        </w:rPr>
      </w:pPr>
      <w:r>
        <w:rPr>
          <w:rFonts w:ascii="Arial" w:cs="Arial" w:eastAsia="Arial" w:hAnsi="Arial"/>
          <w:sz w:val="18"/>
          <w:szCs w:val="18"/>
          <w:color w:val="auto"/>
        </w:rPr>
        <w:t>This section 5(c)(v) shall apply solely with respect to Stock Options granted after January 22, 1992.</w:t>
      </w:r>
    </w:p>
    <w:p>
      <w:pPr>
        <w:spacing w:after="0" w:line="90" w:lineRule="exact"/>
        <w:rPr>
          <w:rFonts w:ascii="Arial" w:cs="Arial" w:eastAsia="Arial" w:hAnsi="Arial"/>
          <w:sz w:val="18"/>
          <w:szCs w:val="18"/>
          <w:color w:val="auto"/>
        </w:rPr>
      </w:pPr>
    </w:p>
    <w:p>
      <w:pPr>
        <w:jc w:val="both"/>
        <w:ind w:left="452" w:firstLine="443"/>
        <w:spacing w:after="0" w:line="298" w:lineRule="auto"/>
        <w:tabs>
          <w:tab w:leader="none" w:pos="11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(within the meaning of the prevailing pension plan in which such optionee is a participant),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w:t>
      </w:r>
    </w:p>
    <w:p>
      <w:pPr>
        <w:spacing w:after="0" w:line="31" w:lineRule="exact"/>
        <w:rPr>
          <w:rFonts w:ascii="Arial" w:cs="Arial" w:eastAsia="Arial" w:hAnsi="Arial"/>
          <w:sz w:val="16"/>
          <w:szCs w:val="16"/>
          <w:color w:val="auto"/>
        </w:rPr>
      </w:pPr>
    </w:p>
    <w:p>
      <w:pPr>
        <w:ind w:left="452" w:right="40" w:firstLine="443"/>
        <w:spacing w:after="0" w:line="290" w:lineRule="auto"/>
        <w:tabs>
          <w:tab w:leader="none" w:pos="11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37" w:lineRule="exact"/>
        <w:rPr>
          <w:rFonts w:ascii="Arial" w:cs="Arial" w:eastAsia="Arial" w:hAnsi="Arial"/>
          <w:sz w:val="16"/>
          <w:szCs w:val="16"/>
          <w:color w:val="auto"/>
        </w:rPr>
      </w:pPr>
    </w:p>
    <w:p>
      <w:pPr>
        <w:ind w:left="452" w:right="20" w:firstLine="443"/>
        <w:spacing w:after="0" w:line="306" w:lineRule="auto"/>
        <w:tabs>
          <w:tab w:leader="none" w:pos="11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5" w:lineRule="exact"/>
        <w:rPr>
          <w:rFonts w:ascii="Arial" w:cs="Arial" w:eastAsia="Arial" w:hAnsi="Arial"/>
          <w:sz w:val="16"/>
          <w:szCs w:val="16"/>
          <w:color w:val="auto"/>
        </w:rPr>
      </w:pPr>
    </w:p>
    <w:p>
      <w:pPr>
        <w:ind w:left="452" w:right="20" w:firstLine="443"/>
        <w:spacing w:after="0" w:line="286" w:lineRule="auto"/>
        <w:tabs>
          <w:tab w:leader="none" w:pos="11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Notwithstanding the foregoing, if at any time after termination due to retirement the optionee engages in ‘detrimental activity’ (as hereinafter defined), the Committee in its discretion may cause the optionee’s right to exercise such option to be forfeited. Such forfeiture may occur at any time subsequent to the date that is three (3) months after the optionee’s termination of employment and prior to the actual delivery of shares pursuant to the exercise of such option. If an allegation of detrimental activity by an optionee is made to the Committee, the exercisability of the optionee’s options will be suspended for up to two months to permit the investigation of such allegation. For purposes of this Section 5(c)(v),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business of the Company and any subsidiaries, (2) enters into employment with a competitor under circumstances suggesting that such optionee will be using unique or special knowledge gained as a Company employee to compete with the Company, (3) is convicted by a court of competent jurisdiction of any felony or a crime involving moral turpitude, (4) uses information obtained during the course of his or her prior employment for his or her own purposes, such as for the solicitation of business, (5) is determined to have engaged (whether or not prior to termination due to retirement) in either gross misconduct or criminal activity harmful to the Company, or (6) takes any action that harms the business interests, reputation, or goodwill of the Company and/or its subsidiaries.”</w:t>
      </w:r>
    </w:p>
    <w:p>
      <w:pPr>
        <w:spacing w:after="0" w:line="161" w:lineRule="exact"/>
        <w:rPr>
          <w:rFonts w:ascii="Arial" w:cs="Arial" w:eastAsia="Arial" w:hAnsi="Arial"/>
          <w:sz w:val="16"/>
          <w:szCs w:val="16"/>
          <w:color w:val="auto"/>
        </w:rPr>
      </w:pPr>
    </w:p>
    <w:p>
      <w:pPr>
        <w:ind w:left="452" w:right="68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avoidance of doubt, in no event shall the provisions of this Amendment apply to any Stock Option held by an optionee whose employment terminated due to death or disability prior to January 17, 2008.</w:t>
      </w:r>
    </w:p>
    <w:p>
      <w:pPr>
        <w:sectPr>
          <w:pgSz w:w="11900" w:h="16838" w:orient="portrait"/>
          <w:cols w:equalWidth="0" w:num="1">
            <w:col w:w="11412"/>
          </w:cols>
          <w:pgMar w:left="248" w:top="280" w:right="239" w:bottom="1440" w:gutter="0" w:footer="0" w:header="0"/>
        </w:sectPr>
      </w:pPr>
    </w:p>
    <w:bookmarkStart w:id="27" w:name="page28"/>
    <w:bookmarkEnd w:id="27"/>
    <w:p>
      <w:pPr>
        <w:ind w:left="10520"/>
        <w:spacing w:after="0"/>
        <w:rPr>
          <w:sz w:val="20"/>
          <w:szCs w:val="20"/>
          <w:color w:val="auto"/>
        </w:rPr>
      </w:pPr>
      <w:r>
        <w:rPr>
          <w:rFonts w:ascii="Arial" w:cs="Arial" w:eastAsia="Arial" w:hAnsi="Arial"/>
          <w:sz w:val="16"/>
          <w:szCs w:val="16"/>
          <w:b w:val="1"/>
          <w:bCs w:val="1"/>
          <w:color w:val="auto"/>
        </w:rPr>
        <w:t>Exhibit 10.2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1994 STOCK OPTION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January 26, 1994)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1994 Stock Option Plan, as established effective January 26, 1994, and having reserved the right under Section 12 thereof to amend the Plan, does hereby amend the Plan, generally effective January 17, 2008, or as otherwise specified below, as follows:</w:t>
      </w:r>
    </w:p>
    <w:p>
      <w:pPr>
        <w:spacing w:after="0" w:line="26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5(c)(i) of the Plan is hereby amended in its entirety to read as follows:</w:t>
      </w:r>
    </w:p>
    <w:p>
      <w:pPr>
        <w:spacing w:after="0" w:line="90"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53" w:lineRule="exact"/>
        <w:rPr>
          <w:sz w:val="20"/>
          <w:szCs w:val="20"/>
          <w:color w:val="auto"/>
        </w:rPr>
      </w:pPr>
    </w:p>
    <w:p>
      <w:pPr>
        <w:ind w:left="460" w:right="5380" w:hanging="452"/>
        <w:spacing w:after="0" w:line="344" w:lineRule="auto"/>
        <w:tabs>
          <w:tab w:leader="none" w:pos="4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Section 5(c)(iv) of the Plan is hereby amended in its entirely to read as follows: “(iv) </w:t>
      </w:r>
      <w:r>
        <w:rPr>
          <w:rFonts w:ascii="Arial" w:cs="Arial" w:eastAsia="Arial" w:hAnsi="Arial"/>
          <w:sz w:val="18"/>
          <w:szCs w:val="18"/>
          <w:i w:val="1"/>
          <w:iCs w:val="1"/>
          <w:color w:val="auto"/>
        </w:rPr>
        <w:t>Termination of Employment and Subsequent Events.</w:t>
      </w:r>
    </w:p>
    <w:p>
      <w:pPr>
        <w:ind w:left="460" w:right="20" w:firstLine="443"/>
        <w:spacing w:after="0" w:line="256" w:lineRule="auto"/>
        <w:tabs>
          <w:tab w:leader="none" w:pos="1186"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62" w:lineRule="exact"/>
        <w:rPr>
          <w:rFonts w:ascii="Arial" w:cs="Arial" w:eastAsia="Arial" w:hAnsi="Arial"/>
          <w:sz w:val="18"/>
          <w:szCs w:val="18"/>
          <w:color w:val="auto"/>
        </w:rPr>
      </w:pPr>
    </w:p>
    <w:p>
      <w:pPr>
        <w:ind w:left="460" w:right="300" w:firstLine="443"/>
        <w:spacing w:after="0" w:line="294" w:lineRule="auto"/>
        <w:tabs>
          <w:tab w:leader="none" w:pos="1176" w:val="left"/>
        </w:tabs>
        <w:numPr>
          <w:ilvl w:val="2"/>
          <w:numId w:val="25"/>
        </w:numPr>
        <w:rPr>
          <w:rFonts w:ascii="Arial" w:cs="Arial" w:eastAsia="Arial" w:hAnsi="Arial"/>
          <w:sz w:val="16"/>
          <w:szCs w:val="16"/>
          <w:color w:val="auto"/>
        </w:rPr>
      </w:pPr>
      <w:r>
        <w:rPr>
          <w:rFonts w:ascii="Arial" w:cs="Arial" w:eastAsia="Arial" w:hAnsi="Arial"/>
          <w:sz w:val="16"/>
          <w:szCs w:val="16"/>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be a period commencing on the date of death and ending (i) for Stock Options granted on or after October 19, 1994, sixty (60) months after the date of death or the remainder of the Option Period, whichever is less, and (ii) for all other Stock Options, twelve (12) months after the date of death or the remainder of the Option Period, whichever is less.</w:t>
      </w:r>
    </w:p>
    <w:p>
      <w:pPr>
        <w:spacing w:after="0" w:line="34" w:lineRule="exact"/>
        <w:rPr>
          <w:rFonts w:ascii="Arial" w:cs="Arial" w:eastAsia="Arial" w:hAnsi="Arial"/>
          <w:sz w:val="16"/>
          <w:szCs w:val="16"/>
          <w:color w:val="auto"/>
        </w:rPr>
      </w:pPr>
    </w:p>
    <w:p>
      <w:pPr>
        <w:ind w:left="460" w:right="80" w:firstLine="443"/>
        <w:spacing w:after="0" w:line="302" w:lineRule="auto"/>
        <w:tabs>
          <w:tab w:leader="none" w:pos="1176" w:val="left"/>
        </w:tabs>
        <w:numPr>
          <w:ilvl w:val="2"/>
          <w:numId w:val="25"/>
        </w:numPr>
        <w:rPr>
          <w:rFonts w:ascii="Arial" w:cs="Arial" w:eastAsia="Arial" w:hAnsi="Arial"/>
          <w:sz w:val="15"/>
          <w:szCs w:val="15"/>
          <w:color w:val="auto"/>
        </w:rPr>
      </w:pPr>
      <w:r>
        <w:rPr>
          <w:rFonts w:ascii="Arial" w:cs="Arial" w:eastAsia="Arial" w:hAnsi="Arial"/>
          <w:sz w:val="15"/>
          <w:szCs w:val="15"/>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be a period commencing on the date of the optionee’s termination of employment and ending</w:t>
      </w:r>
    </w:p>
    <w:p>
      <w:pPr>
        <w:spacing w:after="0" w:line="2" w:lineRule="exact"/>
        <w:rPr>
          <w:rFonts w:ascii="Arial" w:cs="Arial" w:eastAsia="Arial" w:hAnsi="Arial"/>
          <w:sz w:val="15"/>
          <w:szCs w:val="15"/>
          <w:color w:val="auto"/>
        </w:rPr>
      </w:pPr>
    </w:p>
    <w:p>
      <w:pPr>
        <w:ind w:left="460" w:firstLine="4"/>
        <w:spacing w:after="0" w:line="255" w:lineRule="auto"/>
        <w:tabs>
          <w:tab w:leader="none" w:pos="6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Stock Options granted on or after October 19, 1994, sixty (60) months after the date of termination of employment or the remainder of the Option Period, whichever is less, and (ii) for all other Stock Options, twelve (12) months after the date of death or the remainder of the Option Period, whichever is less.</w:t>
      </w:r>
    </w:p>
    <w:p>
      <w:pPr>
        <w:spacing w:after="0" w:line="63" w:lineRule="exact"/>
        <w:rPr>
          <w:rFonts w:ascii="Arial" w:cs="Arial" w:eastAsia="Arial" w:hAnsi="Arial"/>
          <w:sz w:val="18"/>
          <w:szCs w:val="18"/>
          <w:color w:val="auto"/>
        </w:rPr>
      </w:pPr>
    </w:p>
    <w:p>
      <w:pPr>
        <w:ind w:left="460" w:right="100" w:firstLine="443"/>
        <w:spacing w:after="0" w:line="256" w:lineRule="auto"/>
        <w:tabs>
          <w:tab w:leader="none" w:pos="1186"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ectPr>
          <w:pgSz w:w="11900" w:h="16838" w:orient="portrait"/>
          <w:cols w:equalWidth="0" w:num="1">
            <w:col w:w="11420"/>
          </w:cols>
          <w:pgMar w:left="240" w:top="125" w:right="239" w:bottom="1440" w:gutter="0" w:footer="0" w:header="0"/>
        </w:sectPr>
      </w:pPr>
    </w:p>
    <w:bookmarkStart w:id="28" w:name="page29"/>
    <w:bookmarkEnd w:id="28"/>
    <w:p>
      <w:pPr>
        <w:ind w:left="452" w:right="60" w:firstLine="443"/>
        <w:spacing w:after="0" w:line="285" w:lineRule="auto"/>
        <w:tabs>
          <w:tab w:leader="none" w:pos="1158" w:val="left"/>
        </w:tabs>
        <w:numPr>
          <w:ilvl w:val="2"/>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following termination of employment for any reason other than retirement, the Committee, in its discretion, may cause the optionee’ 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 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66" w:lineRule="exact"/>
        <w:rPr>
          <w:rFonts w:ascii="Arial" w:cs="Arial" w:eastAsia="Arial" w:hAnsi="Arial"/>
          <w:sz w:val="16"/>
          <w:szCs w:val="16"/>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5(c)(v) of the Plan is hereby amended in its entirety to read as follows:</w:t>
      </w:r>
    </w:p>
    <w:p>
      <w:pPr>
        <w:spacing w:after="0" w:line="90" w:lineRule="exact"/>
        <w:rPr>
          <w:rFonts w:ascii="Arial" w:cs="Arial" w:eastAsia="Arial" w:hAnsi="Arial"/>
          <w:sz w:val="18"/>
          <w:szCs w:val="18"/>
          <w:color w:val="auto"/>
        </w:rPr>
      </w:pPr>
    </w:p>
    <w:p>
      <w:pPr>
        <w:ind w:left="752" w:hanging="296"/>
        <w:spacing w:after="0"/>
        <w:tabs>
          <w:tab w:leader="none" w:pos="75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p>
    <w:p>
      <w:pPr>
        <w:spacing w:after="0" w:line="90" w:lineRule="exact"/>
        <w:rPr>
          <w:sz w:val="20"/>
          <w:szCs w:val="20"/>
          <w:color w:val="auto"/>
        </w:rPr>
      </w:pPr>
    </w:p>
    <w:p>
      <w:pPr>
        <w:ind w:left="452" w:right="20" w:firstLine="438"/>
        <w:spacing w:after="0" w:line="298" w:lineRule="auto"/>
        <w:rPr>
          <w:sz w:val="20"/>
          <w:szCs w:val="20"/>
          <w:color w:val="auto"/>
        </w:rPr>
      </w:pPr>
      <w:r>
        <w:rPr>
          <w:rFonts w:ascii="Arial" w:cs="Arial" w:eastAsia="Arial" w:hAnsi="Arial"/>
          <w:sz w:val="16"/>
          <w:szCs w:val="16"/>
          <w:color w:val="auto"/>
        </w:rPr>
        <w:t>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w:t>
      </w:r>
    </w:p>
    <w:p>
      <w:pPr>
        <w:spacing w:after="0" w:line="113" w:lineRule="exact"/>
        <w:rPr>
          <w:sz w:val="20"/>
          <w:szCs w:val="20"/>
          <w:color w:val="auto"/>
        </w:rPr>
      </w:pPr>
    </w:p>
    <w:p>
      <w:pPr>
        <w:ind w:left="452" w:right="20" w:firstLine="443"/>
        <w:spacing w:after="0" w:line="290" w:lineRule="auto"/>
        <w:tabs>
          <w:tab w:leader="none" w:pos="11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118" w:lineRule="exact"/>
        <w:rPr>
          <w:rFonts w:ascii="Arial" w:cs="Arial" w:eastAsia="Arial" w:hAnsi="Arial"/>
          <w:sz w:val="16"/>
          <w:szCs w:val="16"/>
          <w:color w:val="auto"/>
        </w:rPr>
      </w:pPr>
    </w:p>
    <w:p>
      <w:pPr>
        <w:ind w:left="452" w:firstLine="443"/>
        <w:spacing w:after="0" w:line="306" w:lineRule="auto"/>
        <w:tabs>
          <w:tab w:leader="none" w:pos="11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106" w:lineRule="exact"/>
        <w:rPr>
          <w:rFonts w:ascii="Arial" w:cs="Arial" w:eastAsia="Arial" w:hAnsi="Arial"/>
          <w:sz w:val="16"/>
          <w:szCs w:val="16"/>
          <w:color w:val="auto"/>
        </w:rPr>
      </w:pPr>
    </w:p>
    <w:p>
      <w:pPr>
        <w:ind w:left="452" w:right="80" w:firstLine="443"/>
        <w:spacing w:after="0" w:line="306" w:lineRule="auto"/>
        <w:tabs>
          <w:tab w:leader="none" w:pos="11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5(c)(iv)(E)) within five years after termination of employment by reason of retirement, the Committee, in its discretion, may cause the optionee’s right to exercise such option to be forfeited. Such forfeiture may occur at any time after the Committee determines that the optionee has engaged in</w:t>
      </w:r>
    </w:p>
    <w:p>
      <w:pPr>
        <w:sectPr>
          <w:pgSz w:w="11900" w:h="16838" w:orient="portrait"/>
          <w:cols w:equalWidth="0" w:num="1">
            <w:col w:w="11392"/>
          </w:cols>
          <w:pgMar w:left="248" w:top="280" w:right="259" w:bottom="1440" w:gutter="0" w:footer="0" w:header="0"/>
        </w:sectPr>
      </w:pPr>
    </w:p>
    <w:bookmarkStart w:id="29" w:name="page30"/>
    <w:bookmarkEnd w:id="29"/>
    <w:p>
      <w:pPr>
        <w:ind w:left="452"/>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56" w:lineRule="exact"/>
        <w:rPr>
          <w:sz w:val="20"/>
          <w:szCs w:val="20"/>
          <w:color w:val="auto"/>
        </w:rPr>
      </w:pPr>
    </w:p>
    <w:p>
      <w:pPr>
        <w:ind w:left="452" w:right="68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avoidance of doubt, in no event shall the provisions of this Amendment apply to any Stock Option held by an optinee whose employment terminated due to death or disability prior to January 17, 2008.</w:t>
      </w:r>
    </w:p>
    <w:p>
      <w:pPr>
        <w:sectPr>
          <w:pgSz w:w="11900" w:h="16838" w:orient="portrait"/>
          <w:cols w:equalWidth="0" w:num="1">
            <w:col w:w="11332"/>
          </w:cols>
          <w:pgMar w:left="248" w:top="280"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1998 STOCK OPTION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January 21, 1998)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1998 Stock Option Plan, as established effective January 21, 1998, and having reserved the right under Section 12 thereof to amend the Plan, does hereby amend the Plan, generally effective January 17, 2008, or as otherwise specified below, as follows:</w:t>
      </w:r>
    </w:p>
    <w:p>
      <w:pPr>
        <w:spacing w:after="0" w:line="26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sentence of Section 3(b) of the Plan is hereby amended to read as follows:</w:t>
      </w:r>
    </w:p>
    <w:p>
      <w:pPr>
        <w:spacing w:after="0" w:line="90" w:lineRule="exact"/>
        <w:rPr>
          <w:rFonts w:ascii="Arial" w:cs="Arial" w:eastAsia="Arial" w:hAnsi="Arial"/>
          <w:sz w:val="18"/>
          <w:szCs w:val="18"/>
          <w:color w:val="auto"/>
        </w:rPr>
      </w:pPr>
    </w:p>
    <w:p>
      <w:pPr>
        <w:ind w:left="460" w:right="60"/>
        <w:spacing w:after="0" w:line="256" w:lineRule="auto"/>
        <w:rPr>
          <w:rFonts w:ascii="Arial" w:cs="Arial" w:eastAsia="Arial" w:hAnsi="Arial"/>
          <w:sz w:val="18"/>
          <w:szCs w:val="18"/>
          <w:color w:val="auto"/>
        </w:rPr>
      </w:pPr>
      <w:r>
        <w:rPr>
          <w:rFonts w:ascii="Arial" w:cs="Arial" w:eastAsia="Arial" w:hAnsi="Arial"/>
          <w:sz w:val="18"/>
          <w:szCs w:val="18"/>
          <w:color w:val="auto"/>
        </w:rPr>
        <w:t>“Except in the case of death or disability (as described in Section 5(c)(iv)(B) or 5(c)(v)(B)),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5(c)(i) of the Plan is hereby amended in its entirety to read as follows:</w:t>
      </w:r>
    </w:p>
    <w:p>
      <w:pPr>
        <w:spacing w:after="0" w:line="90" w:lineRule="exact"/>
        <w:rPr>
          <w:sz w:val="20"/>
          <w:szCs w:val="20"/>
          <w:color w:val="auto"/>
        </w:rPr>
      </w:pPr>
    </w:p>
    <w:p>
      <w:pPr>
        <w:jc w:val="both"/>
        <w:ind w:left="460" w:right="360" w:firstLine="438"/>
        <w:spacing w:after="0" w:line="298" w:lineRule="auto"/>
        <w:rPr>
          <w:sz w:val="20"/>
          <w:szCs w:val="20"/>
          <w:color w:val="auto"/>
        </w:rPr>
      </w:pPr>
      <w:r>
        <w:rPr>
          <w:rFonts w:ascii="Arial" w:cs="Arial" w:eastAsia="Arial" w:hAnsi="Arial"/>
          <w:sz w:val="16"/>
          <w:szCs w:val="16"/>
          <w:color w:val="auto"/>
        </w:rPr>
        <w:t>“(i) Subject to the requirements of Section 3(b), each Stock Option granted hereunder shall be exercisable in one or more installments (annual or other) on such date or dates as the Committee may in its sole discretion determine and communicate to the optionee in communicating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53" w:lineRule="exact"/>
        <w:rPr>
          <w:sz w:val="20"/>
          <w:szCs w:val="20"/>
          <w:color w:val="auto"/>
        </w:rPr>
      </w:pPr>
    </w:p>
    <w:p>
      <w:pPr>
        <w:ind w:left="460" w:right="5380" w:hanging="452"/>
        <w:spacing w:after="0" w:line="344" w:lineRule="auto"/>
        <w:tabs>
          <w:tab w:leader="none" w:pos="4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Section 5(c)(iv) of the Plan is hereby amended in its entirely to read as follows: “(iv) </w:t>
      </w:r>
      <w:r>
        <w:rPr>
          <w:rFonts w:ascii="Arial" w:cs="Arial" w:eastAsia="Arial" w:hAnsi="Arial"/>
          <w:sz w:val="18"/>
          <w:szCs w:val="18"/>
          <w:i w:val="1"/>
          <w:iCs w:val="1"/>
          <w:color w:val="auto"/>
        </w:rPr>
        <w:t>Termination of Employment and Subsequent Events.</w:t>
      </w:r>
    </w:p>
    <w:p>
      <w:pPr>
        <w:ind w:left="460" w:right="20" w:firstLine="443"/>
        <w:spacing w:after="0" w:line="256" w:lineRule="auto"/>
        <w:tabs>
          <w:tab w:leader="none" w:pos="1186" w:val="left"/>
        </w:tabs>
        <w:numPr>
          <w:ilvl w:val="2"/>
          <w:numId w:val="32"/>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62" w:lineRule="exact"/>
        <w:rPr>
          <w:rFonts w:ascii="Arial" w:cs="Arial" w:eastAsia="Arial" w:hAnsi="Arial"/>
          <w:sz w:val="18"/>
          <w:szCs w:val="18"/>
          <w:color w:val="auto"/>
        </w:rPr>
      </w:pPr>
    </w:p>
    <w:p>
      <w:pPr>
        <w:ind w:left="460" w:right="100" w:firstLine="443"/>
        <w:spacing w:after="0" w:line="256" w:lineRule="auto"/>
        <w:tabs>
          <w:tab w:leader="none" w:pos="1176"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62" w:lineRule="exact"/>
        <w:rPr>
          <w:rFonts w:ascii="Arial" w:cs="Arial" w:eastAsia="Arial" w:hAnsi="Arial"/>
          <w:sz w:val="18"/>
          <w:szCs w:val="18"/>
          <w:color w:val="auto"/>
        </w:rPr>
      </w:pPr>
    </w:p>
    <w:p>
      <w:pPr>
        <w:ind w:left="460" w:right="160" w:firstLine="443"/>
        <w:spacing w:after="0" w:line="283" w:lineRule="auto"/>
        <w:tabs>
          <w:tab w:leader="none" w:pos="1176" w:val="left"/>
        </w:tabs>
        <w:numPr>
          <w:ilvl w:val="2"/>
          <w:numId w:val="32"/>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commence on the date of the optionee’s termination of employment and shall end sixty</w:t>
      </w:r>
    </w:p>
    <w:p>
      <w:pPr>
        <w:spacing w:after="0" w:line="2" w:lineRule="exact"/>
        <w:rPr>
          <w:rFonts w:ascii="Arial" w:cs="Arial" w:eastAsia="Arial" w:hAnsi="Arial"/>
          <w:sz w:val="16"/>
          <w:szCs w:val="16"/>
          <w:color w:val="auto"/>
        </w:rPr>
      </w:pPr>
    </w:p>
    <w:p>
      <w:pPr>
        <w:ind w:left="800" w:hanging="336"/>
        <w:spacing w:after="0"/>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months thereafter or the remainder of the Option Period whichever is less.</w:t>
      </w:r>
    </w:p>
    <w:p>
      <w:pPr>
        <w:spacing w:after="0" w:line="83" w:lineRule="exact"/>
        <w:rPr>
          <w:rFonts w:ascii="Arial" w:cs="Arial" w:eastAsia="Arial" w:hAnsi="Arial"/>
          <w:sz w:val="18"/>
          <w:szCs w:val="18"/>
          <w:color w:val="auto"/>
        </w:rPr>
      </w:pPr>
    </w:p>
    <w:p>
      <w:pPr>
        <w:ind w:left="460" w:right="100" w:firstLine="443"/>
        <w:spacing w:after="0" w:line="256" w:lineRule="auto"/>
        <w:tabs>
          <w:tab w:leader="none" w:pos="1186"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ectPr>
          <w:pgSz w:w="11900" w:h="16838" w:orient="portrait"/>
          <w:cols w:equalWidth="0" w:num="1">
            <w:col w:w="11420"/>
          </w:cols>
          <w:pgMar w:left="240" w:top="125" w:right="239" w:bottom="1440" w:gutter="0" w:footer="0" w:header="0"/>
        </w:sectPr>
      </w:pPr>
    </w:p>
    <w:bookmarkStart w:id="31" w:name="page32"/>
    <w:bookmarkEnd w:id="31"/>
    <w:p>
      <w:pPr>
        <w:ind w:left="452" w:firstLine="443"/>
        <w:spacing w:after="0" w:line="282" w:lineRule="auto"/>
        <w:tabs>
          <w:tab w:leader="none" w:pos="1158" w:val="left"/>
        </w:tabs>
        <w:numPr>
          <w:ilvl w:val="2"/>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w:t>
      </w:r>
    </w:p>
    <w:p>
      <w:pPr>
        <w:spacing w:after="0" w:line="4" w:lineRule="exact"/>
        <w:rPr>
          <w:rFonts w:ascii="Arial" w:cs="Arial" w:eastAsia="Arial" w:hAnsi="Arial"/>
          <w:sz w:val="16"/>
          <w:szCs w:val="16"/>
          <w:color w:val="auto"/>
        </w:rPr>
      </w:pPr>
    </w:p>
    <w:p>
      <w:pPr>
        <w:ind w:left="712" w:hanging="256"/>
        <w:spacing w:after="0"/>
        <w:tabs>
          <w:tab w:leader="none" w:pos="71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takes any action that harms the business interests, reputation, or goodwill of the Company and/or its subsidiaries.”</w:t>
      </w:r>
    </w:p>
    <w:p>
      <w:pPr>
        <w:spacing w:after="0" w:line="205" w:lineRule="exact"/>
        <w:rPr>
          <w:rFonts w:ascii="Arial" w:cs="Arial" w:eastAsia="Arial" w:hAnsi="Arial"/>
          <w:sz w:val="18"/>
          <w:szCs w:val="18"/>
          <w:color w:val="auto"/>
        </w:rPr>
      </w:pPr>
    </w:p>
    <w:p>
      <w:pPr>
        <w:ind w:left="452" w:right="5420" w:hanging="452"/>
        <w:spacing w:after="0" w:line="344" w:lineRule="auto"/>
        <w:tabs>
          <w:tab w:leader="none" w:pos="4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Section 5(c)(v) of the Plan is hereby amended in its entirety to read as follows: “(v) </w:t>
      </w:r>
      <w:r>
        <w:rPr>
          <w:rFonts w:ascii="Arial" w:cs="Arial" w:eastAsia="Arial" w:hAnsi="Arial"/>
          <w:sz w:val="18"/>
          <w:szCs w:val="18"/>
          <w:i w:val="1"/>
          <w:iCs w:val="1"/>
          <w:color w:val="auto"/>
        </w:rPr>
        <w:t>Retirement, Disability and Subsequent Events.</w:t>
      </w:r>
    </w:p>
    <w:p>
      <w:pPr>
        <w:ind w:left="452" w:right="180" w:firstLine="443"/>
        <w:spacing w:after="0" w:line="298" w:lineRule="auto"/>
        <w:tabs>
          <w:tab w:leader="none" w:pos="1178" w:val="left"/>
        </w:tabs>
        <w:numPr>
          <w:ilvl w:val="2"/>
          <w:numId w:val="36"/>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w:t>
      </w:r>
    </w:p>
    <w:p>
      <w:pPr>
        <w:spacing w:after="0" w:line="31" w:lineRule="exact"/>
        <w:rPr>
          <w:rFonts w:ascii="Arial" w:cs="Arial" w:eastAsia="Arial" w:hAnsi="Arial"/>
          <w:sz w:val="16"/>
          <w:szCs w:val="16"/>
          <w:color w:val="auto"/>
        </w:rPr>
      </w:pPr>
    </w:p>
    <w:p>
      <w:pPr>
        <w:ind w:left="452" w:right="20" w:firstLine="443"/>
        <w:spacing w:after="0" w:line="290" w:lineRule="auto"/>
        <w:tabs>
          <w:tab w:leader="none" w:pos="1168" w:val="left"/>
        </w:tabs>
        <w:numPr>
          <w:ilvl w:val="2"/>
          <w:numId w:val="36"/>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37" w:lineRule="exact"/>
        <w:rPr>
          <w:rFonts w:ascii="Arial" w:cs="Arial" w:eastAsia="Arial" w:hAnsi="Arial"/>
          <w:sz w:val="16"/>
          <w:szCs w:val="16"/>
          <w:color w:val="auto"/>
        </w:rPr>
      </w:pPr>
    </w:p>
    <w:p>
      <w:pPr>
        <w:ind w:left="452" w:firstLine="443"/>
        <w:spacing w:after="0" w:line="306" w:lineRule="auto"/>
        <w:tabs>
          <w:tab w:leader="none" w:pos="1168" w:val="left"/>
        </w:tabs>
        <w:numPr>
          <w:ilvl w:val="2"/>
          <w:numId w:val="36"/>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5" w:lineRule="exact"/>
        <w:rPr>
          <w:rFonts w:ascii="Arial" w:cs="Arial" w:eastAsia="Arial" w:hAnsi="Arial"/>
          <w:sz w:val="16"/>
          <w:szCs w:val="16"/>
          <w:color w:val="auto"/>
        </w:rPr>
      </w:pPr>
    </w:p>
    <w:p>
      <w:pPr>
        <w:ind w:left="452" w:right="100" w:firstLine="443"/>
        <w:spacing w:after="0" w:line="256" w:lineRule="auto"/>
        <w:tabs>
          <w:tab w:leader="none" w:pos="1178"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Notwithstanding the foregoing, if the optionee engages in ‘detrimental activity’ (as defined in Section 5(c)(iv)(E))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w:t>
      </w:r>
    </w:p>
    <w:p>
      <w:pPr>
        <w:sectPr>
          <w:pgSz w:w="11900" w:h="16838" w:orient="portrait"/>
          <w:cols w:equalWidth="0" w:num="1">
            <w:col w:w="11392"/>
          </w:cols>
          <w:pgMar w:left="248" w:top="280" w:right="259" w:bottom="1440" w:gutter="0" w:footer="0" w:header="0"/>
        </w:sectPr>
      </w:pPr>
    </w:p>
    <w:bookmarkStart w:id="32" w:name="page33"/>
    <w:bookmarkEnd w:id="32"/>
    <w:p>
      <w:pPr>
        <w:ind w:left="452"/>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156" w:lineRule="exact"/>
        <w:rPr>
          <w:sz w:val="20"/>
          <w:szCs w:val="20"/>
          <w:color w:val="auto"/>
        </w:rPr>
      </w:pPr>
    </w:p>
    <w:p>
      <w:pPr>
        <w:ind w:left="452" w:right="460" w:hanging="452"/>
        <w:spacing w:after="0" w:line="268" w:lineRule="auto"/>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avoidance of doubt, in no event shall the provisions of this Amendment apply to any Stock Option held by an optionee whose employment terminated due to death or disability prior to January 17, 2008.</w:t>
      </w:r>
    </w:p>
    <w:p>
      <w:pPr>
        <w:sectPr>
          <w:pgSz w:w="11900" w:h="16838" w:orient="portrait"/>
          <w:cols w:equalWidth="0" w:num="1">
            <w:col w:w="11192"/>
          </w:cols>
          <w:pgMar w:left="248" w:top="280"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February 16, 2001)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2001 Stock Option Plan, as established effective February 16, 2001, and having reserved the right under Section 12 thereof to amend the Plan, does hereby amend the Plan, generally effective January 17, 2008, or as otherwise specified below, as follows:</w:t>
      </w:r>
    </w:p>
    <w:p>
      <w:pPr>
        <w:spacing w:after="0" w:line="26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sentence of Section 3(b) of the Plan is hereby amended to read as follows:</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“Except in the case of death or disability (as described in Section 5(c)(iv)(B) or 5(c)(v)(B)),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8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5(c)(i) of the Plan is hereby amended in its entirety to read as follows:</w:t>
      </w:r>
    </w:p>
    <w:p>
      <w:pPr>
        <w:spacing w:after="0" w:line="90"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Subject to the requirements of Section 3(b), each Stock Option granted hereunder shall be exercisable in one or more installments (annual or other) on such date or dates as the Committee may in its sole discretion determine and communicate to the optionee in communicating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5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5(c)(iv) of the Plan is hereby amended in its entirely to read as follows:</w:t>
      </w:r>
    </w:p>
    <w:p>
      <w:pPr>
        <w:spacing w:after="0" w:line="90" w:lineRule="exact"/>
        <w:rPr>
          <w:sz w:val="20"/>
          <w:szCs w:val="20"/>
          <w:color w:val="auto"/>
        </w:rPr>
      </w:pPr>
    </w:p>
    <w:p>
      <w:pPr>
        <w:ind w:left="760" w:hanging="29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p>
    <w:p>
      <w:pPr>
        <w:spacing w:after="0" w:line="90"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62"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62"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commence on the date of the optionee’s termination of employment and shall end sixty (60) months thereafter or the remainder of the Option Period whichever is less.</w:t>
      </w:r>
    </w:p>
    <w:p>
      <w:pPr>
        <w:spacing w:after="0" w:line="35"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ectPr>
          <w:pgSz w:w="11900" w:h="16838" w:orient="portrait"/>
          <w:cols w:equalWidth="0" w:num="1">
            <w:col w:w="11420"/>
          </w:cols>
          <w:pgMar w:left="240" w:top="125" w:right="239" w:bottom="1440" w:gutter="0" w:footer="0" w:header="0"/>
        </w:sectPr>
      </w:pPr>
    </w:p>
    <w:bookmarkStart w:id="34" w:name="page35"/>
    <w:bookmarkEnd w:id="34"/>
    <w:p>
      <w:pPr>
        <w:ind w:left="912" w:firstLine="4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w:t>
      </w:r>
    </w:p>
    <w:p>
      <w:pPr>
        <w:spacing w:after="0" w:line="4" w:lineRule="exact"/>
        <w:rPr>
          <w:sz w:val="20"/>
          <w:szCs w:val="20"/>
          <w:color w:val="auto"/>
        </w:rPr>
      </w:pPr>
    </w:p>
    <w:p>
      <w:pPr>
        <w:ind w:left="912" w:firstLine="1"/>
        <w:spacing w:after="0" w:line="290" w:lineRule="auto"/>
        <w:tabs>
          <w:tab w:leader="none" w:pos="116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58" w:lineRule="exact"/>
        <w:rPr>
          <w:rFonts w:ascii="Arial" w:cs="Arial" w:eastAsia="Arial" w:hAnsi="Arial"/>
          <w:sz w:val="16"/>
          <w:szCs w:val="16"/>
          <w:color w:val="auto"/>
        </w:rPr>
      </w:pPr>
    </w:p>
    <w:p>
      <w:pPr>
        <w:ind w:left="452" w:right="5440" w:hanging="452"/>
        <w:spacing w:after="0" w:line="344" w:lineRule="auto"/>
        <w:tabs>
          <w:tab w:leader="none" w:pos="4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Section 5(c)(v) of the Plan is hereby amended in its entirety to read as follows: “(v) </w:t>
      </w: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1" w:lineRule="exact"/>
        <w:rPr>
          <w:sz w:val="20"/>
          <w:szCs w:val="20"/>
          <w:color w:val="auto"/>
        </w:rPr>
      </w:pPr>
    </w:p>
    <w:p>
      <w:pPr>
        <w:ind w:left="452" w:right="60" w:firstLine="438"/>
        <w:spacing w:after="0" w:line="294" w:lineRule="auto"/>
        <w:rPr>
          <w:sz w:val="20"/>
          <w:szCs w:val="20"/>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5(c)(v), “retirement” shall mean termination of the optionee’s employment with the Company and all affiliates at or after (i) age 55 or (ii) age 50 and completion of at least 10 years of service with the Company and all affiliates.</w:t>
      </w:r>
    </w:p>
    <w:p>
      <w:pPr>
        <w:spacing w:after="0" w:line="35" w:lineRule="exact"/>
        <w:rPr>
          <w:sz w:val="20"/>
          <w:szCs w:val="20"/>
          <w:color w:val="auto"/>
        </w:rPr>
      </w:pPr>
    </w:p>
    <w:p>
      <w:pPr>
        <w:ind w:left="452" w:right="40" w:firstLine="438"/>
        <w:spacing w:after="0" w:line="290" w:lineRule="auto"/>
        <w:rPr>
          <w:sz w:val="20"/>
          <w:szCs w:val="20"/>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37" w:lineRule="exact"/>
        <w:rPr>
          <w:sz w:val="20"/>
          <w:szCs w:val="20"/>
          <w:color w:val="auto"/>
        </w:rPr>
      </w:pPr>
    </w:p>
    <w:p>
      <w:pPr>
        <w:jc w:val="both"/>
        <w:ind w:left="452" w:right="280" w:firstLine="438"/>
        <w:spacing w:after="0" w:line="306" w:lineRule="auto"/>
        <w:rPr>
          <w:sz w:val="20"/>
          <w:szCs w:val="20"/>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6" w:lineRule="exact"/>
        <w:rPr>
          <w:sz w:val="20"/>
          <w:szCs w:val="20"/>
          <w:color w:val="auto"/>
        </w:rPr>
      </w:pPr>
    </w:p>
    <w:p>
      <w:pPr>
        <w:jc w:val="both"/>
        <w:ind w:left="452" w:right="20" w:firstLine="438"/>
        <w:spacing w:after="0" w:line="306" w:lineRule="auto"/>
        <w:rPr>
          <w:sz w:val="20"/>
          <w:szCs w:val="20"/>
          <w:color w:val="auto"/>
        </w:rPr>
      </w:pPr>
      <w:r>
        <w:rPr>
          <w:rFonts w:ascii="Arial" w:cs="Arial" w:eastAsia="Arial" w:hAnsi="Arial"/>
          <w:sz w:val="16"/>
          <w:szCs w:val="16"/>
          <w:color w:val="auto"/>
        </w:rPr>
        <w:t>Notwithstanding the foregoing, if the optionee engages in “detrimental activity” (as defined in Section 5(c)(iv)(E))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w:t>
      </w:r>
    </w:p>
    <w:p>
      <w:pPr>
        <w:sectPr>
          <w:pgSz w:w="11900" w:h="16838" w:orient="portrait"/>
          <w:cols w:equalWidth="0" w:num="1">
            <w:col w:w="11412"/>
          </w:cols>
          <w:pgMar w:left="248" w:top="280" w:right="239" w:bottom="1440" w:gutter="0" w:footer="0" w:header="0"/>
        </w:sectPr>
      </w:pPr>
    </w:p>
    <w:bookmarkStart w:id="35" w:name="page36"/>
    <w:bookmarkEnd w:id="35"/>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185" w:lineRule="exact"/>
        <w:rPr>
          <w:sz w:val="20"/>
          <w:szCs w:val="20"/>
          <w:color w:val="auto"/>
        </w:rPr>
      </w:pPr>
    </w:p>
    <w:p>
      <w:pPr>
        <w:ind w:left="452" w:right="680" w:hanging="452"/>
        <w:spacing w:after="0" w:line="268"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avoidance of doubt, in no event shall the provisions of this Amendment apply to any Stock Option held by an optionee whose employment terminated due to death or disability prior to January 17, 2008.</w:t>
      </w:r>
    </w:p>
    <w:p>
      <w:pPr>
        <w:sectPr>
          <w:pgSz w:w="11900" w:h="16838" w:orient="portrait"/>
          <w:cols w:equalWidth="0" w:num="1">
            <w:col w:w="11412"/>
          </w:cols>
          <w:pgMar w:left="248" w:top="2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2005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January 19, 2006)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2005 Stock Incentive Plan, as amended and restated January 19, 2006, and having reserved the right under Section 12 thereof to amend the Plan, does hereby amend the Plan, generally effective January 17, 2008, or as otherwise specified below, as follows:</w:t>
      </w:r>
    </w:p>
    <w:p>
      <w:pPr>
        <w:spacing w:after="0" w:line="5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5(d)(i) of the Plan is hereby amended in its entirely to read as follows:</w:t>
      </w:r>
    </w:p>
    <w:p>
      <w:pPr>
        <w:spacing w:after="0" w:line="90"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i w:val="1"/>
          <w:iCs w:val="1"/>
          <w:color w:val="auto"/>
        </w:rPr>
        <w:t>“(i) Exercise Schedule</w:t>
      </w:r>
      <w:r>
        <w:rPr>
          <w:rFonts w:ascii="Arial" w:cs="Arial" w:eastAsia="Arial" w:hAnsi="Arial"/>
          <w:sz w:val="18"/>
          <w:szCs w:val="18"/>
          <w:color w:val="auto"/>
        </w:rPr>
        <w:t>. Subject to the requirements of paragraphs (A) and (B) below, each Stock Option granted hereunder shall be exercisable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installments (annual or other) on such date or dates as the Committee may in its sole discretion determine and communicate to the optionee in communicating the grant of the option.</w:t>
      </w:r>
    </w:p>
    <w:p>
      <w:pPr>
        <w:spacing w:after="0" w:line="59" w:lineRule="exact"/>
        <w:rPr>
          <w:sz w:val="20"/>
          <w:szCs w:val="20"/>
          <w:color w:val="auto"/>
        </w:rPr>
      </w:pPr>
    </w:p>
    <w:p>
      <w:pPr>
        <w:ind w:left="920" w:right="760" w:firstLine="421"/>
        <w:spacing w:after="0" w:line="332" w:lineRule="auto"/>
        <w:tabs>
          <w:tab w:leader="none" w:pos="1627"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4" w:lineRule="exact"/>
        <w:rPr>
          <w:rFonts w:ascii="Arial" w:cs="Arial" w:eastAsia="Arial" w:hAnsi="Arial"/>
          <w:sz w:val="16"/>
          <w:szCs w:val="16"/>
          <w:color w:val="auto"/>
        </w:rPr>
      </w:pPr>
    </w:p>
    <w:p>
      <w:pPr>
        <w:ind w:left="920" w:right="60" w:firstLine="421"/>
        <w:spacing w:after="0" w:line="256" w:lineRule="auto"/>
        <w:tabs>
          <w:tab w:leader="none" w:pos="1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83" w:lineRule="exact"/>
        <w:rPr>
          <w:rFonts w:ascii="Arial" w:cs="Arial" w:eastAsia="Arial" w:hAnsi="Arial"/>
          <w:sz w:val="18"/>
          <w:szCs w:val="18"/>
          <w:color w:val="auto"/>
        </w:rPr>
      </w:pPr>
    </w:p>
    <w:p>
      <w:pPr>
        <w:ind w:left="460" w:right="5380" w:hanging="452"/>
        <w:spacing w:after="0" w:line="362" w:lineRule="auto"/>
        <w:tabs>
          <w:tab w:leader="none" w:pos="4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Section 5(d)(iv) of the Plan is hereby amended in its entirely to read as follows: </w:t>
      </w:r>
      <w:r>
        <w:rPr>
          <w:rFonts w:ascii="Arial" w:cs="Arial" w:eastAsia="Arial" w:hAnsi="Arial"/>
          <w:sz w:val="18"/>
          <w:szCs w:val="18"/>
          <w:i w:val="1"/>
          <w:iCs w:val="1"/>
          <w:color w:val="auto"/>
        </w:rPr>
        <w:t>Termination of Employment and Subsequent Events.</w:t>
      </w:r>
    </w:p>
    <w:p>
      <w:pPr>
        <w:spacing w:after="0" w:line="51"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143"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43"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5(d)(iv)(C), the Post-Death Exercise Period shall commence on the date of the optionee’s termination of employment and shall end sixty (60) months thereafter or the remainder of the Option Period whichever is less.</w:t>
      </w:r>
    </w:p>
    <w:p>
      <w:pPr>
        <w:spacing w:after="0" w:line="116" w:lineRule="exact"/>
        <w:rPr>
          <w:sz w:val="20"/>
          <w:szCs w:val="20"/>
          <w:color w:val="auto"/>
        </w:rPr>
      </w:pPr>
    </w:p>
    <w:p>
      <w:pPr>
        <w:ind w:left="460" w:right="640" w:firstLine="438"/>
        <w:spacing w:after="0" w:line="268" w:lineRule="auto"/>
        <w:rPr>
          <w:sz w:val="20"/>
          <w:szCs w:val="20"/>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w:t>
      </w:r>
    </w:p>
    <w:p>
      <w:pPr>
        <w:sectPr>
          <w:pgSz w:w="11900" w:h="16838" w:orient="portrait"/>
          <w:cols w:equalWidth="0" w:num="1">
            <w:col w:w="11420"/>
          </w:cols>
          <w:pgMar w:left="240" w:top="125" w:right="239" w:bottom="1440" w:gutter="0" w:footer="0" w:header="0"/>
        </w:sectPr>
      </w:pPr>
    </w:p>
    <w:bookmarkStart w:id="37" w:name="page38"/>
    <w:bookmarkEnd w:id="37"/>
    <w:p>
      <w:pPr>
        <w:ind w:left="45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terminated for cause, his or her rights under any then outstanding Stock Option shall terminate immediately. The Committee shall be the sole judge of whether the optionee’s employment is terminated without the consent of the Company or for cause. 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62"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5(d)(v) of the Plan is hereby amended in its entirety to read as follows: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0" w:lineRule="exact"/>
        <w:rPr>
          <w:sz w:val="20"/>
          <w:szCs w:val="20"/>
          <w:color w:val="auto"/>
        </w:rPr>
      </w:pPr>
    </w:p>
    <w:p>
      <w:pPr>
        <w:ind w:left="452" w:right="40" w:firstLine="438"/>
        <w:spacing w:after="0" w:line="294" w:lineRule="auto"/>
        <w:rPr>
          <w:sz w:val="20"/>
          <w:szCs w:val="20"/>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5" w:lineRule="exact"/>
        <w:rPr>
          <w:sz w:val="20"/>
          <w:szCs w:val="20"/>
          <w:color w:val="auto"/>
        </w:rPr>
      </w:pPr>
    </w:p>
    <w:p>
      <w:pPr>
        <w:ind w:left="452" w:right="20" w:firstLine="438"/>
        <w:spacing w:after="0" w:line="290" w:lineRule="auto"/>
        <w:rPr>
          <w:sz w:val="20"/>
          <w:szCs w:val="20"/>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5(d)(v),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37" w:lineRule="exact"/>
        <w:rPr>
          <w:sz w:val="20"/>
          <w:szCs w:val="20"/>
          <w:color w:val="auto"/>
        </w:rPr>
      </w:pPr>
    </w:p>
    <w:p>
      <w:pPr>
        <w:jc w:val="both"/>
        <w:ind w:left="452" w:right="260" w:firstLine="438"/>
        <w:spacing w:after="0" w:line="306" w:lineRule="auto"/>
        <w:rPr>
          <w:sz w:val="20"/>
          <w:szCs w:val="20"/>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ectPr>
          <w:pgSz w:w="11900" w:h="16838" w:orient="portrait"/>
          <w:cols w:equalWidth="0" w:num="1">
            <w:col w:w="11392"/>
          </w:cols>
          <w:pgMar w:left="248" w:top="280" w:right="259" w:bottom="1440" w:gutter="0" w:footer="0" w:header="0"/>
        </w:sectPr>
      </w:pPr>
    </w:p>
    <w:bookmarkStart w:id="38" w:name="page39"/>
    <w:bookmarkEnd w:id="38"/>
    <w:p>
      <w:pPr>
        <w:ind w:left="452"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defined in Section 5(d)(iv)(E))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159" w:lineRule="exact"/>
        <w:rPr>
          <w:sz w:val="20"/>
          <w:szCs w:val="20"/>
          <w:color w:val="auto"/>
        </w:rPr>
      </w:pPr>
    </w:p>
    <w:p>
      <w:pPr>
        <w:ind w:left="452" w:right="680" w:hanging="452"/>
        <w:spacing w:after="0" w:line="268"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avoidance of doubt, in no event shall the provisions of this Amendment apply to any Stock Option held by an optionee whose employment terminated due to death or disability prior to January 17, 2008.</w:t>
      </w:r>
    </w:p>
    <w:p>
      <w:pPr>
        <w:sectPr>
          <w:pgSz w:w="11900" w:h="16838" w:orient="portrait"/>
          <w:cols w:equalWidth="0" w:num="1">
            <w:col w:w="11412"/>
          </w:cols>
          <w:pgMar w:left="248" w:top="280"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2005 STOCK INCENTIVE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Effective January 19, 2006)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Amendment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2005 Stock Incentive Plan, as amended and restated effective January 19, 2006 and as thereafter amended (the “Plan”), and having reserved the right under Section 12 thereof to amend the Plan, does hereby amend the second sentence of Section 2(b) of the Plan, effective as of April 17, 2008, as follows:</w:t>
      </w:r>
    </w:p>
    <w:p>
      <w:pPr>
        <w:spacing w:after="0" w:line="59"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“All 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w:t>
      </w:r>
    </w:p>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2008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January 17,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2008 Stock Incentive Plan, as established effective January 17, 2008 (the “Plan”), and having reserved the right under Section 12 thereof to amend the Plan, does hereby amend the second sentence of Section 2(b) of the Plan, effective as of April 17, 2008, as follows:</w:t>
      </w:r>
    </w:p>
    <w:p>
      <w:pPr>
        <w:spacing w:after="0" w:line="59"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“All 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2008</w:t>
      </w:r>
    </w:p>
    <w:p>
      <w:pPr>
        <w:spacing w:after="0" w:line="212"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2008</w:t>
      </w:r>
    </w:p>
    <w:p>
      <w:pPr>
        <w:spacing w:after="0" w:line="212"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Simon Ayat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2008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July 23, 2008</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Andrew Gould</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Chairman and Chief Executive 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2008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July 23, 2008</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Simon Ayat</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Simon Ayat</w:t>
            </w:r>
          </w:p>
        </w:tc>
      </w:tr>
      <w:tr>
        <w:trPr>
          <w:trHeight w:val="216"/>
        </w:trPr>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2"/>
    </w:lvl>
  </w:abstractNum>
  <w:abstractNum w:abstractNumId="2">
    <w:nsid w:val="54E49EB4"/>
    <w:multiLevelType w:val="hybridMultilevel"/>
    <w:lvl w:ilvl="0">
      <w:lvlJc w:val="left"/>
      <w:lvlText w:val="%1."/>
      <w:numFmt w:val="decimal"/>
      <w:start w:val="3"/>
    </w:lvl>
  </w:abstractNum>
  <w:abstractNum w:abstractNumId="3">
    <w:nsid w:val="71F32454"/>
    <w:multiLevelType w:val="hybridMultilevel"/>
    <w:lvl w:ilvl="0">
      <w:lvlJc w:val="left"/>
      <w:lvlText w:val="%1."/>
      <w:numFmt w:val="decimal"/>
      <w:start w:val="4"/>
    </w:lvl>
  </w:abstractNum>
  <w:abstractNum w:abstractNumId="4">
    <w:nsid w:val="2CA88611"/>
    <w:multiLevelType w:val="hybridMultilevel"/>
    <w:lvl w:ilvl="0">
      <w:lvlJc w:val="left"/>
      <w:lvlText w:val="%1."/>
      <w:numFmt w:val="decimal"/>
      <w:start w:val="7"/>
    </w:lvl>
  </w:abstractNum>
  <w:abstractNum w:abstractNumId="5">
    <w:nsid w:val="836C40E"/>
    <w:multiLevelType w:val="hybridMultilevel"/>
    <w:lvl w:ilvl="0">
      <w:lvlJc w:val="left"/>
      <w:lvlText w:val="%1."/>
      <w:numFmt w:val="decimal"/>
      <w:start w:val="8"/>
    </w:lvl>
  </w:abstractNum>
  <w:abstractNum w:abstractNumId="6">
    <w:nsid w:val="2901D82"/>
    <w:multiLevelType w:val="hybridMultilevel"/>
    <w:lvl w:ilvl="0">
      <w:lvlJc w:val="left"/>
      <w:lvlText w:val="%1."/>
      <w:numFmt w:val="decimal"/>
      <w:start w:val="9"/>
    </w:lvl>
  </w:abstractNum>
  <w:abstractNum w:abstractNumId="7">
    <w:nsid w:val="3A95F874"/>
    <w:multiLevelType w:val="hybridMultilevel"/>
    <w:lvl w:ilvl="0">
      <w:lvlJc w:val="left"/>
      <w:lvlText w:val="%1."/>
      <w:numFmt w:val="decimal"/>
      <w:start w:val="10"/>
    </w:lvl>
  </w:abstractNum>
  <w:abstractNum w:abstractNumId="8">
    <w:nsid w:val="8138641"/>
    <w:multiLevelType w:val="hybridMultilevel"/>
    <w:lvl w:ilvl="0">
      <w:lvlJc w:val="left"/>
      <w:lvlText w:val="%1."/>
      <w:numFmt w:val="decimal"/>
      <w:start w:val="11"/>
    </w:lvl>
  </w:abstractNum>
  <w:abstractNum w:abstractNumId="9">
    <w:nsid w:val="1E7FF521"/>
    <w:multiLevelType w:val="hybridMultilevel"/>
    <w:lvl w:ilvl="0">
      <w:lvlJc w:val="left"/>
      <w:lvlText w:val="%1."/>
      <w:numFmt w:val="decimal"/>
      <w:start w:val="12"/>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3"/>
    </w:lvl>
  </w:abstractNum>
  <w:abstractNum w:abstractNumId="13">
    <w:nsid w:val="22221A70"/>
    <w:multiLevelType w:val="hybridMultilevel"/>
    <w:lvl w:ilvl="0">
      <w:lvlJc w:val="left"/>
      <w:lvlText w:val="%1."/>
      <w:numFmt w:val="decimal"/>
      <w:start w:val="14"/>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lvl w:ilvl="1">
      <w:lvlJc w:val="left"/>
      <w:lvlText w:val="(%2)"/>
      <w:numFmt w:val="lowerRoman"/>
    </w:lvl>
    <w:lvl w:ilvl="2">
      <w:lvlJc w:val="left"/>
      <w:lvlText w:val="(%3)"/>
      <w:numFmt w:val="upperLetter"/>
      <w:start w:val="1"/>
    </w:lvl>
  </w:abstractNum>
  <w:abstractNum w:abstractNumId="21">
    <w:nsid w:val="3804823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22">
    <w:nsid w:val="77465F01"/>
    <w:multiLevelType w:val="hybridMultilevel"/>
    <w:lvl w:ilvl="0">
      <w:lvlJc w:val="left"/>
      <w:lvlText w:val="%1."/>
      <w:numFmt w:val="decimal"/>
      <w:start w:val="3"/>
    </w:lvl>
    <w:lvl w:ilvl="1">
      <w:lvlJc w:val="left"/>
      <w:lvlText w:val="(%2)"/>
      <w:numFmt w:val="upperLetter"/>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2"/>
    </w:lvl>
    <w:lvl w:ilvl="1">
      <w:lvlJc w:val="left"/>
      <w:lvlText w:val="(%2)"/>
      <w:numFmt w:val="lowerRoman"/>
    </w:lvl>
    <w:lvl w:ilvl="2">
      <w:lvlJc w:val="left"/>
      <w:lvlText w:val="(%3)"/>
      <w:numFmt w:val="upperLetter"/>
      <w:start w:val="1"/>
    </w:lvl>
  </w:abstractNum>
  <w:abstractNum w:abstractNumId="25">
    <w:nsid w:val="2463B9E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26">
    <w:nsid w:val="5E884AD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5"/>
    </w:lvl>
  </w:abstractNum>
  <w:abstractNum w:abstractNumId="27">
    <w:nsid w:val="51EAD36B"/>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28">
    <w:nsid w:val="2D517796"/>
    <w:multiLevelType w:val="hybridMultilevel"/>
    <w:lvl w:ilvl="0">
      <w:lvlJc w:val="left"/>
      <w:lvlText w:val="(%1)"/>
      <w:numFmt w:val="upperLetter"/>
      <w:start w:val="2"/>
    </w:lvl>
  </w:abstractNum>
  <w:abstractNum w:abstractNumId="29">
    <w:nsid w:val="580BD78F"/>
    <w:multiLevelType w:val="hybridMultilevel"/>
    <w:lvl w:ilvl="0">
      <w:lvlJc w:val="left"/>
      <w:lvlText w:val="%1."/>
      <w:numFmt w:val="decimal"/>
      <w:start w:val="4"/>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3"/>
    </w:lvl>
    <w:lvl w:ilvl="1">
      <w:lvlJc w:val="left"/>
      <w:lvlText w:val="(%2)"/>
      <w:numFmt w:val="decimal"/>
      <w:start w:val="59"/>
    </w:lvl>
    <w:lvl w:ilvl="2">
      <w:lvlJc w:val="left"/>
      <w:lvlText w:val="(%3)"/>
      <w:numFmt w:val="upperLetter"/>
      <w:start w:val="1"/>
    </w:lvl>
  </w:abstractNum>
  <w:abstractNum w:abstractNumId="32">
    <w:nsid w:val="70A64E2A"/>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abstractNum>
  <w:abstractNum w:abstractNumId="33">
    <w:nsid w:val="6A2342EC"/>
    <w:multiLevelType w:val="hybridMultilevel"/>
    <w:lvl w:ilvl="0">
      <w:lvlJc w:val="left"/>
      <w:lvlText w:val="%1"/>
      <w:numFmt w:val="decimal"/>
      <w:start w:val="1"/>
    </w:lvl>
    <w:lvl w:ilvl="1">
      <w:lvlJc w:val="left"/>
      <w:lvlText w:val="%2"/>
      <w:numFmt w:val="decimal"/>
      <w:start w:val="1"/>
    </w:lvl>
    <w:lvl w:ilvl="2">
      <w:lvlJc w:val="left"/>
      <w:lvlText w:val="(%3)"/>
      <w:numFmt w:val="upperLetter"/>
      <w:start w:val="5"/>
    </w:lvl>
  </w:abstractNum>
  <w:abstractNum w:abstractNumId="34">
    <w:nsid w:val="2A487CB0"/>
    <w:multiLevelType w:val="hybridMultilevel"/>
    <w:lvl w:ilvl="0">
      <w:lvlJc w:val="left"/>
      <w:lvlText w:val="%1"/>
      <w:numFmt w:val="decimal"/>
      <w:start w:val="1"/>
    </w:lvl>
    <w:lvl w:ilvl="1">
      <w:lvlJc w:val="left"/>
      <w:lvlText w:val="(%2)"/>
      <w:numFmt w:val="decimal"/>
      <w:start w:val="5"/>
    </w:lvl>
    <w:lvl w:ilvl="2">
      <w:lvlJc w:val="left"/>
      <w:lvlText w:val="%3"/>
      <w:numFmt w:val="upperLetter"/>
      <w:start w:val="1"/>
    </w:lvl>
  </w:abstractNum>
  <w:abstractNum w:abstractNumId="35">
    <w:nsid w:val="1D4ED43B"/>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2"/>
    </w:lvl>
  </w:abstractNum>
  <w:abstractNum w:abstractNumId="39">
    <w:nsid w:val="7A6D8D3C"/>
    <w:multiLevelType w:val="hybridMultilevel"/>
    <w:lvl w:ilvl="0">
      <w:lvlJc w:val="left"/>
      <w:lvlText w:val="%1."/>
      <w:numFmt w:val="decimal"/>
      <w:start w:val="3"/>
    </w:lvl>
  </w:abstractNum>
  <w:abstractNum w:abstractNumId="40">
    <w:nsid w:val="4B588F54"/>
    <w:multiLevelType w:val="hybridMultilevel"/>
    <w:lvl w:ilvl="0">
      <w:lvlJc w:val="left"/>
      <w:lvlText w:val="(%1)"/>
      <w:numFmt w:val="lowerRoman"/>
      <w:start w:val="4"/>
    </w:lvl>
  </w:abstractNum>
  <w:abstractNum w:abstractNumId="41">
    <w:nsid w:val="542289EC"/>
    <w:multiLevelType w:val="hybridMultilevel"/>
    <w:lvl w:ilvl="0">
      <w:lvlJc w:val="left"/>
      <w:lvlText w:val="%1"/>
      <w:numFmt w:val="decimal"/>
      <w:start w:val="1"/>
    </w:lvl>
    <w:lvl w:ilvl="1">
      <w:lvlJc w:val="left"/>
      <w:lvlText w:val="(%2)"/>
      <w:numFmt w:val="decimal"/>
      <w:start w:val="1"/>
    </w:lvl>
  </w:abstractNum>
  <w:abstractNum w:abstractNumId="42">
    <w:nsid w:val="6DE91B18"/>
    <w:multiLevelType w:val="hybridMultilevel"/>
    <w:lvl w:ilvl="0">
      <w:lvlJc w:val="left"/>
      <w:lvlText w:val="%1."/>
      <w:numFmt w:val="decimal"/>
      <w:start w:val="4"/>
    </w:lvl>
    <w:lvl w:ilvl="1">
      <w:lvlJc w:val="left"/>
      <w:lvlText w:val="%2"/>
      <w:numFmt w:val="decimal"/>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lvl w:ilvl="1">
      <w:lvlJc w:val="left"/>
      <w:lvlText w:val="(%2)"/>
      <w:numFmt w:val="upperLetter"/>
      <w:start w:val="1"/>
    </w:lvl>
  </w:abstractNum>
  <w:abstractNum w:abstractNumId="46">
    <w:nsid w:val="684A481A"/>
    <w:multiLevelType w:val="hybridMultilevel"/>
    <w:lvl w:ilvl="0">
      <w:lvlJc w:val="left"/>
      <w:lvlText w:val="%1."/>
      <w:numFmt w:val="decimal"/>
      <w:start w:val="2"/>
    </w:lvl>
    <w:lvl w:ilvl="1">
      <w:lvlJc w:val="left"/>
      <w:lvlText w:val="%2"/>
      <w:numFmt w:val="upperLetter"/>
      <w:start w:val="1"/>
    </w:lvl>
  </w:abstractNum>
  <w:abstractNum w:abstractNumId="47">
    <w:nsid w:val="579478FE"/>
    <w:multiLevelType w:val="hybridMultilevel"/>
    <w:lvl w:ilvl="0">
      <w:lvlJc w:val="left"/>
      <w:lvlText w:val="%1."/>
      <w:numFmt w:val="decimal"/>
      <w:start w:val="3"/>
    </w:lvl>
  </w:abstractNum>
  <w:abstractNum w:abstractNumId="48">
    <w:nsid w:val="749ABB43"/>
    <w:multiLevelType w:val="hybridMultilevel"/>
    <w:lvl w:ilvl="0">
      <w:lvlJc w:val="left"/>
      <w:lvlText w:val="%1."/>
      <w:numFmt w:val="decimal"/>
      <w:start w:val="4"/>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2019-12-11T14:09:25Z</dcterms:created>
  <dcterms:modified xsi:type="dcterms:W3CDTF">2019-12-11T14:09:25Z</dcterms:modified>
</cp:coreProperties>
</file>