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Guild Howard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Chief Accounting Officer</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9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2,846</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27,574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1,120</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40.87</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26,454</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19, 2022. Vesting of the PSUs was based on three-year Company performance relative to select key competitors. Most of these competitors had not reported their 2024 audited financial results when the Company's compensation committee met in January 2025 to certify performance under the PSUs. As a result, the Company's compensation committee approved the issuance of 80% of the shares that the committee determined had been earned according to the information available to the committee at the time. As of March 7, 2025, all such competitors had reported their 2024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4072"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2025-03-11T16:09:22Z</dcterms:created>
  <dcterms:modified xsi:type="dcterms:W3CDTF">2025-03-11T16:09:22Z</dcterms:modified>
</cp:coreProperties>
</file>