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154940</wp:posOffset>
            </wp:positionH>
            <wp:positionV relativeFrom="page">
              <wp:posOffset>154940</wp:posOffset>
            </wp:positionV>
            <wp:extent cx="7251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179705</wp:posOffset>
            </wp:positionV>
            <wp:extent cx="7251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64770</wp:posOffset>
            </wp:positionV>
            <wp:extent cx="1443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71755</wp:posOffset>
            </wp:positionV>
            <wp:extent cx="1443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520" w:hanging="516"/>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5" w:lineRule="exact"/>
        <w:rPr>
          <w:sz w:val="24"/>
          <w:szCs w:val="24"/>
          <w:color w:val="auto"/>
        </w:rPr>
      </w:pPr>
    </w:p>
    <w:p>
      <w:pPr>
        <w:ind w:left="520" w:hanging="516"/>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9"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45720</wp:posOffset>
            </wp:positionV>
            <wp:extent cx="1443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Schlumberger N.V.</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(Schlumberger Limited)</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41910</wp:posOffset>
            </wp:positionV>
            <wp:extent cx="1443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97" w:lineRule="exact"/>
        <w:rPr>
          <w:sz w:val="24"/>
          <w:szCs w:val="24"/>
          <w:color w:val="auto"/>
        </w:rPr>
      </w:pPr>
    </w:p>
    <w:tbl>
      <w:tblPr>
        <w:tblLayout w:type="fixed"/>
        <w:tblInd w:w="1360" w:type="dxa"/>
        <w:tblCellMar>
          <w:top w:w="0" w:type="dxa"/>
          <w:left w:w="0" w:type="dxa"/>
          <w:bottom w:w="0" w:type="dxa"/>
          <w:right w:w="0" w:type="dxa"/>
        </w:tblCellMar>
      </w:tblPr>
      <w:tr>
        <w:trPr>
          <w:trHeight w:val="195"/>
        </w:trPr>
        <w:tc>
          <w:tcPr>
            <w:tcW w:w="4660" w:type="dxa"/>
            <w:vAlign w:val="bottom"/>
          </w:tcPr>
          <w:p>
            <w:pPr>
              <w:jc w:val="center"/>
              <w:ind w:right="1712"/>
              <w:spacing w:after="0"/>
              <w:rPr>
                <w:sz w:val="20"/>
                <w:szCs w:val="20"/>
                <w:color w:val="auto"/>
              </w:rPr>
            </w:pPr>
            <w:r>
              <w:rPr>
                <w:rFonts w:ascii="Arial" w:cs="Arial" w:eastAsia="Arial" w:hAnsi="Arial"/>
                <w:sz w:val="16"/>
                <w:szCs w:val="16"/>
                <w:b w:val="1"/>
                <w:bCs w:val="1"/>
                <w:color w:val="auto"/>
                <w:w w:val="87"/>
              </w:rPr>
              <w:t>Curaçao</w:t>
            </w:r>
          </w:p>
        </w:tc>
        <w:tc>
          <w:tcPr>
            <w:tcW w:w="3440" w:type="dxa"/>
            <w:vAlign w:val="bottom"/>
          </w:tcPr>
          <w:p>
            <w:pPr>
              <w:jc w:val="center"/>
              <w:ind w:left="1692"/>
              <w:spacing w:after="0"/>
              <w:rPr>
                <w:sz w:val="20"/>
                <w:szCs w:val="20"/>
                <w:color w:val="auto"/>
              </w:rPr>
            </w:pPr>
            <w:r>
              <w:rPr>
                <w:rFonts w:ascii="Arial" w:cs="Arial" w:eastAsia="Arial" w:hAnsi="Arial"/>
                <w:sz w:val="16"/>
                <w:szCs w:val="16"/>
                <w:b w:val="1"/>
                <w:bCs w:val="1"/>
                <w:color w:val="auto"/>
                <w:w w:val="88"/>
              </w:rPr>
              <w:t>52-0684746</w:t>
            </w:r>
          </w:p>
        </w:tc>
        <w:tc>
          <w:tcPr>
            <w:tcW w:w="0" w:type="dxa"/>
            <w:vAlign w:val="bottom"/>
          </w:tcPr>
          <w:p>
            <w:pPr>
              <w:spacing w:after="0"/>
              <w:rPr>
                <w:sz w:val="1"/>
                <w:szCs w:val="1"/>
                <w:color w:val="auto"/>
              </w:rPr>
            </w:pPr>
          </w:p>
        </w:tc>
      </w:tr>
      <w:tr>
        <w:trPr>
          <w:trHeight w:val="154"/>
        </w:trPr>
        <w:tc>
          <w:tcPr>
            <w:tcW w:w="4660" w:type="dxa"/>
            <w:vAlign w:val="bottom"/>
          </w:tcPr>
          <w:p>
            <w:pPr>
              <w:jc w:val="center"/>
              <w:ind w:right="1692"/>
              <w:spacing w:after="0"/>
              <w:rPr>
                <w:sz w:val="20"/>
                <w:szCs w:val="20"/>
                <w:color w:val="auto"/>
              </w:rPr>
            </w:pPr>
            <w:r>
              <w:rPr>
                <w:rFonts w:ascii="Arial" w:cs="Arial" w:eastAsia="Arial" w:hAnsi="Arial"/>
                <w:sz w:val="12"/>
                <w:szCs w:val="12"/>
                <w:color w:val="auto"/>
                <w:w w:val="93"/>
              </w:rPr>
              <w:t>(State or other jurisdiction of incorporation or organization)</w:t>
            </w:r>
          </w:p>
        </w:tc>
        <w:tc>
          <w:tcPr>
            <w:tcW w:w="3440" w:type="dxa"/>
            <w:vAlign w:val="bottom"/>
          </w:tcPr>
          <w:p>
            <w:pPr>
              <w:jc w:val="center"/>
              <w:ind w:left="1692"/>
              <w:spacing w:after="0"/>
              <w:rPr>
                <w:sz w:val="20"/>
                <w:szCs w:val="20"/>
                <w:color w:val="auto"/>
              </w:rPr>
            </w:pPr>
            <w:r>
              <w:rPr>
                <w:rFonts w:ascii="Arial" w:cs="Arial" w:eastAsia="Arial" w:hAnsi="Arial"/>
                <w:sz w:val="12"/>
                <w:szCs w:val="12"/>
                <w:color w:val="auto"/>
                <w:w w:val="96"/>
              </w:rPr>
              <w:t>(IRS Employer Identification No.)</w:t>
            </w:r>
          </w:p>
        </w:tc>
        <w:tc>
          <w:tcPr>
            <w:tcW w:w="0" w:type="dxa"/>
            <w:vAlign w:val="bottom"/>
          </w:tcPr>
          <w:p>
            <w:pPr>
              <w:spacing w:after="0"/>
              <w:rPr>
                <w:sz w:val="1"/>
                <w:szCs w:val="1"/>
                <w:color w:val="auto"/>
              </w:rPr>
            </w:pPr>
          </w:p>
        </w:tc>
      </w:tr>
      <w:tr>
        <w:trPr>
          <w:trHeight w:val="175"/>
        </w:trPr>
        <w:tc>
          <w:tcPr>
            <w:tcW w:w="4660" w:type="dxa"/>
            <w:vAlign w:val="bottom"/>
          </w:tcPr>
          <w:p>
            <w:pPr>
              <w:jc w:val="center"/>
              <w:ind w:right="1712"/>
              <w:spacing w:after="0"/>
              <w:rPr>
                <w:sz w:val="20"/>
                <w:szCs w:val="20"/>
                <w:color w:val="auto"/>
              </w:rPr>
            </w:pPr>
            <w:r>
              <w:rPr>
                <w:rFonts w:ascii="Arial" w:cs="Arial" w:eastAsia="Arial" w:hAnsi="Arial"/>
                <w:sz w:val="14"/>
                <w:szCs w:val="14"/>
                <w:b w:val="1"/>
                <w:bCs w:val="1"/>
                <w:color w:val="auto"/>
                <w:w w:val="89"/>
              </w:rPr>
              <w:t>42, rue Saint-Dominique</w:t>
            </w:r>
          </w:p>
        </w:tc>
        <w:tc>
          <w:tcPr>
            <w:tcW w:w="3440" w:type="dxa"/>
            <w:vAlign w:val="bottom"/>
            <w:vMerge w:val="restart"/>
          </w:tcPr>
          <w:p>
            <w:pPr>
              <w:jc w:val="center"/>
              <w:ind w:left="1712"/>
              <w:spacing w:after="0"/>
              <w:rPr>
                <w:sz w:val="20"/>
                <w:szCs w:val="20"/>
                <w:color w:val="auto"/>
              </w:rPr>
            </w:pPr>
            <w:r>
              <w:rPr>
                <w:rFonts w:ascii="Arial" w:cs="Arial" w:eastAsia="Arial" w:hAnsi="Arial"/>
                <w:sz w:val="14"/>
                <w:szCs w:val="14"/>
                <w:b w:val="1"/>
                <w:bCs w:val="1"/>
                <w:color w:val="auto"/>
                <w:w w:val="87"/>
              </w:rPr>
              <w:t>75007</w:t>
            </w:r>
          </w:p>
        </w:tc>
        <w:tc>
          <w:tcPr>
            <w:tcW w:w="0" w:type="dxa"/>
            <w:vAlign w:val="bottom"/>
          </w:tcPr>
          <w:p>
            <w:pPr>
              <w:spacing w:after="0"/>
              <w:rPr>
                <w:sz w:val="1"/>
                <w:szCs w:val="1"/>
                <w:color w:val="auto"/>
              </w:rPr>
            </w:pPr>
          </w:p>
        </w:tc>
      </w:tr>
      <w:tr>
        <w:trPr>
          <w:trHeight w:val="179"/>
        </w:trPr>
        <w:tc>
          <w:tcPr>
            <w:tcW w:w="4660" w:type="dxa"/>
            <w:vAlign w:val="bottom"/>
          </w:tcPr>
          <w:p>
            <w:pPr>
              <w:jc w:val="center"/>
              <w:ind w:right="1712"/>
              <w:spacing w:after="0"/>
              <w:rPr>
                <w:sz w:val="20"/>
                <w:szCs w:val="20"/>
                <w:color w:val="auto"/>
              </w:rPr>
            </w:pPr>
            <w:r>
              <w:rPr>
                <w:rFonts w:ascii="Arial" w:cs="Arial" w:eastAsia="Arial" w:hAnsi="Arial"/>
                <w:sz w:val="14"/>
                <w:szCs w:val="14"/>
                <w:b w:val="1"/>
                <w:bCs w:val="1"/>
                <w:color w:val="auto"/>
                <w:w w:val="90"/>
              </w:rPr>
              <w:t>Paris, France</w:t>
            </w:r>
          </w:p>
        </w:tc>
        <w:tc>
          <w:tcPr>
            <w:tcW w:w="3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60" w:type="dxa"/>
            <w:vAlign w:val="bottom"/>
          </w:tcPr>
          <w:p>
            <w:pPr>
              <w:jc w:val="center"/>
              <w:ind w:right="1712"/>
              <w:spacing w:after="0"/>
              <w:rPr>
                <w:sz w:val="20"/>
                <w:szCs w:val="20"/>
                <w:color w:val="auto"/>
              </w:rPr>
            </w:pPr>
            <w:r>
              <w:rPr>
                <w:rFonts w:ascii="Arial" w:cs="Arial" w:eastAsia="Arial" w:hAnsi="Arial"/>
                <w:sz w:val="14"/>
                <w:szCs w:val="14"/>
                <w:b w:val="1"/>
                <w:bCs w:val="1"/>
                <w:color w:val="auto"/>
                <w:w w:val="90"/>
              </w:rPr>
              <w:t>5599 San Felipe, 17</w:t>
            </w:r>
            <w:r>
              <w:rPr>
                <w:rFonts w:ascii="Arial" w:cs="Arial" w:eastAsia="Arial" w:hAnsi="Arial"/>
                <w:sz w:val="11"/>
                <w:szCs w:val="11"/>
                <w:b w:val="1"/>
                <w:bCs w:val="1"/>
                <w:color w:val="auto"/>
                <w:w w:val="90"/>
              </w:rPr>
              <w:t>th</w:t>
            </w:r>
            <w:r>
              <w:rPr>
                <w:rFonts w:ascii="Arial" w:cs="Arial" w:eastAsia="Arial" w:hAnsi="Arial"/>
                <w:sz w:val="14"/>
                <w:szCs w:val="14"/>
                <w:b w:val="1"/>
                <w:bCs w:val="1"/>
                <w:color w:val="auto"/>
                <w:w w:val="90"/>
              </w:rPr>
              <w:t xml:space="preserve"> Floor</w:t>
            </w:r>
          </w:p>
        </w:tc>
        <w:tc>
          <w:tcPr>
            <w:tcW w:w="3440" w:type="dxa"/>
            <w:vAlign w:val="bottom"/>
            <w:vMerge w:val="restart"/>
          </w:tcPr>
          <w:p>
            <w:pPr>
              <w:jc w:val="center"/>
              <w:ind w:left="1712"/>
              <w:spacing w:after="0"/>
              <w:rPr>
                <w:sz w:val="20"/>
                <w:szCs w:val="20"/>
                <w:color w:val="auto"/>
              </w:rPr>
            </w:pPr>
            <w:r>
              <w:rPr>
                <w:rFonts w:ascii="Arial" w:cs="Arial" w:eastAsia="Arial" w:hAnsi="Arial"/>
                <w:sz w:val="14"/>
                <w:szCs w:val="14"/>
                <w:b w:val="1"/>
                <w:bCs w:val="1"/>
                <w:color w:val="auto"/>
                <w:w w:val="87"/>
              </w:rPr>
              <w:t>77056</w:t>
            </w:r>
          </w:p>
        </w:tc>
        <w:tc>
          <w:tcPr>
            <w:tcW w:w="0" w:type="dxa"/>
            <w:vAlign w:val="bottom"/>
          </w:tcPr>
          <w:p>
            <w:pPr>
              <w:spacing w:after="0"/>
              <w:rPr>
                <w:sz w:val="1"/>
                <w:szCs w:val="1"/>
                <w:color w:val="auto"/>
              </w:rPr>
            </w:pPr>
          </w:p>
        </w:tc>
      </w:tr>
      <w:tr>
        <w:trPr>
          <w:trHeight w:val="179"/>
        </w:trPr>
        <w:tc>
          <w:tcPr>
            <w:tcW w:w="4660" w:type="dxa"/>
            <w:vAlign w:val="bottom"/>
          </w:tcPr>
          <w:p>
            <w:pPr>
              <w:jc w:val="center"/>
              <w:ind w:right="1712"/>
              <w:spacing w:after="0"/>
              <w:rPr>
                <w:sz w:val="20"/>
                <w:szCs w:val="20"/>
                <w:color w:val="auto"/>
              </w:rPr>
            </w:pPr>
            <w:r>
              <w:rPr>
                <w:rFonts w:ascii="Arial" w:cs="Arial" w:eastAsia="Arial" w:hAnsi="Arial"/>
                <w:sz w:val="14"/>
                <w:szCs w:val="14"/>
                <w:b w:val="1"/>
                <w:bCs w:val="1"/>
                <w:color w:val="auto"/>
                <w:w w:val="87"/>
              </w:rPr>
              <w:t>Houston, Texas, United States of America</w:t>
            </w:r>
          </w:p>
        </w:tc>
        <w:tc>
          <w:tcPr>
            <w:tcW w:w="3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60" w:type="dxa"/>
            <w:vAlign w:val="bottom"/>
          </w:tcPr>
          <w:p>
            <w:pPr>
              <w:jc w:val="center"/>
              <w:ind w:right="1712"/>
              <w:spacing w:after="0"/>
              <w:rPr>
                <w:sz w:val="20"/>
                <w:szCs w:val="20"/>
                <w:color w:val="auto"/>
              </w:rPr>
            </w:pPr>
            <w:r>
              <w:rPr>
                <w:rFonts w:ascii="Arial" w:cs="Arial" w:eastAsia="Arial" w:hAnsi="Arial"/>
                <w:sz w:val="14"/>
                <w:szCs w:val="14"/>
                <w:b w:val="1"/>
                <w:bCs w:val="1"/>
                <w:color w:val="auto"/>
                <w:w w:val="89"/>
              </w:rPr>
              <w:t>62 Buckingham Gate,</w:t>
            </w:r>
          </w:p>
        </w:tc>
        <w:tc>
          <w:tcPr>
            <w:tcW w:w="3440" w:type="dxa"/>
            <w:vAlign w:val="bottom"/>
            <w:vMerge w:val="restart"/>
          </w:tcPr>
          <w:p>
            <w:pPr>
              <w:jc w:val="center"/>
              <w:ind w:left="1692"/>
              <w:spacing w:after="0"/>
              <w:rPr>
                <w:sz w:val="20"/>
                <w:szCs w:val="20"/>
                <w:color w:val="auto"/>
              </w:rPr>
            </w:pPr>
            <w:r>
              <w:rPr>
                <w:rFonts w:ascii="Arial" w:cs="Arial" w:eastAsia="Arial" w:hAnsi="Arial"/>
                <w:sz w:val="14"/>
                <w:szCs w:val="14"/>
                <w:b w:val="1"/>
                <w:bCs w:val="1"/>
                <w:color w:val="auto"/>
                <w:w w:val="92"/>
              </w:rPr>
              <w:t>SW1E 6AJ</w:t>
            </w:r>
          </w:p>
        </w:tc>
        <w:tc>
          <w:tcPr>
            <w:tcW w:w="0" w:type="dxa"/>
            <w:vAlign w:val="bottom"/>
          </w:tcPr>
          <w:p>
            <w:pPr>
              <w:spacing w:after="0"/>
              <w:rPr>
                <w:sz w:val="1"/>
                <w:szCs w:val="1"/>
                <w:color w:val="auto"/>
              </w:rPr>
            </w:pPr>
          </w:p>
        </w:tc>
      </w:tr>
      <w:tr>
        <w:trPr>
          <w:trHeight w:val="179"/>
        </w:trPr>
        <w:tc>
          <w:tcPr>
            <w:tcW w:w="4660" w:type="dxa"/>
            <w:vAlign w:val="bottom"/>
          </w:tcPr>
          <w:p>
            <w:pPr>
              <w:jc w:val="center"/>
              <w:ind w:right="1712"/>
              <w:spacing w:after="0"/>
              <w:rPr>
                <w:sz w:val="20"/>
                <w:szCs w:val="20"/>
                <w:color w:val="auto"/>
              </w:rPr>
            </w:pPr>
            <w:r>
              <w:rPr>
                <w:rFonts w:ascii="Arial" w:cs="Arial" w:eastAsia="Arial" w:hAnsi="Arial"/>
                <w:sz w:val="14"/>
                <w:szCs w:val="14"/>
                <w:b w:val="1"/>
                <w:bCs w:val="1"/>
                <w:color w:val="auto"/>
                <w:w w:val="90"/>
              </w:rPr>
              <w:t>London, United Kingdom</w:t>
            </w:r>
          </w:p>
        </w:tc>
        <w:tc>
          <w:tcPr>
            <w:tcW w:w="3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60" w:type="dxa"/>
            <w:vAlign w:val="bottom"/>
          </w:tcPr>
          <w:p>
            <w:pPr>
              <w:jc w:val="center"/>
              <w:ind w:right="1712"/>
              <w:spacing w:after="0"/>
              <w:rPr>
                <w:sz w:val="20"/>
                <w:szCs w:val="20"/>
                <w:color w:val="auto"/>
              </w:rPr>
            </w:pPr>
            <w:r>
              <w:rPr>
                <w:rFonts w:ascii="Arial" w:cs="Arial" w:eastAsia="Arial" w:hAnsi="Arial"/>
                <w:sz w:val="14"/>
                <w:szCs w:val="14"/>
                <w:b w:val="1"/>
                <w:bCs w:val="1"/>
                <w:color w:val="auto"/>
                <w:w w:val="91"/>
              </w:rPr>
              <w:t>Parkstraat 83, The Hague,</w:t>
            </w:r>
          </w:p>
        </w:tc>
        <w:tc>
          <w:tcPr>
            <w:tcW w:w="3440" w:type="dxa"/>
            <w:vAlign w:val="bottom"/>
            <w:vMerge w:val="restart"/>
          </w:tcPr>
          <w:p>
            <w:pPr>
              <w:jc w:val="center"/>
              <w:ind w:left="1692"/>
              <w:spacing w:after="0"/>
              <w:rPr>
                <w:sz w:val="20"/>
                <w:szCs w:val="20"/>
                <w:color w:val="auto"/>
              </w:rPr>
            </w:pPr>
            <w:r>
              <w:rPr>
                <w:rFonts w:ascii="Arial" w:cs="Arial" w:eastAsia="Arial" w:hAnsi="Arial"/>
                <w:sz w:val="14"/>
                <w:szCs w:val="14"/>
                <w:b w:val="1"/>
                <w:bCs w:val="1"/>
                <w:color w:val="auto"/>
                <w:w w:val="89"/>
              </w:rPr>
              <w:t>2514 JG</w:t>
            </w:r>
          </w:p>
        </w:tc>
        <w:tc>
          <w:tcPr>
            <w:tcW w:w="0" w:type="dxa"/>
            <w:vAlign w:val="bottom"/>
          </w:tcPr>
          <w:p>
            <w:pPr>
              <w:spacing w:after="0"/>
              <w:rPr>
                <w:sz w:val="1"/>
                <w:szCs w:val="1"/>
                <w:color w:val="auto"/>
              </w:rPr>
            </w:pPr>
          </w:p>
        </w:tc>
      </w:tr>
      <w:tr>
        <w:trPr>
          <w:trHeight w:val="151"/>
        </w:trPr>
        <w:tc>
          <w:tcPr>
            <w:tcW w:w="4660" w:type="dxa"/>
            <w:vAlign w:val="bottom"/>
          </w:tcPr>
          <w:p>
            <w:pPr>
              <w:jc w:val="center"/>
              <w:ind w:right="1712"/>
              <w:spacing w:after="0" w:line="151" w:lineRule="exact"/>
              <w:rPr>
                <w:sz w:val="20"/>
                <w:szCs w:val="20"/>
                <w:color w:val="auto"/>
              </w:rPr>
            </w:pPr>
            <w:r>
              <w:rPr>
                <w:rFonts w:ascii="Arial" w:cs="Arial" w:eastAsia="Arial" w:hAnsi="Arial"/>
                <w:sz w:val="14"/>
                <w:szCs w:val="14"/>
                <w:b w:val="1"/>
                <w:bCs w:val="1"/>
                <w:color w:val="auto"/>
                <w:w w:val="91"/>
              </w:rPr>
              <w:t>The Netherlands</w:t>
            </w:r>
          </w:p>
        </w:tc>
        <w:tc>
          <w:tcPr>
            <w:tcW w:w="3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60" w:type="dxa"/>
            <w:vAlign w:val="bottom"/>
          </w:tcPr>
          <w:p>
            <w:pPr>
              <w:jc w:val="center"/>
              <w:ind w:right="1692"/>
              <w:spacing w:after="0"/>
              <w:rPr>
                <w:sz w:val="20"/>
                <w:szCs w:val="20"/>
                <w:color w:val="auto"/>
              </w:rPr>
            </w:pPr>
            <w:r>
              <w:rPr>
                <w:rFonts w:ascii="Arial" w:cs="Arial" w:eastAsia="Arial" w:hAnsi="Arial"/>
                <w:sz w:val="12"/>
                <w:szCs w:val="12"/>
                <w:color w:val="auto"/>
                <w:w w:val="92"/>
              </w:rPr>
              <w:t>(Addresses of principal executive offices)</w:t>
            </w:r>
          </w:p>
        </w:tc>
        <w:tc>
          <w:tcPr>
            <w:tcW w:w="3440" w:type="dxa"/>
            <w:vAlign w:val="bottom"/>
          </w:tcPr>
          <w:p>
            <w:pPr>
              <w:jc w:val="center"/>
              <w:ind w:left="1712"/>
              <w:spacing w:after="0"/>
              <w:rPr>
                <w:sz w:val="20"/>
                <w:szCs w:val="20"/>
                <w:color w:val="auto"/>
              </w:rPr>
            </w:pPr>
            <w:r>
              <w:rPr>
                <w:rFonts w:ascii="Arial" w:cs="Arial" w:eastAsia="Arial" w:hAnsi="Arial"/>
                <w:sz w:val="12"/>
                <w:szCs w:val="12"/>
                <w:color w:val="auto"/>
                <w:w w:val="92"/>
              </w:rPr>
              <w:t>(Zip Codes)</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 the United States, including area code, is: (713) 513-2000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 w:lineRule="exact"/>
        <w:rPr>
          <w:sz w:val="24"/>
          <w:szCs w:val="24"/>
          <w:color w:val="auto"/>
        </w:rPr>
      </w:pPr>
    </w:p>
    <w:tbl>
      <w:tblPr>
        <w:tblLayout w:type="fixed"/>
        <w:tblInd w:w="16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62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86"/>
              </w:rPr>
              <w:t>Title of each class</w:t>
            </w:r>
          </w:p>
        </w:tc>
        <w:tc>
          <w:tcPr>
            <w:tcW w:w="3500" w:type="dxa"/>
            <w:vAlign w:val="bottom"/>
            <w:gridSpan w:val="2"/>
          </w:tcPr>
          <w:p>
            <w:pPr>
              <w:ind w:left="920"/>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0"/>
        </w:trPr>
        <w:tc>
          <w:tcPr>
            <w:tcW w:w="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117"/>
        </w:trPr>
        <w:tc>
          <w:tcPr>
            <w:tcW w:w="3260" w:type="dxa"/>
            <w:vAlign w:val="bottom"/>
            <w:gridSpan w:val="3"/>
          </w:tcPr>
          <w:p>
            <w:pPr>
              <w:jc w:val="center"/>
              <w:ind w:right="940"/>
              <w:spacing w:after="0" w:line="118" w:lineRule="exact"/>
              <w:rPr>
                <w:sz w:val="20"/>
                <w:szCs w:val="20"/>
                <w:color w:val="auto"/>
              </w:rPr>
            </w:pPr>
            <w:r>
              <w:rPr>
                <w:rFonts w:ascii="Arial" w:cs="Arial" w:eastAsia="Arial" w:hAnsi="Arial"/>
                <w:sz w:val="13"/>
                <w:szCs w:val="13"/>
                <w:color w:val="auto"/>
                <w:w w:val="94"/>
              </w:rPr>
              <w:t>Common Stock, par value $0.01 per share</w:t>
            </w:r>
          </w:p>
        </w:tc>
        <w:tc>
          <w:tcPr>
            <w:tcW w:w="3500" w:type="dxa"/>
            <w:vAlign w:val="bottom"/>
            <w:gridSpan w:val="2"/>
          </w:tcPr>
          <w:p>
            <w:pPr>
              <w:ind w:left="920"/>
              <w:spacing w:after="0" w:line="118" w:lineRule="exact"/>
              <w:rPr>
                <w:sz w:val="20"/>
                <w:szCs w:val="20"/>
                <w:color w:val="auto"/>
              </w:rPr>
            </w:pPr>
            <w:r>
              <w:rPr>
                <w:rFonts w:ascii="Arial" w:cs="Arial" w:eastAsia="Arial" w:hAnsi="Arial"/>
                <w:sz w:val="13"/>
                <w:szCs w:val="13"/>
                <w:color w:val="auto"/>
              </w:rPr>
              <w:t>New York Stock Exchange</w:t>
            </w:r>
          </w:p>
        </w:tc>
      </w:tr>
      <w:tr>
        <w:trPr>
          <w:trHeight w:val="143"/>
        </w:trPr>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500" w:type="dxa"/>
            <w:vAlign w:val="bottom"/>
            <w:gridSpan w:val="2"/>
          </w:tcPr>
          <w:p>
            <w:pPr>
              <w:ind w:left="920"/>
              <w:spacing w:after="0" w:line="143" w:lineRule="exact"/>
              <w:rPr>
                <w:sz w:val="20"/>
                <w:szCs w:val="20"/>
                <w:color w:val="auto"/>
              </w:rPr>
            </w:pPr>
            <w:r>
              <w:rPr>
                <w:rFonts w:ascii="Arial" w:cs="Arial" w:eastAsia="Arial" w:hAnsi="Arial"/>
                <w:sz w:val="14"/>
                <w:szCs w:val="14"/>
                <w:color w:val="auto"/>
              </w:rPr>
              <w:t>Euronext Paris</w:t>
            </w:r>
          </w:p>
        </w:tc>
      </w:tr>
      <w:tr>
        <w:trPr>
          <w:trHeight w:val="143"/>
        </w:trPr>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500" w:type="dxa"/>
            <w:vAlign w:val="bottom"/>
            <w:gridSpan w:val="2"/>
          </w:tcPr>
          <w:p>
            <w:pPr>
              <w:ind w:left="920"/>
              <w:spacing w:after="0" w:line="143" w:lineRule="exact"/>
              <w:rPr>
                <w:sz w:val="20"/>
                <w:szCs w:val="20"/>
                <w:color w:val="auto"/>
              </w:rPr>
            </w:pPr>
            <w:r>
              <w:rPr>
                <w:rFonts w:ascii="Arial" w:cs="Arial" w:eastAsia="Arial" w:hAnsi="Arial"/>
                <w:sz w:val="14"/>
                <w:szCs w:val="14"/>
                <w:color w:val="auto"/>
              </w:rPr>
              <w:t>The London Stock Exchange</w:t>
            </w:r>
          </w:p>
        </w:tc>
      </w:tr>
      <w:tr>
        <w:trPr>
          <w:trHeight w:val="175"/>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500" w:type="dxa"/>
            <w:vAlign w:val="bottom"/>
            <w:gridSpan w:val="2"/>
          </w:tcPr>
          <w:p>
            <w:pPr>
              <w:ind w:left="920"/>
              <w:spacing w:after="0"/>
              <w:rPr>
                <w:sz w:val="20"/>
                <w:szCs w:val="20"/>
                <w:color w:val="auto"/>
              </w:rPr>
            </w:pPr>
            <w:r>
              <w:rPr>
                <w:rFonts w:ascii="Arial" w:cs="Arial" w:eastAsia="Arial" w:hAnsi="Arial"/>
                <w:sz w:val="14"/>
                <w:szCs w:val="14"/>
                <w:color w:val="auto"/>
              </w:rPr>
              <w:t>SIX Swiss Exchange</w:t>
            </w:r>
          </w:p>
        </w:tc>
      </w:tr>
    </w:tbl>
    <w:p>
      <w:pPr>
        <w:spacing w:after="0" w:line="15" w:lineRule="exact"/>
        <w:rPr>
          <w:sz w:val="24"/>
          <w:szCs w:val="24"/>
          <w:color w:val="auto"/>
        </w:rPr>
      </w:pPr>
    </w:p>
    <w:p>
      <w:pPr>
        <w:ind w:left="386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43815</wp:posOffset>
            </wp:positionV>
            <wp:extent cx="1443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58" w:lineRule="exact"/>
        <w:rPr>
          <w:sz w:val="24"/>
          <w:szCs w:val="24"/>
          <w:color w:val="auto"/>
        </w:rPr>
      </w:pPr>
    </w:p>
    <w:p>
      <w:pPr>
        <w:ind w:right="3940"/>
        <w:spacing w:after="0" w:line="213"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jc w:val="both"/>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17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23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34" w:lineRule="exact"/>
        <w:rPr>
          <w:sz w:val="24"/>
          <w:szCs w:val="24"/>
          <w:color w:val="auto"/>
        </w:rPr>
      </w:pPr>
    </w:p>
    <w:p>
      <w:pPr>
        <w:jc w:val="both"/>
        <w:spacing w:after="0" w:line="189"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2017, the aggregate market value of the common stock of the registrant held by non-affiliates of the registrant was approximately $91.07 billion.</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As of December 31, 2017, the number of shares of common stock outstanding was 1,383,932,776.</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 w:lineRule="exact"/>
        <w:rPr>
          <w:sz w:val="24"/>
          <w:szCs w:val="24"/>
          <w:color w:val="auto"/>
        </w:rPr>
      </w:pPr>
    </w:p>
    <w:p>
      <w:pPr>
        <w:jc w:val="both"/>
        <w:spacing w:after="0" w:line="225" w:lineRule="auto"/>
        <w:rPr>
          <w:sz w:val="20"/>
          <w:szCs w:val="20"/>
          <w:color w:val="auto"/>
        </w:rPr>
      </w:pPr>
      <w:r>
        <w:rPr>
          <w:rFonts w:ascii="Arial" w:cs="Arial" w:eastAsia="Arial" w:hAnsi="Arial"/>
          <w:sz w:val="14"/>
          <w:szCs w:val="14"/>
          <w:color w:val="auto"/>
        </w:rPr>
        <w:t>Certain information required to be furnished pursuant to Part III of this Form 10-K is set forth in, and is hereby incorporated by reference herein from, Schlumberger’s definitive proxy statement for its 2018 Annual General Meeting of Stockholders, to be filed by Schlumberger with the Securities and Exchange Commission pursuant to Regulation 14A within 120 days after December 31, 2017 (the “2018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50165</wp:posOffset>
            </wp:positionV>
            <wp:extent cx="7251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74930</wp:posOffset>
            </wp:positionV>
            <wp:extent cx="7251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210820</wp:posOffset>
            </wp:positionV>
            <wp:extent cx="729361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4"/>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80" w:type="dxa"/>
            <w:vAlign w:val="bottom"/>
            <w:gridSpan w:val="7"/>
          </w:tcPr>
          <w:p>
            <w:pPr>
              <w:jc w:val="center"/>
              <w:ind w:right="3880"/>
              <w:spacing w:after="0"/>
              <w:rPr>
                <w:sz w:val="20"/>
                <w:szCs w:val="20"/>
                <w:color w:val="auto"/>
              </w:rPr>
            </w:pPr>
            <w:r>
              <w:rPr>
                <w:rFonts w:ascii="Arial" w:cs="Arial" w:eastAsia="Arial" w:hAnsi="Arial"/>
                <w:sz w:val="17"/>
                <w:szCs w:val="17"/>
                <w:b w:val="1"/>
                <w:bCs w:val="1"/>
                <w:color w:val="auto"/>
              </w:rPr>
              <w:t>SCHLUMBERGER LIMITED</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80" w:type="dxa"/>
            <w:vAlign w:val="bottom"/>
            <w:gridSpan w:val="7"/>
          </w:tcPr>
          <w:p>
            <w:pPr>
              <w:jc w:val="center"/>
              <w:ind w:right="3880"/>
              <w:spacing w:after="0"/>
              <w:rPr>
                <w:sz w:val="20"/>
                <w:szCs w:val="20"/>
                <w:color w:val="auto"/>
              </w:rPr>
            </w:pPr>
            <w:r>
              <w:rPr>
                <w:rFonts w:ascii="Arial" w:cs="Arial" w:eastAsia="Arial" w:hAnsi="Arial"/>
                <w:sz w:val="17"/>
                <w:szCs w:val="17"/>
                <w:color w:val="auto"/>
                <w:w w:val="90"/>
              </w:rPr>
              <w:t>Table of Contents</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0" w:type="dxa"/>
            <w:vAlign w:val="bottom"/>
            <w:gridSpan w:val="6"/>
          </w:tcPr>
          <w:p>
            <w:pPr>
              <w:jc w:val="center"/>
              <w:ind w:right="4860"/>
              <w:spacing w:after="0"/>
              <w:rPr>
                <w:sz w:val="20"/>
                <w:szCs w:val="20"/>
                <w:color w:val="auto"/>
              </w:rPr>
            </w:pPr>
            <w:r>
              <w:rPr>
                <w:rFonts w:ascii="Arial" w:cs="Arial" w:eastAsia="Arial" w:hAnsi="Arial"/>
                <w:sz w:val="17"/>
                <w:szCs w:val="17"/>
                <w:color w:val="auto"/>
                <w:w w:val="97"/>
              </w:rPr>
              <w:t>Form 10-K</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1060" w:type="dxa"/>
            <w:vAlign w:val="bottom"/>
            <w:gridSpan w:val="5"/>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2"/>
        </w:trPr>
        <w:tc>
          <w:tcPr>
            <w:tcW w:w="106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560" w:type="dxa"/>
            <w:vAlign w:val="bottom"/>
            <w:tcBorders>
              <w:top w:val="single" w:sz="8" w:color="0000EE"/>
            </w:tcBorders>
          </w:tcPr>
          <w:p>
            <w:pPr>
              <w:spacing w:after="0"/>
              <w:rPr>
                <w:sz w:val="20"/>
                <w:szCs w:val="20"/>
                <w:color w:val="auto"/>
              </w:rPr>
            </w:pPr>
            <w:r>
              <w:rPr>
                <w:rFonts w:ascii="Arial" w:cs="Arial" w:eastAsia="Arial" w:hAnsi="Arial"/>
                <w:sz w:val="17"/>
                <w:szCs w:val="17"/>
                <w:color w:val="auto"/>
              </w:rPr>
              <w:t>Item 1.</w:t>
            </w:r>
          </w:p>
        </w:tc>
        <w:tc>
          <w:tcPr>
            <w:tcW w:w="500" w:type="dxa"/>
            <w:vAlign w:val="bottom"/>
            <w:gridSpan w:val="4"/>
          </w:tcPr>
          <w:p>
            <w:pPr>
              <w:spacing w:after="0"/>
              <w:rPr>
                <w:sz w:val="24"/>
                <w:szCs w:val="24"/>
                <w:color w:val="auto"/>
              </w:rPr>
            </w:pPr>
          </w:p>
        </w:tc>
        <w:tc>
          <w:tcPr>
            <w:tcW w:w="620" w:type="dxa"/>
            <w:vAlign w:val="bottom"/>
            <w:tcBorders>
              <w:bottom w:val="single" w:sz="8" w:color="0000EE"/>
            </w:tcBorders>
          </w:tcPr>
          <w:p>
            <w:pPr>
              <w:spacing w:after="0"/>
              <w:rPr>
                <w:rFonts w:ascii="Arial" w:cs="Arial" w:eastAsia="Arial" w:hAnsi="Arial"/>
                <w:sz w:val="17"/>
                <w:szCs w:val="17"/>
                <w:color w:val="0000EE"/>
                <w:w w:val="86"/>
              </w:rPr>
            </w:pPr>
            <w:hyperlink w:anchor="page3">
              <w:r>
                <w:rPr>
                  <w:rFonts w:ascii="Arial" w:cs="Arial" w:eastAsia="Arial" w:hAnsi="Arial"/>
                  <w:sz w:val="17"/>
                  <w:szCs w:val="17"/>
                  <w:color w:val="0000EE"/>
                  <w:w w:val="86"/>
                </w:rPr>
                <w:t>Business</w:t>
              </w:r>
            </w:hyperlink>
          </w:p>
        </w:tc>
        <w:tc>
          <w:tcPr>
            <w:tcW w:w="936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1A.</w:t>
            </w:r>
          </w:p>
        </w:tc>
        <w:tc>
          <w:tcPr>
            <w:tcW w:w="9980" w:type="dxa"/>
            <w:vAlign w:val="bottom"/>
            <w:gridSpan w:val="19"/>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1B.</w:t>
            </w:r>
          </w:p>
        </w:tc>
        <w:tc>
          <w:tcPr>
            <w:tcW w:w="9980" w:type="dxa"/>
            <w:vAlign w:val="bottom"/>
            <w:gridSpan w:val="19"/>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Unresolved Staff Comments</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2.</w:t>
            </w:r>
          </w:p>
        </w:tc>
        <w:tc>
          <w:tcPr>
            <w:tcW w:w="70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87"/>
              </w:rPr>
            </w:pPr>
            <w:hyperlink w:anchor="page11">
              <w:r>
                <w:rPr>
                  <w:rFonts w:ascii="Arial" w:cs="Arial" w:eastAsia="Arial" w:hAnsi="Arial"/>
                  <w:sz w:val="17"/>
                  <w:szCs w:val="17"/>
                  <w:color w:val="0000EE"/>
                  <w:w w:val="87"/>
                </w:rPr>
                <w:t>Properties</w:t>
              </w:r>
            </w:hyperlink>
          </w:p>
        </w:tc>
        <w:tc>
          <w:tcPr>
            <w:tcW w:w="1260" w:type="dxa"/>
            <w:vAlign w:val="bottom"/>
            <w:tcBorders>
              <w:top w:val="single" w:sz="8" w:color="0000EE"/>
            </w:tcBorders>
            <w:gridSpan w:val="7"/>
          </w:tcPr>
          <w:p>
            <w:pPr>
              <w:spacing w:after="0"/>
              <w:rPr>
                <w:sz w:val="24"/>
                <w:szCs w:val="24"/>
                <w:color w:val="auto"/>
              </w:rPr>
            </w:pPr>
          </w:p>
        </w:tc>
        <w:tc>
          <w:tcPr>
            <w:tcW w:w="802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3.</w:t>
            </w:r>
          </w:p>
        </w:tc>
        <w:tc>
          <w:tcPr>
            <w:tcW w:w="9980" w:type="dxa"/>
            <w:vAlign w:val="bottom"/>
            <w:gridSpan w:val="19"/>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4.</w:t>
            </w:r>
          </w:p>
        </w:tc>
        <w:tc>
          <w:tcPr>
            <w:tcW w:w="9980" w:type="dxa"/>
            <w:vAlign w:val="bottom"/>
            <w:gridSpan w:val="19"/>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05"/>
        </w:trPr>
        <w:tc>
          <w:tcPr>
            <w:tcW w:w="640" w:type="dxa"/>
            <w:vAlign w:val="bottom"/>
            <w:tcBorders>
              <w:bottom w:val="single" w:sz="8" w:color="0000EE"/>
            </w:tcBorders>
            <w:gridSpan w:val="2"/>
          </w:tcPr>
          <w:p>
            <w:pPr>
              <w:spacing w:after="0"/>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PART II</w:t>
              </w:r>
            </w:hyperlink>
          </w:p>
        </w:tc>
        <w:tc>
          <w:tcPr>
            <w:tcW w:w="420" w:type="dxa"/>
            <w:vAlign w:val="bottom"/>
            <w:gridSpan w:val="3"/>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5.</w:t>
            </w:r>
          </w:p>
        </w:tc>
        <w:tc>
          <w:tcPr>
            <w:tcW w:w="7980" w:type="dxa"/>
            <w:vAlign w:val="bottom"/>
            <w:tcBorders>
              <w:bottom w:val="single" w:sz="8" w:color="0000EE"/>
            </w:tcBorders>
            <w:gridSpan w:val="18"/>
          </w:tcPr>
          <w:p>
            <w:pPr>
              <w:spacing w:after="0"/>
              <w:rPr>
                <w:rFonts w:ascii="Arial" w:cs="Arial" w:eastAsia="Arial" w:hAnsi="Arial"/>
                <w:sz w:val="17"/>
                <w:szCs w:val="17"/>
                <w:color w:val="0000EE"/>
                <w:w w:val="92"/>
              </w:rPr>
            </w:pPr>
            <w:hyperlink w:anchor="page12">
              <w:r>
                <w:rPr>
                  <w:rFonts w:ascii="Arial" w:cs="Arial" w:eastAsia="Arial" w:hAnsi="Arial"/>
                  <w:sz w:val="17"/>
                  <w:szCs w:val="17"/>
                  <w:color w:val="0000EE"/>
                  <w:w w:val="92"/>
                </w:rPr>
                <w:t>Market for Schlumberger’s Common Stock, Related Stockholder Matters and Issuer Purchases of Equity Securities</w:t>
              </w:r>
            </w:hyperlink>
          </w:p>
        </w:tc>
        <w:tc>
          <w:tcPr>
            <w:tcW w:w="20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6.</w:t>
            </w:r>
          </w:p>
        </w:tc>
        <w:tc>
          <w:tcPr>
            <w:tcW w:w="9980" w:type="dxa"/>
            <w:vAlign w:val="bottom"/>
            <w:gridSpan w:val="19"/>
          </w:tcPr>
          <w:p>
            <w:pPr>
              <w:spacing w:after="0"/>
              <w:rPr>
                <w:rFonts w:ascii="Arial" w:cs="Arial" w:eastAsia="Arial" w:hAnsi="Arial"/>
                <w:sz w:val="17"/>
                <w:szCs w:val="17"/>
                <w:color w:val="0000EE"/>
              </w:rPr>
            </w:pPr>
            <w:hyperlink w:anchor="page14">
              <w:r>
                <w:rPr>
                  <w:rFonts w:ascii="Arial" w:cs="Arial" w:eastAsia="Arial" w:hAnsi="Arial"/>
                  <w:sz w:val="17"/>
                  <w:szCs w:val="17"/>
                  <w:color w:val="0000EE"/>
                </w:rPr>
                <w:t>Selected Financial Data</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7.</w:t>
            </w:r>
          </w:p>
        </w:tc>
        <w:tc>
          <w:tcPr>
            <w:tcW w:w="6220" w:type="dxa"/>
            <w:vAlign w:val="bottom"/>
            <w:tcBorders>
              <w:bottom w:val="single" w:sz="8" w:color="0000EE"/>
            </w:tcBorders>
            <w:gridSpan w:val="16"/>
          </w:tcPr>
          <w:p>
            <w:pPr>
              <w:spacing w:after="0"/>
              <w:rPr>
                <w:rFonts w:ascii="Arial" w:cs="Arial" w:eastAsia="Arial" w:hAnsi="Arial"/>
                <w:sz w:val="17"/>
                <w:szCs w:val="17"/>
                <w:color w:val="0000EE"/>
                <w:w w:val="92"/>
              </w:rPr>
            </w:pPr>
            <w:hyperlink w:anchor="page15">
              <w:r>
                <w:rPr>
                  <w:rFonts w:ascii="Arial" w:cs="Arial" w:eastAsia="Arial" w:hAnsi="Arial"/>
                  <w:sz w:val="17"/>
                  <w:szCs w:val="17"/>
                  <w:color w:val="0000EE"/>
                  <w:w w:val="92"/>
                </w:rPr>
                <w:t>Management’s Discussion and Analysis of Financial Condition and Results of Operations</w:t>
              </w:r>
            </w:hyperlink>
          </w:p>
        </w:tc>
        <w:tc>
          <w:tcPr>
            <w:tcW w:w="376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7A.</w:t>
            </w:r>
          </w:p>
        </w:tc>
        <w:tc>
          <w:tcPr>
            <w:tcW w:w="9980" w:type="dxa"/>
            <w:vAlign w:val="bottom"/>
            <w:gridSpan w:val="19"/>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8.</w:t>
            </w:r>
          </w:p>
        </w:tc>
        <w:tc>
          <w:tcPr>
            <w:tcW w:w="3200" w:type="dxa"/>
            <w:vAlign w:val="bottom"/>
            <w:tcBorders>
              <w:top w:val="single" w:sz="8" w:color="0000EE"/>
              <w:bottom w:val="single" w:sz="8" w:color="0000EE"/>
            </w:tcBorders>
            <w:gridSpan w:val="12"/>
          </w:tcPr>
          <w:p>
            <w:pPr>
              <w:spacing w:after="0"/>
              <w:rPr>
                <w:rFonts w:ascii="Arial" w:cs="Arial" w:eastAsia="Arial" w:hAnsi="Arial"/>
                <w:sz w:val="17"/>
                <w:szCs w:val="17"/>
                <w:color w:val="0000EE"/>
                <w:w w:val="90"/>
              </w:rPr>
            </w:pPr>
            <w:hyperlink w:anchor="page30">
              <w:r>
                <w:rPr>
                  <w:rFonts w:ascii="Arial" w:cs="Arial" w:eastAsia="Arial" w:hAnsi="Arial"/>
                  <w:sz w:val="17"/>
                  <w:szCs w:val="17"/>
                  <w:color w:val="0000EE"/>
                  <w:w w:val="90"/>
                </w:rPr>
                <w:t>Financial Statements and Supplementary Data</w:t>
              </w:r>
            </w:hyperlink>
          </w:p>
        </w:tc>
        <w:tc>
          <w:tcPr>
            <w:tcW w:w="980" w:type="dxa"/>
            <w:vAlign w:val="bottom"/>
            <w:tcBorders>
              <w:top w:val="single" w:sz="8" w:color="0000EE"/>
            </w:tcBorders>
          </w:tcPr>
          <w:p>
            <w:pPr>
              <w:spacing w:after="0"/>
              <w:rPr>
                <w:sz w:val="24"/>
                <w:szCs w:val="24"/>
                <w:color w:val="auto"/>
              </w:rPr>
            </w:pPr>
          </w:p>
        </w:tc>
        <w:tc>
          <w:tcPr>
            <w:tcW w:w="580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9.</w:t>
            </w:r>
          </w:p>
        </w:tc>
        <w:tc>
          <w:tcPr>
            <w:tcW w:w="9980" w:type="dxa"/>
            <w:vAlign w:val="bottom"/>
            <w:gridSpan w:val="19"/>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9A.</w:t>
            </w:r>
          </w:p>
        </w:tc>
        <w:tc>
          <w:tcPr>
            <w:tcW w:w="170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89"/>
              </w:rPr>
            </w:pPr>
            <w:hyperlink w:anchor="page68">
              <w:r>
                <w:rPr>
                  <w:rFonts w:ascii="Arial" w:cs="Arial" w:eastAsia="Arial" w:hAnsi="Arial"/>
                  <w:sz w:val="17"/>
                  <w:szCs w:val="17"/>
                  <w:color w:val="0000EE"/>
                  <w:w w:val="89"/>
                </w:rPr>
                <w:t>Controls and Procedures</w:t>
              </w:r>
            </w:hyperlink>
          </w:p>
        </w:tc>
        <w:tc>
          <w:tcPr>
            <w:tcW w:w="4520" w:type="dxa"/>
            <w:vAlign w:val="bottom"/>
            <w:tcBorders>
              <w:top w:val="single" w:sz="8" w:color="0000EE"/>
            </w:tcBorders>
            <w:gridSpan w:val="9"/>
          </w:tcPr>
          <w:p>
            <w:pPr>
              <w:spacing w:after="0"/>
              <w:rPr>
                <w:sz w:val="24"/>
                <w:szCs w:val="24"/>
                <w:color w:val="auto"/>
              </w:rPr>
            </w:pPr>
          </w:p>
        </w:tc>
        <w:tc>
          <w:tcPr>
            <w:tcW w:w="376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9B.</w:t>
            </w:r>
          </w:p>
        </w:tc>
        <w:tc>
          <w:tcPr>
            <w:tcW w:w="9980" w:type="dxa"/>
            <w:vAlign w:val="bottom"/>
            <w:gridSpan w:val="19"/>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305"/>
        </w:trPr>
        <w:tc>
          <w:tcPr>
            <w:tcW w:w="700" w:type="dxa"/>
            <w:vAlign w:val="bottom"/>
            <w:tcBorders>
              <w:bottom w:val="single" w:sz="8" w:color="0000EE"/>
            </w:tcBorders>
            <w:gridSpan w:val="4"/>
          </w:tcPr>
          <w:p>
            <w:pPr>
              <w:spacing w:after="0"/>
              <w:rPr>
                <w:rFonts w:ascii="Arial" w:cs="Arial" w:eastAsia="Arial" w:hAnsi="Arial"/>
                <w:sz w:val="17"/>
                <w:szCs w:val="17"/>
                <w:b w:val="1"/>
                <w:bCs w:val="1"/>
                <w:color w:val="0000EE"/>
              </w:rPr>
            </w:pPr>
            <w:hyperlink w:anchor="page70">
              <w:r>
                <w:rPr>
                  <w:rFonts w:ascii="Arial" w:cs="Arial" w:eastAsia="Arial" w:hAnsi="Arial"/>
                  <w:sz w:val="17"/>
                  <w:szCs w:val="17"/>
                  <w:b w:val="1"/>
                  <w:bCs w:val="1"/>
                  <w:color w:val="0000EE"/>
                </w:rPr>
                <w:t>PART III</w:t>
              </w:r>
            </w:hyperlink>
          </w:p>
        </w:tc>
        <w:tc>
          <w:tcPr>
            <w:tcW w:w="3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10.</w:t>
            </w:r>
          </w:p>
        </w:tc>
        <w:tc>
          <w:tcPr>
            <w:tcW w:w="5140" w:type="dxa"/>
            <w:vAlign w:val="bottom"/>
            <w:tcBorders>
              <w:bottom w:val="single" w:sz="8" w:color="0000EE"/>
            </w:tcBorders>
            <w:gridSpan w:val="14"/>
          </w:tcPr>
          <w:p>
            <w:pPr>
              <w:spacing w:after="0"/>
              <w:rPr>
                <w:rFonts w:ascii="Arial" w:cs="Arial" w:eastAsia="Arial" w:hAnsi="Arial"/>
                <w:sz w:val="17"/>
                <w:szCs w:val="17"/>
                <w:color w:val="0000EE"/>
                <w:w w:val="92"/>
              </w:rPr>
            </w:pPr>
            <w:hyperlink w:anchor="page70">
              <w:r>
                <w:rPr>
                  <w:rFonts w:ascii="Arial" w:cs="Arial" w:eastAsia="Arial" w:hAnsi="Arial"/>
                  <w:sz w:val="17"/>
                  <w:szCs w:val="17"/>
                  <w:color w:val="0000EE"/>
                  <w:w w:val="92"/>
                </w:rPr>
                <w:t>Directors, Executive Officers and Corporate Governance of Schlumberger</w:t>
              </w:r>
            </w:hyperlink>
          </w:p>
        </w:tc>
        <w:tc>
          <w:tcPr>
            <w:tcW w:w="48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11.</w:t>
            </w:r>
          </w:p>
        </w:tc>
        <w:tc>
          <w:tcPr>
            <w:tcW w:w="1740" w:type="dxa"/>
            <w:vAlign w:val="bottom"/>
            <w:tcBorders>
              <w:bottom w:val="single" w:sz="8" w:color="0000EE"/>
            </w:tcBorders>
            <w:gridSpan w:val="8"/>
          </w:tcPr>
          <w:p>
            <w:pPr>
              <w:spacing w:after="0"/>
              <w:rPr>
                <w:rFonts w:ascii="Arial" w:cs="Arial" w:eastAsia="Arial" w:hAnsi="Arial"/>
                <w:sz w:val="17"/>
                <w:szCs w:val="17"/>
                <w:color w:val="0000EE"/>
                <w:w w:val="91"/>
              </w:rPr>
            </w:pPr>
            <w:hyperlink w:anchor="page70">
              <w:r>
                <w:rPr>
                  <w:rFonts w:ascii="Arial" w:cs="Arial" w:eastAsia="Arial" w:hAnsi="Arial"/>
                  <w:sz w:val="17"/>
                  <w:szCs w:val="17"/>
                  <w:color w:val="0000EE"/>
                  <w:w w:val="91"/>
                </w:rPr>
                <w:t>Executive Compensation</w:t>
              </w:r>
            </w:hyperlink>
          </w:p>
        </w:tc>
        <w:tc>
          <w:tcPr>
            <w:tcW w:w="82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12.</w:t>
            </w:r>
          </w:p>
        </w:tc>
        <w:tc>
          <w:tcPr>
            <w:tcW w:w="7020" w:type="dxa"/>
            <w:vAlign w:val="bottom"/>
            <w:tcBorders>
              <w:bottom w:val="single" w:sz="8" w:color="0000EE"/>
            </w:tcBorders>
            <w:gridSpan w:val="17"/>
          </w:tcPr>
          <w:p>
            <w:pPr>
              <w:spacing w:after="0"/>
              <w:rPr>
                <w:rFonts w:ascii="Arial" w:cs="Arial" w:eastAsia="Arial" w:hAnsi="Arial"/>
                <w:sz w:val="17"/>
                <w:szCs w:val="17"/>
                <w:color w:val="0000EE"/>
                <w:w w:val="92"/>
              </w:rPr>
            </w:pPr>
            <w:hyperlink w:anchor="page70">
              <w:r>
                <w:rPr>
                  <w:rFonts w:ascii="Arial" w:cs="Arial" w:eastAsia="Arial" w:hAnsi="Arial"/>
                  <w:sz w:val="17"/>
                  <w:szCs w:val="17"/>
                  <w:color w:val="0000EE"/>
                  <w:w w:val="92"/>
                </w:rPr>
                <w:t>Security Ownership of Certain Beneficial Owners and Management and Related Stockholder Matters</w:t>
              </w:r>
            </w:hyperlink>
          </w:p>
        </w:tc>
        <w:tc>
          <w:tcPr>
            <w:tcW w:w="296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13.</w:t>
            </w:r>
          </w:p>
        </w:tc>
        <w:tc>
          <w:tcPr>
            <w:tcW w:w="9980" w:type="dxa"/>
            <w:vAlign w:val="bottom"/>
            <w:gridSpan w:val="19"/>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Certain Relationships and Related Transactions, and Director Independence</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sz w:val="20"/>
                <w:szCs w:val="20"/>
                <w:color w:val="auto"/>
              </w:rPr>
            </w:pPr>
            <w:r>
              <w:rPr>
                <w:rFonts w:ascii="Arial" w:cs="Arial" w:eastAsia="Arial" w:hAnsi="Arial"/>
                <w:sz w:val="17"/>
                <w:szCs w:val="17"/>
                <w:color w:val="auto"/>
              </w:rPr>
              <w:t>Item 14.</w:t>
            </w:r>
          </w:p>
        </w:tc>
        <w:tc>
          <w:tcPr>
            <w:tcW w:w="5240" w:type="dxa"/>
            <w:vAlign w:val="bottom"/>
            <w:tcBorders>
              <w:top w:val="single" w:sz="8" w:color="0000EE"/>
            </w:tcBorders>
            <w:gridSpan w:val="15"/>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Principal Accounting Fees and Services</w:t>
              </w:r>
            </w:hyperlink>
          </w:p>
        </w:tc>
        <w:tc>
          <w:tcPr>
            <w:tcW w:w="47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305"/>
        </w:trPr>
        <w:tc>
          <w:tcPr>
            <w:tcW w:w="1060" w:type="dxa"/>
            <w:vAlign w:val="bottom"/>
            <w:gridSpan w:val="5"/>
          </w:tcPr>
          <w:p>
            <w:pPr>
              <w:spacing w:after="0"/>
              <w:rPr>
                <w:rFonts w:ascii="Arial" w:cs="Arial" w:eastAsia="Arial" w:hAnsi="Arial"/>
                <w:sz w:val="17"/>
                <w:szCs w:val="17"/>
                <w:b w:val="1"/>
                <w:bCs w:val="1"/>
                <w:color w:val="0000EE"/>
              </w:rPr>
            </w:pPr>
            <w:hyperlink w:anchor="page71">
              <w:r>
                <w:rPr>
                  <w:rFonts w:ascii="Arial" w:cs="Arial" w:eastAsia="Arial" w:hAnsi="Arial"/>
                  <w:sz w:val="17"/>
                  <w:szCs w:val="17"/>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80" w:type="dxa"/>
            <w:vAlign w:val="bottom"/>
            <w:tcBorders>
              <w:top w:val="single" w:sz="8" w:color="0000EE"/>
            </w:tcBorders>
            <w:gridSpan w:val="3"/>
          </w:tcPr>
          <w:p>
            <w:pPr>
              <w:spacing w:after="0"/>
              <w:rPr>
                <w:sz w:val="20"/>
                <w:szCs w:val="20"/>
                <w:color w:val="auto"/>
              </w:rPr>
            </w:pPr>
            <w:r>
              <w:rPr>
                <w:rFonts w:ascii="Arial" w:cs="Arial" w:eastAsia="Arial" w:hAnsi="Arial"/>
                <w:sz w:val="17"/>
                <w:szCs w:val="17"/>
                <w:color w:val="auto"/>
              </w:rPr>
              <w:t>Item 15.</w:t>
            </w:r>
          </w:p>
        </w:tc>
        <w:tc>
          <w:tcPr>
            <w:tcW w:w="380" w:type="dxa"/>
            <w:vAlign w:val="bottom"/>
            <w:gridSpan w:val="2"/>
          </w:tcPr>
          <w:p>
            <w:pPr>
              <w:spacing w:after="0"/>
              <w:rPr>
                <w:sz w:val="24"/>
                <w:szCs w:val="24"/>
                <w:color w:val="auto"/>
              </w:rPr>
            </w:pPr>
          </w:p>
        </w:tc>
        <w:tc>
          <w:tcPr>
            <w:tcW w:w="3040" w:type="dxa"/>
            <w:vAlign w:val="bottom"/>
            <w:tcBorders>
              <w:bottom w:val="single" w:sz="8" w:color="0000EE"/>
            </w:tcBorders>
            <w:gridSpan w:val="11"/>
          </w:tcPr>
          <w:p>
            <w:pPr>
              <w:spacing w:after="0"/>
              <w:rPr>
                <w:rFonts w:ascii="Arial" w:cs="Arial" w:eastAsia="Arial" w:hAnsi="Arial"/>
                <w:sz w:val="17"/>
                <w:szCs w:val="17"/>
                <w:color w:val="0000EE"/>
                <w:w w:val="91"/>
              </w:rPr>
            </w:pPr>
            <w:hyperlink w:anchor="page71">
              <w:r>
                <w:rPr>
                  <w:rFonts w:ascii="Arial" w:cs="Arial" w:eastAsia="Arial" w:hAnsi="Arial"/>
                  <w:sz w:val="17"/>
                  <w:szCs w:val="17"/>
                  <w:color w:val="0000EE"/>
                  <w:w w:val="91"/>
                </w:rPr>
                <w:t>Exhibits and Financial Statement Schedules</w:t>
              </w:r>
            </w:hyperlink>
          </w:p>
        </w:tc>
        <w:tc>
          <w:tcPr>
            <w:tcW w:w="69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305"/>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80" w:type="dxa"/>
            <w:vAlign w:val="bottom"/>
            <w:gridSpan w:val="19"/>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26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80" w:type="dxa"/>
            <w:vAlign w:val="bottom"/>
            <w:gridSpan w:val="19"/>
          </w:tcPr>
          <w:p>
            <w:pPr>
              <w:spacing w:after="0"/>
              <w:rPr>
                <w:sz w:val="20"/>
                <w:szCs w:val="20"/>
                <w:color w:val="auto"/>
              </w:rPr>
            </w:pPr>
            <w:r>
              <w:rPr>
                <w:rFonts w:ascii="Arial" w:cs="Arial" w:eastAsia="Arial" w:hAnsi="Arial"/>
                <w:sz w:val="17"/>
                <w:szCs w:val="17"/>
                <w:color w:val="auto"/>
              </w:rPr>
              <w:t>Certifications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auto"/>
        </w:rPr>
        <w:t>PART I</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Business.</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All references in this report to “Registrant,” “Company,” “Schlumberger,” “we” or “our” are to Schlumberger Limited (Schlumberger N.V., incorporated in Curaçao) and its consolidated subsidiaries.</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Founded in 1926, Schlumberger is the world’s leading provider of technology for reservoir characterization, drilling, production and processing to the oil and gas industry. Having invented wireline logging as a technique for obtaining downhole data in oil and gas wells, today Schlumberger supplies the industry’s most comprehensive range of products and services, from exploration through production, and integrated pore-to-pipeline solutions that optimize hydrocarbon recovery to deliver reservoir performance. As of December 31, 2017, the Company employed approximately 100,000 people of over 140 nationalities operating in more than 85 countries. Schlumberger has executive offices in Paris, Houston, London and The Hague.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Schlumberger operates in each of the major oilfield service markets, managing its business through four Groups: Reservoir Characterization, Drilling, Production and Cameron. Each Group consists of a number of technology-based service and product lines, or Technologies. These Technologies cover the entire life cycle of the reservoir and correspond to a number of markets in which Schlumberger holds leading positions. The role of the Groups and Technologies is to support Schlumberger in providing the best possible service to customers and to ensure that Schlumberger remains at the forefront of technology development and services integration. The Groups and Technologies are collectively responsible for driving excellence in execution throughout their businesses; overseeing operational processes, resource allocation and personnel; and delivering superior financial results.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Groups are as follows: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Reservoir Characterization Group </w:t>
      </w:r>
      <w:r>
        <w:rPr>
          <w:rFonts w:ascii="Arial" w:cs="Arial" w:eastAsia="Arial" w:hAnsi="Arial"/>
          <w:sz w:val="17"/>
          <w:szCs w:val="17"/>
          <w:color w:val="auto"/>
        </w:rPr>
        <w:t>– Consists of the principal Technologies involved in finding and defining hydrocarbon resources. These include WesternGeco</w:t>
      </w:r>
      <w:r>
        <w:rPr>
          <w:rFonts w:ascii="Arial" w:cs="Arial" w:eastAsia="Arial" w:hAnsi="Arial"/>
          <w:sz w:val="14"/>
          <w:szCs w:val="14"/>
          <w:color w:val="231F20"/>
        </w:rPr>
        <w: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Wireline, Testing Services, OneSurface</w:t>
      </w:r>
      <w:r>
        <w:rPr>
          <w:rFonts w:ascii="Arial" w:cs="Arial" w:eastAsia="Arial" w:hAnsi="Arial"/>
          <w:sz w:val="14"/>
          <w:szCs w:val="14"/>
          <w:color w:val="auto"/>
        </w:rPr>
        <w:t>SM</w:t>
      </w:r>
      <w:r>
        <w:rPr>
          <w:rFonts w:ascii="Arial" w:cs="Arial" w:eastAsia="Arial" w:hAnsi="Arial"/>
          <w:sz w:val="17"/>
          <w:szCs w:val="17"/>
          <w:color w:val="auto"/>
        </w:rPr>
        <w:t>, Software Integrated Solutions (SIS) and Integrated Services Management (ISM).</w:t>
      </w:r>
    </w:p>
    <w:p>
      <w:pPr>
        <w:spacing w:after="0" w:line="159" w:lineRule="exact"/>
        <w:rPr>
          <w:sz w:val="20"/>
          <w:szCs w:val="20"/>
          <w:color w:val="auto"/>
        </w:rPr>
      </w:pPr>
    </w:p>
    <w:p>
      <w:pPr>
        <w:jc w:val="both"/>
        <w:ind w:left="760" w:hanging="379"/>
        <w:spacing w:after="0" w:line="265"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WesternGeco </w:t>
      </w:r>
      <w:r>
        <w:rPr>
          <w:rFonts w:ascii="Arial" w:cs="Arial" w:eastAsia="Arial" w:hAnsi="Arial"/>
          <w:sz w:val="17"/>
          <w:szCs w:val="17"/>
          <w:color w:val="auto"/>
        </w:rPr>
        <w:t>is a leading geophysical services supplier, providing comprehensive worldwide reservoir interpretation and data processing services. It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highly efficient and scientifically advanced imaging platform to its customers. Through access to the industry’s global marine fleet, it provides accurate measurements and images of subsurface geology and rock properties for multiclient surveys. WesternGeco offers the industry’s most extensive multiclient library.</w:t>
      </w:r>
    </w:p>
    <w:p>
      <w:pPr>
        <w:spacing w:after="0" w:line="176" w:lineRule="exact"/>
        <w:rPr>
          <w:rFonts w:ascii="Arial" w:cs="Arial" w:eastAsia="Arial" w:hAnsi="Arial"/>
          <w:sz w:val="17"/>
          <w:szCs w:val="17"/>
          <w:color w:val="auto"/>
        </w:rPr>
      </w:pPr>
    </w:p>
    <w:p>
      <w:pPr>
        <w:jc w:val="both"/>
        <w:ind w:left="760" w:hanging="379"/>
        <w:spacing w:after="0" w:line="270"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Wireline </w:t>
      </w:r>
      <w:r>
        <w:rPr>
          <w:rFonts w:ascii="Arial" w:cs="Arial" w:eastAsia="Arial" w:hAnsi="Arial"/>
          <w:sz w:val="17"/>
          <w:szCs w:val="17"/>
          <w:color w:val="auto"/>
        </w:rPr>
        <w:t>provides the information necessary to evaluate subsurface formation rocks and fluids to plan and monitor well construction, and to monitor and</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 well production. Wireline offers both openhole and cased-hole services including wireline perforating. Slickline services provide downhole mechanical well intervention.</w:t>
      </w:r>
    </w:p>
    <w:p>
      <w:pPr>
        <w:spacing w:after="0" w:line="171" w:lineRule="exact"/>
        <w:rPr>
          <w:rFonts w:ascii="Arial" w:cs="Arial" w:eastAsia="Arial" w:hAnsi="Arial"/>
          <w:sz w:val="17"/>
          <w:szCs w:val="17"/>
          <w:color w:val="auto"/>
        </w:rPr>
      </w:pPr>
    </w:p>
    <w:p>
      <w:pPr>
        <w:ind w:left="760" w:hanging="379"/>
        <w:spacing w:after="0" w:line="285"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Testing Services </w:t>
      </w:r>
      <w:r>
        <w:rPr>
          <w:rFonts w:ascii="Arial" w:cs="Arial" w:eastAsia="Arial" w:hAnsi="Arial"/>
          <w:sz w:val="17"/>
          <w:szCs w:val="17"/>
          <w:color w:val="auto"/>
        </w:rPr>
        <w:t>provides exploration and production pressure and flow-rate measurement services both at the surface and downhole. Testing has a</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of laboratories that conduct rock and fluid characterization. Testing also provides tubing-conveyed perforating services.</w:t>
      </w:r>
    </w:p>
    <w:p>
      <w:pPr>
        <w:spacing w:after="0" w:line="159" w:lineRule="exact"/>
        <w:rPr>
          <w:rFonts w:ascii="Arial" w:cs="Arial" w:eastAsia="Arial" w:hAnsi="Arial"/>
          <w:sz w:val="17"/>
          <w:szCs w:val="17"/>
          <w:color w:val="auto"/>
        </w:rPr>
      </w:pPr>
    </w:p>
    <w:p>
      <w:pPr>
        <w:ind w:left="760" w:hanging="379"/>
        <w:spacing w:after="0" w:line="285"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OneSurface </w:t>
      </w:r>
      <w:r>
        <w:rPr>
          <w:rFonts w:ascii="Arial" w:cs="Arial" w:eastAsia="Arial" w:hAnsi="Arial"/>
          <w:sz w:val="17"/>
          <w:szCs w:val="17"/>
          <w:color w:val="auto"/>
        </w:rPr>
        <w:t>provides a unique, reservoir-driven, fit-for-purpose integrated production system for accelerating first oil and gas and maximizing project</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economics.</w:t>
      </w:r>
    </w:p>
    <w:p>
      <w:pPr>
        <w:spacing w:after="0" w:line="159" w:lineRule="exact"/>
        <w:rPr>
          <w:rFonts w:ascii="Arial" w:cs="Arial" w:eastAsia="Arial" w:hAnsi="Arial"/>
          <w:sz w:val="17"/>
          <w:szCs w:val="17"/>
          <w:color w:val="auto"/>
        </w:rPr>
      </w:pPr>
    </w:p>
    <w:p>
      <w:pPr>
        <w:jc w:val="both"/>
        <w:ind w:left="760" w:hanging="379"/>
        <w:spacing w:after="0" w:line="270"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Software Integrated Solutions </w:t>
      </w:r>
      <w:r>
        <w:rPr>
          <w:rFonts w:ascii="Arial" w:cs="Arial" w:eastAsia="Arial" w:hAnsi="Arial"/>
          <w:sz w:val="17"/>
          <w:szCs w:val="17"/>
          <w:color w:val="auto"/>
        </w:rPr>
        <w:t>sells proprietary software and provides consulting, information management and IT infrastructure services to customers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oil and gas industry. SIS also offers expert consulting services for reservoir characterization, field development planning and production enhancement, as well as industry-leading petrotechnical data services and training solutions.</w:t>
      </w:r>
    </w:p>
    <w:p>
      <w:pPr>
        <w:spacing w:after="0" w:line="171" w:lineRule="exact"/>
        <w:rPr>
          <w:rFonts w:ascii="Arial" w:cs="Arial" w:eastAsia="Arial" w:hAnsi="Arial"/>
          <w:sz w:val="17"/>
          <w:szCs w:val="17"/>
          <w:color w:val="auto"/>
        </w:rPr>
      </w:pPr>
    </w:p>
    <w:p>
      <w:pPr>
        <w:jc w:val="both"/>
        <w:ind w:left="760" w:hanging="379"/>
        <w:spacing w:after="0" w:line="270"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Integrated Services Management </w:t>
      </w:r>
      <w:r>
        <w:rPr>
          <w:rFonts w:ascii="Arial" w:cs="Arial" w:eastAsia="Arial" w:hAnsi="Arial"/>
          <w:sz w:val="17"/>
          <w:szCs w:val="17"/>
          <w:color w:val="auto"/>
        </w:rPr>
        <w:t>provides coordination and management of Schlumberger services, products, and third parties in projects around the</w:t>
      </w:r>
      <w:r>
        <w:rPr>
          <w:rFonts w:ascii="Arial" w:cs="Arial" w:eastAsia="Arial" w:hAnsi="Arial"/>
          <w:sz w:val="17"/>
          <w:szCs w:val="17"/>
          <w:i w:val="1"/>
          <w:iCs w:val="1"/>
          <w:color w:val="auto"/>
        </w:rPr>
        <w:t xml:space="preserve"> </w:t>
      </w:r>
      <w:r>
        <w:rPr>
          <w:rFonts w:ascii="Arial" w:cs="Arial" w:eastAsia="Arial" w:hAnsi="Arial"/>
          <w:sz w:val="17"/>
          <w:szCs w:val="17"/>
          <w:color w:val="auto"/>
        </w:rPr>
        <w:t>world. ISM offers a certified integrated services project manager as a focal point of contact between the project owner and the various Schlumberger services, ensuring alignment of project objectives.</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i w:val="1"/>
          <w:iCs w:val="1"/>
          <w:color w:val="auto"/>
        </w:rPr>
        <w:t xml:space="preserve">Drilling Group </w:t>
      </w:r>
      <w:r>
        <w:rPr>
          <w:rFonts w:ascii="Arial" w:cs="Arial" w:eastAsia="Arial" w:hAnsi="Arial"/>
          <w:sz w:val="17"/>
          <w:szCs w:val="17"/>
          <w:color w:val="auto"/>
        </w:rPr>
        <w:t>– Consists of the principal Technologies involved in the drilling and positioning of oil and gas wells and comprises Bits &amp; Drilling Tools, M-I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SWACO</w:t>
      </w:r>
      <w:r>
        <w:rPr>
          <w:rFonts w:ascii="Arial" w:cs="Arial" w:eastAsia="Arial" w:hAnsi="Arial"/>
          <w:sz w:val="14"/>
          <w:szCs w:val="14"/>
          <w:color w:val="231F20"/>
        </w:rPr>
        <w:t>®</w:t>
      </w:r>
      <w:r>
        <w:rPr>
          <w:rFonts w:ascii="Arial" w:cs="Arial" w:eastAsia="Arial" w:hAnsi="Arial"/>
          <w:sz w:val="17"/>
          <w:szCs w:val="17"/>
          <w:color w:val="auto"/>
        </w:rPr>
        <w:t>, Drilling &amp; Measurements, Land Rigs and Integrated Drilling Services (“IDS”).</w:t>
      </w:r>
    </w:p>
    <w:p>
      <w:pPr>
        <w:spacing w:after="0" w:line="159" w:lineRule="exact"/>
        <w:rPr>
          <w:sz w:val="20"/>
          <w:szCs w:val="20"/>
          <w:color w:val="auto"/>
        </w:rPr>
      </w:pPr>
    </w:p>
    <w:p>
      <w:pPr>
        <w:jc w:val="both"/>
        <w:ind w:left="760" w:hanging="379"/>
        <w:spacing w:after="0" w:line="26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Bits &amp; Drilling Tools </w:t>
      </w:r>
      <w:r>
        <w:rPr>
          <w:rFonts w:ascii="Arial" w:cs="Arial" w:eastAsia="Arial" w:hAnsi="Arial"/>
          <w:sz w:val="17"/>
          <w:szCs w:val="17"/>
          <w:color w:val="auto"/>
        </w:rPr>
        <w:t>designs, manufactures and markets roller cone and fixed cutter drill bits for all environments. The drill bits include designs for</w:t>
      </w:r>
      <w:r>
        <w:rPr>
          <w:rFonts w:ascii="Arial" w:cs="Arial" w:eastAsia="Arial" w:hAnsi="Arial"/>
          <w:sz w:val="17"/>
          <w:szCs w:val="17"/>
          <w:i w:val="1"/>
          <w:iCs w:val="1"/>
          <w:color w:val="auto"/>
        </w:rPr>
        <w:t xml:space="preserve"> </w:t>
      </w:r>
      <w:r>
        <w:rPr>
          <w:rFonts w:ascii="Arial" w:cs="Arial" w:eastAsia="Arial" w:hAnsi="Arial"/>
          <w:sz w:val="17"/>
          <w:szCs w:val="17"/>
          <w:color w:val="auto"/>
        </w:rPr>
        <w:t>premium market segments where faster penetration rates and increased footage provide significant economic benefits in lowering overall well costs. Drilling Tools includes a wide variety of bottom-hole-assembly, borehole-enlargement technologies and impact tools, as well as a comprehensive collection of tubulars and tubular services for oil and gas drilling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ind w:left="760" w:hanging="379"/>
        <w:spacing w:after="0" w:line="265"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M-I SWACO </w:t>
      </w:r>
      <w:r>
        <w:rPr>
          <w:rFonts w:ascii="Arial" w:cs="Arial" w:eastAsia="Arial" w:hAnsi="Arial"/>
          <w:sz w:val="17"/>
          <w:szCs w:val="17"/>
          <w:color w:val="auto"/>
        </w:rPr>
        <w:t>is a supplier of drilling fluid systems engineered to improve drilling performance by anticipating fluids-related problems; fluid systems and</w:t>
      </w:r>
      <w:r>
        <w:rPr>
          <w:rFonts w:ascii="Arial" w:cs="Arial" w:eastAsia="Arial" w:hAnsi="Arial"/>
          <w:sz w:val="17"/>
          <w:szCs w:val="17"/>
          <w:i w:val="1"/>
          <w:iCs w:val="1"/>
          <w:color w:val="auto"/>
        </w:rPr>
        <w:t xml:space="preserve"> </w:t>
      </w:r>
      <w:r>
        <w:rPr>
          <w:rFonts w:ascii="Arial" w:cs="Arial" w:eastAsia="Arial" w:hAnsi="Arial"/>
          <w:sz w:val="17"/>
          <w:szCs w:val="17"/>
          <w:color w:val="auto"/>
        </w:rPr>
        <w:t>specialty equipment designed to optimize wellbore productivity; and production technology solutions formulated to maximize production rates. M-I SWACO also provides engineered managed pressure drilling and underbalanced drilling solutions, as well as environmental services and products to safely manage waste volumes generated in both drilling and production operations.</w:t>
      </w:r>
    </w:p>
    <w:p>
      <w:pPr>
        <w:spacing w:after="0" w:line="176" w:lineRule="exact"/>
        <w:rPr>
          <w:rFonts w:ascii="Arial" w:cs="Arial" w:eastAsia="Arial" w:hAnsi="Arial"/>
          <w:sz w:val="17"/>
          <w:szCs w:val="17"/>
          <w:color w:val="auto"/>
        </w:rPr>
      </w:pPr>
    </w:p>
    <w:p>
      <w:pPr>
        <w:ind w:left="760" w:hanging="379"/>
        <w:spacing w:after="0" w:line="285"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Drilling &amp; Measurements </w:t>
      </w:r>
      <w:r>
        <w:rPr>
          <w:rFonts w:ascii="Arial" w:cs="Arial" w:eastAsia="Arial" w:hAnsi="Arial"/>
          <w:sz w:val="17"/>
          <w:szCs w:val="17"/>
          <w:color w:val="auto"/>
        </w:rPr>
        <w:t>provides mud logging services for geological and drilling surveillance, directional drilling, measurement-while-drilling and</w:t>
      </w:r>
      <w:r>
        <w:rPr>
          <w:rFonts w:ascii="Arial" w:cs="Arial" w:eastAsia="Arial" w:hAnsi="Arial"/>
          <w:sz w:val="17"/>
          <w:szCs w:val="17"/>
          <w:i w:val="1"/>
          <w:iCs w:val="1"/>
          <w:color w:val="auto"/>
        </w:rPr>
        <w:t xml:space="preserve"> </w:t>
      </w:r>
      <w:r>
        <w:rPr>
          <w:rFonts w:ascii="Arial" w:cs="Arial" w:eastAsia="Arial" w:hAnsi="Arial"/>
          <w:sz w:val="17"/>
          <w:szCs w:val="17"/>
          <w:color w:val="auto"/>
        </w:rPr>
        <w:t>logging-while-drilling services for all well profiles as well as engineering support.</w:t>
      </w:r>
    </w:p>
    <w:p>
      <w:pPr>
        <w:spacing w:after="0" w:line="159" w:lineRule="exact"/>
        <w:rPr>
          <w:rFonts w:ascii="Arial" w:cs="Arial" w:eastAsia="Arial" w:hAnsi="Arial"/>
          <w:sz w:val="17"/>
          <w:szCs w:val="17"/>
          <w:color w:val="auto"/>
        </w:rPr>
      </w:pPr>
    </w:p>
    <w:p>
      <w:pPr>
        <w:jc w:val="both"/>
        <w:ind w:left="760" w:hanging="379"/>
        <w:spacing w:after="0" w:line="270"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Land Rigs </w:t>
      </w:r>
      <w:r>
        <w:rPr>
          <w:rFonts w:ascii="Arial" w:cs="Arial" w:eastAsia="Arial" w:hAnsi="Arial"/>
          <w:sz w:val="17"/>
          <w:szCs w:val="17"/>
          <w:color w:val="auto"/>
        </w:rPr>
        <w:t>provides land drilling rigs and related support services. The land drilling system of the future, currently under development, represents an</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integrated drilling platform bringing together digitally enabled surface and downhole hardware combined with a common optimization software to create a step-change in operational efficiency.</w:t>
      </w:r>
    </w:p>
    <w:p>
      <w:pPr>
        <w:spacing w:after="0" w:line="171" w:lineRule="exact"/>
        <w:rPr>
          <w:rFonts w:ascii="Arial" w:cs="Arial" w:eastAsia="Arial" w:hAnsi="Arial"/>
          <w:sz w:val="17"/>
          <w:szCs w:val="17"/>
          <w:color w:val="auto"/>
        </w:rPr>
      </w:pPr>
    </w:p>
    <w:p>
      <w:pPr>
        <w:ind w:left="760" w:hanging="379"/>
        <w:spacing w:after="0" w:line="318"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Integrated Drilling Services </w:t>
      </w:r>
      <w:r>
        <w:rPr>
          <w:rFonts w:ascii="Arial" w:cs="Arial" w:eastAsia="Arial" w:hAnsi="Arial"/>
          <w:sz w:val="16"/>
          <w:szCs w:val="16"/>
          <w:color w:val="auto"/>
        </w:rPr>
        <w:t>supplies all of the services necessary to construct or change the architecture (re-entry) of wells. IDS covers all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well planning, well drilling, engineering, supervision, logistics, procurement and contracting of third parties, and drilling rig management.</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Production Group </w:t>
      </w:r>
      <w:r>
        <w:rPr>
          <w:rFonts w:ascii="Arial" w:cs="Arial" w:eastAsia="Arial" w:hAnsi="Arial"/>
          <w:sz w:val="17"/>
          <w:szCs w:val="17"/>
          <w:color w:val="auto"/>
        </w:rPr>
        <w:t>– Consists of the principal Technologies involved in the lifetime production of oil and gas reservoirs and includes Well Services, OneStim</w:t>
      </w:r>
      <w:r>
        <w:rPr>
          <w:rFonts w:ascii="Arial" w:cs="Arial" w:eastAsia="Arial" w:hAnsi="Arial"/>
          <w:sz w:val="14"/>
          <w:szCs w:val="14"/>
          <w:color w:val="auto"/>
        </w:rPr>
        <w:t>SM</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Completions, Artificial Lift, Integrated Production Services (“IPS”) and Schlumberger Production Management (“SPM”).</w:t>
      </w:r>
    </w:p>
    <w:p>
      <w:pPr>
        <w:spacing w:after="0" w:line="159" w:lineRule="exact"/>
        <w:rPr>
          <w:sz w:val="20"/>
          <w:szCs w:val="20"/>
          <w:color w:val="auto"/>
        </w:rPr>
      </w:pPr>
    </w:p>
    <w:p>
      <w:pPr>
        <w:jc w:val="both"/>
        <w:ind w:left="760" w:hanging="379"/>
        <w:spacing w:after="0" w:line="270"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Well Services </w:t>
      </w:r>
      <w:r>
        <w:rPr>
          <w:rFonts w:ascii="Arial" w:cs="Arial" w:eastAsia="Arial" w:hAnsi="Arial"/>
          <w:sz w:val="17"/>
          <w:szCs w:val="17"/>
          <w:color w:val="auto"/>
        </w:rPr>
        <w:t>provides services used during oil and gas well drilling and completion as well as those used to maintain optimal production throughout the</w:t>
      </w:r>
      <w:r>
        <w:rPr>
          <w:rFonts w:ascii="Arial" w:cs="Arial" w:eastAsia="Arial" w:hAnsi="Arial"/>
          <w:sz w:val="17"/>
          <w:szCs w:val="17"/>
          <w:i w:val="1"/>
          <w:iCs w:val="1"/>
          <w:color w:val="auto"/>
        </w:rPr>
        <w:t xml:space="preserve"> </w:t>
      </w:r>
      <w:r>
        <w:rPr>
          <w:rFonts w:ascii="Arial" w:cs="Arial" w:eastAsia="Arial" w:hAnsi="Arial"/>
          <w:sz w:val="17"/>
          <w:szCs w:val="17"/>
          <w:color w:val="auto"/>
        </w:rPr>
        <w:t>life of a well. Such services include pressure pumping, well cementing and stimulation, and coiled tubing equipment for downhole mechanical well intervention, reservoir monitoring and downhole data acquisition.</w:t>
      </w:r>
    </w:p>
    <w:p>
      <w:pPr>
        <w:spacing w:after="0" w:line="171" w:lineRule="exact"/>
        <w:rPr>
          <w:rFonts w:ascii="Arial" w:cs="Arial" w:eastAsia="Arial" w:hAnsi="Arial"/>
          <w:sz w:val="17"/>
          <w:szCs w:val="17"/>
          <w:color w:val="auto"/>
        </w:rPr>
      </w:pPr>
    </w:p>
    <w:p>
      <w:pPr>
        <w:jc w:val="both"/>
        <w:ind w:left="760" w:hanging="379"/>
        <w:spacing w:after="0" w:line="270"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OneStim </w:t>
      </w:r>
      <w:r>
        <w:rPr>
          <w:rFonts w:ascii="Arial" w:cs="Arial" w:eastAsia="Arial" w:hAnsi="Arial"/>
          <w:sz w:val="17"/>
          <w:szCs w:val="17"/>
          <w:color w:val="auto"/>
        </w:rPr>
        <w:t>provides a low cost-to-serve and highly competitive service delivery platform in North America’s unconventional plays. The services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hydraulic fracturing, multistage completions, perforating, coiled tubing equipment and services for downhole mechanical well intervention, and a vertically integrated product and logistics organization.</w:t>
      </w:r>
    </w:p>
    <w:p>
      <w:pPr>
        <w:spacing w:after="0" w:line="171" w:lineRule="exact"/>
        <w:rPr>
          <w:rFonts w:ascii="Arial" w:cs="Arial" w:eastAsia="Arial" w:hAnsi="Arial"/>
          <w:sz w:val="17"/>
          <w:szCs w:val="17"/>
          <w:color w:val="auto"/>
        </w:rPr>
      </w:pPr>
    </w:p>
    <w:p>
      <w:pPr>
        <w:ind w:left="760" w:hanging="379"/>
        <w:spacing w:after="0" w:line="285"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Completions </w:t>
      </w:r>
      <w:r>
        <w:rPr>
          <w:rFonts w:ascii="Arial" w:cs="Arial" w:eastAsia="Arial" w:hAnsi="Arial"/>
          <w:sz w:val="17"/>
          <w:szCs w:val="17"/>
          <w:color w:val="auto"/>
        </w:rPr>
        <w:t>supplies well completion services and equipment that include packers, safety valves, sand control technology as well as a range of</w:t>
      </w:r>
      <w:r>
        <w:rPr>
          <w:rFonts w:ascii="Arial" w:cs="Arial" w:eastAsia="Arial" w:hAnsi="Arial"/>
          <w:sz w:val="17"/>
          <w:szCs w:val="17"/>
          <w:i w:val="1"/>
          <w:iCs w:val="1"/>
          <w:color w:val="auto"/>
        </w:rPr>
        <w:t xml:space="preserve"> </w:t>
      </w:r>
      <w:r>
        <w:rPr>
          <w:rFonts w:ascii="Arial" w:cs="Arial" w:eastAsia="Arial" w:hAnsi="Arial"/>
          <w:sz w:val="17"/>
          <w:szCs w:val="17"/>
          <w:color w:val="auto"/>
        </w:rPr>
        <w:t>intelligent well completions technology and equipment.</w:t>
      </w:r>
    </w:p>
    <w:p>
      <w:pPr>
        <w:spacing w:after="0" w:line="159" w:lineRule="exact"/>
        <w:rPr>
          <w:rFonts w:ascii="Arial" w:cs="Arial" w:eastAsia="Arial" w:hAnsi="Arial"/>
          <w:sz w:val="17"/>
          <w:szCs w:val="17"/>
          <w:color w:val="auto"/>
        </w:rPr>
      </w:pPr>
    </w:p>
    <w:p>
      <w:pPr>
        <w:ind w:left="760" w:hanging="379"/>
        <w:spacing w:after="0" w:line="285"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Artificial Lift </w:t>
      </w:r>
      <w:r>
        <w:rPr>
          <w:rFonts w:ascii="Arial" w:cs="Arial" w:eastAsia="Arial" w:hAnsi="Arial"/>
          <w:sz w:val="17"/>
          <w:szCs w:val="17"/>
          <w:color w:val="auto"/>
        </w:rPr>
        <w:t>provides production equipment and optimization services using electrical submersible pumps, gas lift equipment, rod lift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progressing cavity pumps and surface horizontal pumping systems.</w:t>
      </w:r>
    </w:p>
    <w:p>
      <w:pPr>
        <w:spacing w:after="0" w:line="159" w:lineRule="exact"/>
        <w:rPr>
          <w:rFonts w:ascii="Arial" w:cs="Arial" w:eastAsia="Arial" w:hAnsi="Arial"/>
          <w:sz w:val="17"/>
          <w:szCs w:val="17"/>
          <w:color w:val="auto"/>
        </w:rPr>
      </w:pPr>
    </w:p>
    <w:p>
      <w:pPr>
        <w:jc w:val="both"/>
        <w:ind w:left="760" w:hanging="379"/>
        <w:spacing w:after="0" w:line="270"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Integrated Production Services </w:t>
      </w:r>
      <w:r>
        <w:rPr>
          <w:rFonts w:ascii="Arial" w:cs="Arial" w:eastAsia="Arial" w:hAnsi="Arial"/>
          <w:sz w:val="17"/>
          <w:szCs w:val="17"/>
          <w:color w:val="auto"/>
        </w:rPr>
        <w:t>offers the project scope necessary to abandon, maintain, or increase the production of single or multiple wells. All</w:t>
      </w:r>
      <w:r>
        <w:rPr>
          <w:rFonts w:ascii="Arial" w:cs="Arial" w:eastAsia="Arial" w:hAnsi="Arial"/>
          <w:sz w:val="17"/>
          <w:szCs w:val="17"/>
          <w:i w:val="1"/>
          <w:iCs w:val="1"/>
          <w:color w:val="auto"/>
        </w:rPr>
        <w:t xml:space="preserve"> </w:t>
      </w:r>
      <w:r>
        <w:rPr>
          <w:rFonts w:ascii="Arial" w:cs="Arial" w:eastAsia="Arial" w:hAnsi="Arial"/>
          <w:sz w:val="17"/>
          <w:szCs w:val="17"/>
          <w:color w:val="auto"/>
        </w:rPr>
        <w:t>aspects of project planning are addressed and include well engineering, wellsite supervision, civil engineering, logistics, procurement, contracting of third parties, and workovers.</w:t>
      </w:r>
    </w:p>
    <w:p>
      <w:pPr>
        <w:spacing w:after="0" w:line="171" w:lineRule="exact"/>
        <w:rPr>
          <w:rFonts w:ascii="Arial" w:cs="Arial" w:eastAsia="Arial" w:hAnsi="Arial"/>
          <w:sz w:val="17"/>
          <w:szCs w:val="17"/>
          <w:color w:val="auto"/>
        </w:rPr>
      </w:pPr>
    </w:p>
    <w:p>
      <w:pPr>
        <w:jc w:val="both"/>
        <w:ind w:left="760" w:hanging="379"/>
        <w:spacing w:after="0" w:line="270"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Schlumberger Production Management </w:t>
      </w:r>
      <w:r>
        <w:rPr>
          <w:rFonts w:ascii="Arial" w:cs="Arial" w:eastAsia="Arial" w:hAnsi="Arial"/>
          <w:sz w:val="17"/>
          <w:szCs w:val="17"/>
          <w:color w:val="auto"/>
        </w:rPr>
        <w:t>is a business model for field production projects. This model combines the required services and products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with drilling rig management, specialized engineering and project management expertise to provide a complete solution to well construction and production improvement.</w:t>
      </w:r>
    </w:p>
    <w:p>
      <w:pPr>
        <w:spacing w:after="0" w:line="172" w:lineRule="exact"/>
        <w:rPr>
          <w:sz w:val="20"/>
          <w:szCs w:val="20"/>
          <w:color w:val="auto"/>
        </w:rPr>
      </w:pPr>
    </w:p>
    <w:p>
      <w:pPr>
        <w:jc w:val="both"/>
        <w:ind w:left="760"/>
        <w:spacing w:after="0" w:line="262" w:lineRule="auto"/>
        <w:rPr>
          <w:sz w:val="20"/>
          <w:szCs w:val="20"/>
          <w:color w:val="auto"/>
        </w:rPr>
      </w:pPr>
      <w:r>
        <w:rPr>
          <w:rFonts w:ascii="Arial" w:cs="Arial" w:eastAsia="Arial" w:hAnsi="Arial"/>
          <w:sz w:val="17"/>
          <w:szCs w:val="17"/>
          <w:color w:val="auto"/>
        </w:rPr>
        <w:t>SPM creates alignment between Schlumberger and the asset holder and/or the operator whereby Schlumberger receives remuneration in line with its value creation. These projects are generally focused on developing and co-managing production of customer assets under long-term</w:t>
      </w:r>
    </w:p>
    <w:p>
      <w:pPr>
        <w:spacing w:after="0" w:line="1" w:lineRule="exact"/>
        <w:rPr>
          <w:sz w:val="20"/>
          <w:szCs w:val="20"/>
          <w:color w:val="auto"/>
        </w:rPr>
      </w:pPr>
    </w:p>
    <w:p>
      <w:pPr>
        <w:jc w:val="both"/>
        <w:ind w:left="760"/>
        <w:spacing w:after="0" w:line="258" w:lineRule="auto"/>
        <w:rPr>
          <w:sz w:val="20"/>
          <w:szCs w:val="20"/>
          <w:color w:val="auto"/>
        </w:rPr>
      </w:pPr>
      <w:r>
        <w:rPr>
          <w:rFonts w:ascii="Arial" w:cs="Arial" w:eastAsia="Arial" w:hAnsi="Arial"/>
          <w:sz w:val="17"/>
          <w:szCs w:val="17"/>
          <w:color w:val="auto"/>
        </w:rPr>
        <w:t>agreements. Schlumberger will invest its own services and products, and in some cases cash,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generally compensated based upon cash flow generated or on a fee-per-barrel basis. This includes certain arrangements whereby Schlumberger is only compensated based upon incremental production that it helps deliver above a mutually agreed baseline. SPM represented less than 5% of Schlumberger’s consolidated revenue for the year ended December 31, 2017.</w:t>
      </w:r>
    </w:p>
    <w:p>
      <w:pPr>
        <w:spacing w:after="0" w:line="182"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i w:val="1"/>
          <w:iCs w:val="1"/>
          <w:color w:val="auto"/>
        </w:rPr>
        <w:t xml:space="preserve">Cameron Group </w:t>
      </w:r>
      <w:r>
        <w:rPr>
          <w:rFonts w:ascii="Arial" w:cs="Arial" w:eastAsia="Arial" w:hAnsi="Arial"/>
          <w:sz w:val="17"/>
          <w:szCs w:val="17"/>
          <w:color w:val="auto"/>
        </w:rPr>
        <w:t>– Consists of the principal Technologies involved in pressure and flow control for drilling and intervention rigs, oil and gas wells and production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facilities, and includes OneSubsea</w:t>
      </w:r>
      <w:r>
        <w:rPr>
          <w:rFonts w:ascii="Arial" w:cs="Arial" w:eastAsia="Arial" w:hAnsi="Arial"/>
          <w:sz w:val="14"/>
          <w:szCs w:val="14"/>
          <w:color w:val="231F20"/>
        </w:rPr>
        <w:t>®</w:t>
      </w:r>
      <w:r>
        <w:rPr>
          <w:rFonts w:ascii="Arial" w:cs="Arial" w:eastAsia="Arial" w:hAnsi="Arial"/>
          <w:sz w:val="17"/>
          <w:szCs w:val="17"/>
          <w:color w:val="auto"/>
        </w:rPr>
        <w:t>, Surface Systems, Drilling Systems, and Valves &amp; Measurement.</w:t>
      </w:r>
    </w:p>
    <w:p>
      <w:pPr>
        <w:spacing w:after="0" w:line="159" w:lineRule="exact"/>
        <w:rPr>
          <w:sz w:val="20"/>
          <w:szCs w:val="20"/>
          <w:color w:val="auto"/>
        </w:rPr>
      </w:pPr>
    </w:p>
    <w:p>
      <w:pPr>
        <w:jc w:val="both"/>
        <w:ind w:left="760" w:hanging="379"/>
        <w:spacing w:after="0" w:line="270"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OneSubsea </w:t>
      </w:r>
      <w:r>
        <w:rPr>
          <w:rFonts w:ascii="Arial" w:cs="Arial" w:eastAsia="Arial" w:hAnsi="Arial"/>
          <w:sz w:val="17"/>
          <w:szCs w:val="17"/>
          <w:color w:val="auto"/>
        </w:rPr>
        <w:t>provides integrated solutions, products, systems and services for the subsea oil and gas market, including integrated subsea production</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involving wellheads, subsea trees, manifolds and flowline connectors, control systems, connectors and services designed to maximize reservoir recovery and extend the life of each field. OneSubsea offers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 w:name="page5"/>
    <w:bookmarkEnd w:id="4"/>
    <w:p>
      <w:pPr>
        <w:ind w:left="760"/>
        <w:spacing w:after="0" w:line="285" w:lineRule="auto"/>
        <w:rPr>
          <w:sz w:val="20"/>
          <w:szCs w:val="20"/>
          <w:color w:val="auto"/>
        </w:rPr>
      </w:pPr>
      <w:r>
        <w:rPr>
          <w:rFonts w:ascii="Arial" w:cs="Arial" w:eastAsia="Arial" w:hAnsi="Arial"/>
          <w:sz w:val="17"/>
          <w:szCs w:val="17"/>
          <w:color w:val="auto"/>
        </w:rPr>
        <w:t>integration and optimization of the entire production system over the life of the field by leveraging flow control expertise and process technologies with petrotechnical expertise and reservoir and production technologies.</w:t>
      </w:r>
    </w:p>
    <w:p>
      <w:pPr>
        <w:spacing w:after="0" w:line="159" w:lineRule="exact"/>
        <w:rPr>
          <w:sz w:val="20"/>
          <w:szCs w:val="20"/>
          <w:color w:val="auto"/>
        </w:rPr>
      </w:pPr>
    </w:p>
    <w:p>
      <w:pPr>
        <w:ind w:left="760" w:hanging="379"/>
        <w:spacing w:after="0" w:line="285"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Surface Systems </w:t>
      </w:r>
      <w:r>
        <w:rPr>
          <w:rFonts w:ascii="Arial" w:cs="Arial" w:eastAsia="Arial" w:hAnsi="Arial"/>
          <w:sz w:val="17"/>
          <w:szCs w:val="17"/>
          <w:color w:val="auto"/>
        </w:rPr>
        <w:t>designs and manufactures onshore and offshore platform wellhead systems and processing solutions, including valves, chokes, actuators</w:t>
      </w:r>
      <w:r>
        <w:rPr>
          <w:rFonts w:ascii="Arial" w:cs="Arial" w:eastAsia="Arial" w:hAnsi="Arial"/>
          <w:sz w:val="17"/>
          <w:szCs w:val="17"/>
          <w:i w:val="1"/>
          <w:iCs w:val="1"/>
          <w:color w:val="auto"/>
        </w:rPr>
        <w:t xml:space="preserve"> </w:t>
      </w:r>
      <w:r>
        <w:rPr>
          <w:rFonts w:ascii="Arial" w:cs="Arial" w:eastAsia="Arial" w:hAnsi="Arial"/>
          <w:sz w:val="17"/>
          <w:szCs w:val="17"/>
          <w:color w:val="auto"/>
        </w:rPr>
        <w:t>and Christmas trees, and provides services to oil and gas operators.</w:t>
      </w:r>
    </w:p>
    <w:p>
      <w:pPr>
        <w:spacing w:after="0" w:line="159" w:lineRule="exact"/>
        <w:rPr>
          <w:rFonts w:ascii="Arial" w:cs="Arial" w:eastAsia="Arial" w:hAnsi="Arial"/>
          <w:sz w:val="17"/>
          <w:szCs w:val="17"/>
          <w:color w:val="auto"/>
        </w:rPr>
      </w:pPr>
    </w:p>
    <w:p>
      <w:pPr>
        <w:jc w:val="both"/>
        <w:ind w:left="760" w:hanging="379"/>
        <w:spacing w:after="0" w:line="265"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Drilling Systems </w:t>
      </w:r>
      <w:r>
        <w:rPr>
          <w:rFonts w:ascii="Arial" w:cs="Arial" w:eastAsia="Arial" w:hAnsi="Arial"/>
          <w:sz w:val="17"/>
          <w:szCs w:val="17"/>
          <w:color w:val="auto"/>
        </w:rPr>
        <w:t>provides drilling equipment and services to shipyards, drilling contractors, E&amp;P companies and rental tool companies. The products fall</w:t>
      </w:r>
      <w:r>
        <w:rPr>
          <w:rFonts w:ascii="Arial" w:cs="Arial" w:eastAsia="Arial" w:hAnsi="Arial"/>
          <w:sz w:val="17"/>
          <w:szCs w:val="17"/>
          <w:i w:val="1"/>
          <w:iCs w:val="1"/>
          <w:color w:val="auto"/>
        </w:rPr>
        <w:t xml:space="preserve"> </w:t>
      </w:r>
      <w:r>
        <w:rPr>
          <w:rFonts w:ascii="Arial" w:cs="Arial" w:eastAsia="Arial" w:hAnsi="Arial"/>
          <w:sz w:val="17"/>
          <w:szCs w:val="17"/>
          <w:color w:val="auto"/>
        </w:rPr>
        <w:t>into two broad categories: pressure control equipment and rotary drilling equipment. These products are designed for either onshore or offshore applications and include drilling equipment packages, blowout preventers (BOPs), BOP control systems, connectors, riser systems, valves and choke manifold systems, top drives, mud pumps, pipe handling equipment, rig designs and rig kits.</w:t>
      </w:r>
    </w:p>
    <w:p>
      <w:pPr>
        <w:spacing w:after="0" w:line="176" w:lineRule="exact"/>
        <w:rPr>
          <w:rFonts w:ascii="Arial" w:cs="Arial" w:eastAsia="Arial" w:hAnsi="Arial"/>
          <w:sz w:val="17"/>
          <w:szCs w:val="17"/>
          <w:color w:val="auto"/>
        </w:rPr>
      </w:pPr>
    </w:p>
    <w:p>
      <w:pPr>
        <w:jc w:val="both"/>
        <w:ind w:left="760" w:hanging="379"/>
        <w:spacing w:after="0" w:line="270"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Valves &amp; Measurement </w:t>
      </w:r>
      <w:r>
        <w:rPr>
          <w:rFonts w:ascii="Arial" w:cs="Arial" w:eastAsia="Arial" w:hAnsi="Arial"/>
          <w:sz w:val="17"/>
          <w:szCs w:val="17"/>
          <w:color w:val="auto"/>
        </w:rPr>
        <w:t>serves portions of the upstream, midstream and downstream markets and provides valve products and measurement systems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primarily used to control, direct and measure the flow of oil and gas as they are moved from wellheads through flow lines, gathering lines and transmission systems to refineries, petrochemical plants and industrial centers for processing.</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Supporting the Groups is a global network of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Schlumberger’s business is also reported through four geographic areas: North America, Latin America, Europe/CIS/Africa and Middle East &amp; Asia. Within these geographic areas, a network of GeoMarket* regions provides logistical, technical and commercial coordination.</w:t>
      </w:r>
    </w:p>
    <w:p>
      <w:pPr>
        <w:spacing w:after="0" w:line="159" w:lineRule="exact"/>
        <w:rPr>
          <w:sz w:val="20"/>
          <w:szCs w:val="20"/>
          <w:color w:val="auto"/>
        </w:rPr>
      </w:pPr>
    </w:p>
    <w:p>
      <w:pPr>
        <w:jc w:val="both"/>
        <w:spacing w:after="0" w:line="355" w:lineRule="auto"/>
        <w:rPr>
          <w:sz w:val="20"/>
          <w:szCs w:val="20"/>
          <w:color w:val="auto"/>
        </w:rPr>
      </w:pPr>
      <w:r>
        <w:rPr>
          <w:rFonts w:ascii="Arial" w:cs="Arial" w:eastAsia="Arial" w:hAnsi="Arial"/>
          <w:sz w:val="15"/>
          <w:szCs w:val="15"/>
          <w:color w:val="auto"/>
        </w:rPr>
        <w:t>The GeoMarket structure offers customers a single point of contact at the local level for field operations and brings together geographically focused teams to meet local needs and deliver customized solutions. The GeoMarkets are responsible for providing the most efficient and cost-effective support possible to the operations.</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Schlumberger primarily uses its own personnel to market its offerings. The customer base, business risks and opportunities for growth are essentially uniform across all services and products. Manufacturing and engineering facilities as well as research centers are shared, and the labor force is interchangeable. Technological innovation, quality of service and price differentiation are the principal methods of competition, which vary geographically with respect to the different services and products offered. While Schlumberger has numerous competitors, both large and small, Schlumberger believes that it is an industry leader in providing geophysical equipment and services, wireline logging, well production testing, exploration and production software, rig equipment, surface equipment, subsea equipment, artificial lift, hydraulic fracturing, cementing, coiled-tubing services, drilling and completion fluids, solids control and waste management, drilling pressure control, drill bits, measurement-while-drilling, logging-while-drilling, directional-drilling services, and surface data (mud) logging.</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Schlumberger owns and controls a variety of intellectual property, including but not limited to patents, proprietary information and software tools and applications that, in the aggregate, are material to Schlumberger’s business. While Schlumberger seeks and holds numerous patents covering various products and processes, no particular patent or group of patents is material to Schlumberger’s business.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Seasonal changes in weather and significant weather events can temporarily affect the delivery of oilfield services. For example, the spring thaw in Canada and consequent road restrictions can affect activity levels, while the winter months in the North Sea, Russia and China can produce severe weather conditions that can temporarily reduce levels of activity. In addition, hurricanes and typhoons can disrupt coastal and offshore operations. Furthermore, customer spending patterns for multiclient data, software and other oilfield services and products generally result in higher activity in the fourth quarter of each year as clients seek to utilize their annual budgets.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 and Backlog of Orders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year ended December 31, 2017, no single customer exceeded 10% of consolidated revenue. Other than WesternGeco, OneSubsea and Drilling Systems businesses, Schlumberger has no significant backlog due to the nature of its businesses. The WesternGeco backlog was $0.4 billion at December 31, 2017 (all of which is expected to be recognized as revenue in 2018) and $0.8</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spacing w:after="0" w:line="285" w:lineRule="auto"/>
        <w:rPr>
          <w:sz w:val="20"/>
          <w:szCs w:val="20"/>
          <w:color w:val="auto"/>
        </w:rPr>
      </w:pPr>
      <w:r>
        <w:rPr>
          <w:rFonts w:ascii="Arial" w:cs="Arial" w:eastAsia="Arial" w:hAnsi="Arial"/>
          <w:sz w:val="17"/>
          <w:szCs w:val="17"/>
          <w:color w:val="auto"/>
        </w:rPr>
        <w:t>billion at December 31, 2016. The combined backlog of the OneSubsea and Drilling Systems businesses was $2.5 billion at December 31, 2017 (of which approximately 50% is expected to be recognized as revenue during 2018) and $3.1 billion at December 31, 2016.</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Information</w:t>
      </w:r>
    </w:p>
    <w:p>
      <w:pPr>
        <w:spacing w:after="0" w:line="122"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 xml:space="preserve">Financial information by business segment and geographic area for the years ended December 31, 2017, 2016 and 2015 is provided in Note 17 of the </w:t>
      </w:r>
      <w:r>
        <w:rPr>
          <w:rFonts w:ascii="Arial" w:cs="Arial" w:eastAsia="Arial" w:hAnsi="Arial"/>
          <w:sz w:val="17"/>
          <w:szCs w:val="17"/>
          <w:i w:val="1"/>
          <w:iCs w:val="1"/>
          <w:color w:val="auto"/>
        </w:rPr>
        <w:t>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Executive Officers of Schlumberger</w:t>
      </w:r>
    </w:p>
    <w:p>
      <w:pPr>
        <w:spacing w:after="0" w:line="122"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The following table sets forth, as of January 24, 2018, the names and ages of the executive officers of Schlumberger, including all offices and positions held by each for the past five years.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Name</w:t>
            </w:r>
          </w:p>
        </w:tc>
        <w:tc>
          <w:tcPr>
            <w:tcW w:w="1820" w:type="dxa"/>
            <w:vAlign w:val="bottom"/>
          </w:tcPr>
          <w:p>
            <w:pPr>
              <w:spacing w:after="0"/>
              <w:rPr>
                <w:sz w:val="16"/>
                <w:szCs w:val="16"/>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Age</w:t>
            </w:r>
          </w:p>
        </w:tc>
        <w:tc>
          <w:tcPr>
            <w:tcW w:w="140" w:type="dxa"/>
            <w:vAlign w:val="bottom"/>
          </w:tcPr>
          <w:p>
            <w:pPr>
              <w:spacing w:after="0"/>
              <w:rPr>
                <w:sz w:val="16"/>
                <w:szCs w:val="16"/>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Current Position and Five-Year Business Experience</w:t>
            </w:r>
          </w:p>
        </w:tc>
        <w:tc>
          <w:tcPr>
            <w:tcW w:w="4900" w:type="dxa"/>
            <w:vAlign w:val="bottom"/>
          </w:tcPr>
          <w:p>
            <w:pPr>
              <w:spacing w:after="0"/>
              <w:rPr>
                <w:sz w:val="16"/>
                <w:szCs w:val="16"/>
                <w:color w:val="auto"/>
              </w:rPr>
            </w:pPr>
          </w:p>
        </w:tc>
      </w:tr>
      <w:tr>
        <w:trPr>
          <w:trHeight w:val="422"/>
        </w:trPr>
        <w:tc>
          <w:tcPr>
            <w:tcW w:w="2260" w:type="dxa"/>
            <w:vAlign w:val="bottom"/>
            <w:gridSpan w:val="2"/>
          </w:tcPr>
          <w:p>
            <w:pPr>
              <w:spacing w:after="0"/>
              <w:rPr>
                <w:sz w:val="20"/>
                <w:szCs w:val="20"/>
                <w:color w:val="auto"/>
              </w:rPr>
            </w:pPr>
            <w:r>
              <w:rPr>
                <w:rFonts w:ascii="Arial" w:cs="Arial" w:eastAsia="Arial" w:hAnsi="Arial"/>
                <w:sz w:val="17"/>
                <w:szCs w:val="17"/>
                <w:color w:val="auto"/>
              </w:rPr>
              <w:t>Paal Kibsgaard</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50</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6"/>
              </w:rPr>
              <w:t>Chairman of the Board of Directors, since April 2015; Chief Executive Officer, since August 2011; and Director since April</w:t>
            </w:r>
          </w:p>
        </w:tc>
      </w:tr>
      <w:tr>
        <w:trPr>
          <w:trHeight w:val="220"/>
        </w:trPr>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20" w:type="dxa"/>
            <w:vAlign w:val="bottom"/>
            <w:gridSpan w:val="2"/>
          </w:tcPr>
          <w:p>
            <w:pPr>
              <w:ind w:left="140"/>
              <w:spacing w:after="0"/>
              <w:rPr>
                <w:sz w:val="20"/>
                <w:szCs w:val="20"/>
                <w:color w:val="auto"/>
              </w:rPr>
            </w:pPr>
            <w:r>
              <w:rPr>
                <w:rFonts w:ascii="Arial" w:cs="Arial" w:eastAsia="Arial" w:hAnsi="Arial"/>
                <w:sz w:val="17"/>
                <w:szCs w:val="17"/>
                <w:color w:val="auto"/>
              </w:rPr>
              <w:t>2011.</w:t>
            </w:r>
          </w:p>
        </w:tc>
        <w:tc>
          <w:tcPr>
            <w:tcW w:w="4900" w:type="dxa"/>
            <w:vAlign w:val="bottom"/>
          </w:tcPr>
          <w:p>
            <w:pPr>
              <w:spacing w:after="0"/>
              <w:rPr>
                <w:sz w:val="19"/>
                <w:szCs w:val="19"/>
                <w:color w:val="auto"/>
              </w:rPr>
            </w:pPr>
          </w:p>
        </w:tc>
      </w:tr>
      <w:tr>
        <w:trPr>
          <w:trHeight w:val="416"/>
        </w:trPr>
        <w:tc>
          <w:tcPr>
            <w:tcW w:w="2260" w:type="dxa"/>
            <w:vAlign w:val="bottom"/>
            <w:gridSpan w:val="2"/>
          </w:tcPr>
          <w:p>
            <w:pPr>
              <w:spacing w:after="0"/>
              <w:rPr>
                <w:sz w:val="20"/>
                <w:szCs w:val="20"/>
                <w:color w:val="auto"/>
              </w:rPr>
            </w:pPr>
            <w:r>
              <w:rPr>
                <w:rFonts w:ascii="Arial" w:cs="Arial" w:eastAsia="Arial" w:hAnsi="Arial"/>
                <w:sz w:val="17"/>
                <w:szCs w:val="17"/>
                <w:color w:val="auto"/>
              </w:rPr>
              <w:t>Simon Ayat</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63</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Executive Vice President and Chief Financial Officer, since March 2007.</w:t>
            </w:r>
          </w:p>
        </w:tc>
      </w:tr>
      <w:tr>
        <w:trPr>
          <w:trHeight w:val="416"/>
        </w:trPr>
        <w:tc>
          <w:tcPr>
            <w:tcW w:w="2260" w:type="dxa"/>
            <w:vAlign w:val="bottom"/>
            <w:gridSpan w:val="2"/>
          </w:tcPr>
          <w:p>
            <w:pPr>
              <w:spacing w:after="0"/>
              <w:rPr>
                <w:sz w:val="20"/>
                <w:szCs w:val="20"/>
                <w:color w:val="auto"/>
              </w:rPr>
            </w:pPr>
            <w:r>
              <w:rPr>
                <w:rFonts w:ascii="Arial" w:cs="Arial" w:eastAsia="Arial" w:hAnsi="Arial"/>
                <w:sz w:val="17"/>
                <w:szCs w:val="17"/>
                <w:color w:val="auto"/>
              </w:rPr>
              <w:t>Alexander C. Juden</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Secretary and General Counsel, since April 2009.</w:t>
            </w:r>
          </w:p>
        </w:tc>
      </w:tr>
      <w:tr>
        <w:trPr>
          <w:trHeight w:val="416"/>
        </w:trPr>
        <w:tc>
          <w:tcPr>
            <w:tcW w:w="2260" w:type="dxa"/>
            <w:vAlign w:val="bottom"/>
            <w:gridSpan w:val="2"/>
          </w:tcPr>
          <w:p>
            <w:pPr>
              <w:spacing w:after="0"/>
              <w:rPr>
                <w:sz w:val="20"/>
                <w:szCs w:val="20"/>
                <w:color w:val="auto"/>
              </w:rPr>
            </w:pPr>
            <w:r>
              <w:rPr>
                <w:rFonts w:ascii="Arial" w:cs="Arial" w:eastAsia="Arial" w:hAnsi="Arial"/>
                <w:sz w:val="17"/>
                <w:szCs w:val="17"/>
                <w:color w:val="auto"/>
              </w:rPr>
              <w:t>Ashok Belani</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59</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Executive Vice President Technology, since January 2011.</w:t>
            </w:r>
          </w:p>
        </w:tc>
      </w:tr>
      <w:tr>
        <w:trPr>
          <w:trHeight w:val="403"/>
        </w:trPr>
        <w:tc>
          <w:tcPr>
            <w:tcW w:w="2260" w:type="dxa"/>
            <w:vAlign w:val="bottom"/>
            <w:gridSpan w:val="2"/>
          </w:tcPr>
          <w:p>
            <w:pPr>
              <w:spacing w:after="0"/>
              <w:rPr>
                <w:sz w:val="20"/>
                <w:szCs w:val="20"/>
                <w:color w:val="auto"/>
              </w:rPr>
            </w:pPr>
            <w:r>
              <w:rPr>
                <w:rFonts w:ascii="Arial" w:cs="Arial" w:eastAsia="Arial" w:hAnsi="Arial"/>
                <w:sz w:val="17"/>
                <w:szCs w:val="17"/>
                <w:color w:val="auto"/>
              </w:rPr>
              <w:t>Jean-Francois Poupeau</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56</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2"/>
              </w:rPr>
              <w:t>Executive Vice President Corporate Engagement, since May 2017; and Executive Vice President Corporate Development and</w:t>
            </w:r>
          </w:p>
        </w:tc>
      </w:tr>
      <w:tr>
        <w:trPr>
          <w:trHeight w:val="220"/>
        </w:trPr>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Communications, June 2012 to April 2017.</w:t>
            </w:r>
          </w:p>
        </w:tc>
      </w:tr>
      <w:tr>
        <w:trPr>
          <w:trHeight w:val="403"/>
        </w:trPr>
        <w:tc>
          <w:tcPr>
            <w:tcW w:w="2260" w:type="dxa"/>
            <w:vAlign w:val="bottom"/>
            <w:gridSpan w:val="2"/>
          </w:tcPr>
          <w:p>
            <w:pPr>
              <w:spacing w:after="0"/>
              <w:rPr>
                <w:sz w:val="20"/>
                <w:szCs w:val="20"/>
                <w:color w:val="auto"/>
              </w:rPr>
            </w:pPr>
            <w:r>
              <w:rPr>
                <w:rFonts w:ascii="Arial" w:cs="Arial" w:eastAsia="Arial" w:hAnsi="Arial"/>
                <w:sz w:val="17"/>
                <w:szCs w:val="17"/>
                <w:color w:val="auto"/>
              </w:rPr>
              <w:t>Patrick Schorn</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49</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7"/>
              </w:rPr>
              <w:t>Executive Vice President, New Ventures, since May 2017; President, Operations, August 2015 to May 2017; President,</w:t>
            </w:r>
          </w:p>
        </w:tc>
      </w:tr>
      <w:tr>
        <w:trPr>
          <w:trHeight w:val="220"/>
        </w:trPr>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Operations &amp; Integration, July 2013 to August 2015; and President, Production Group, January 2011 to June 2013.</w:t>
            </w:r>
          </w:p>
        </w:tc>
      </w:tr>
      <w:tr>
        <w:trPr>
          <w:trHeight w:val="403"/>
        </w:trPr>
        <w:tc>
          <w:tcPr>
            <w:tcW w:w="2260" w:type="dxa"/>
            <w:vAlign w:val="bottom"/>
            <w:gridSpan w:val="2"/>
          </w:tcPr>
          <w:p>
            <w:pPr>
              <w:spacing w:after="0"/>
              <w:rPr>
                <w:sz w:val="20"/>
                <w:szCs w:val="20"/>
                <w:color w:val="auto"/>
              </w:rPr>
            </w:pPr>
            <w:r>
              <w:rPr>
                <w:rFonts w:ascii="Arial" w:cs="Arial" w:eastAsia="Arial" w:hAnsi="Arial"/>
                <w:sz w:val="17"/>
                <w:szCs w:val="17"/>
                <w:color w:val="auto"/>
              </w:rPr>
              <w:t>Khaled Al Mogharbel</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47</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5"/>
              </w:rPr>
              <w:t>President, Eastern Hemisphere, since May 2017; President, Drilling Group, July 2013 to April 2017; and President, Middle</w:t>
            </w:r>
          </w:p>
        </w:tc>
      </w:tr>
      <w:tr>
        <w:trPr>
          <w:trHeight w:val="220"/>
        </w:trPr>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East, August 2011 to June 2013.</w:t>
            </w:r>
          </w:p>
        </w:tc>
      </w:tr>
      <w:tr>
        <w:trPr>
          <w:trHeight w:val="403"/>
        </w:trPr>
        <w:tc>
          <w:tcPr>
            <w:tcW w:w="2260" w:type="dxa"/>
            <w:vAlign w:val="bottom"/>
            <w:gridSpan w:val="2"/>
          </w:tcPr>
          <w:p>
            <w:pPr>
              <w:spacing w:after="0"/>
              <w:rPr>
                <w:sz w:val="20"/>
                <w:szCs w:val="20"/>
                <w:color w:val="auto"/>
              </w:rPr>
            </w:pPr>
            <w:r>
              <w:rPr>
                <w:rFonts w:ascii="Arial" w:cs="Arial" w:eastAsia="Arial" w:hAnsi="Arial"/>
                <w:sz w:val="17"/>
                <w:szCs w:val="17"/>
                <w:color w:val="auto"/>
              </w:rPr>
              <w:t>Aaron Gatt Floridia</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49</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President, Western Hemisphere, since May 2017; Chief Commercial Officer, May 2016 to May 2017; and President,</w:t>
            </w:r>
          </w:p>
        </w:tc>
      </w:tr>
      <w:tr>
        <w:trPr>
          <w:trHeight w:val="220"/>
        </w:trPr>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Reservoir Characterization Group, August 2011 to May 2016.</w:t>
            </w:r>
          </w:p>
        </w:tc>
      </w:tr>
      <w:tr>
        <w:trPr>
          <w:trHeight w:val="403"/>
        </w:trPr>
        <w:tc>
          <w:tcPr>
            <w:tcW w:w="2260" w:type="dxa"/>
            <w:vAlign w:val="bottom"/>
            <w:gridSpan w:val="2"/>
          </w:tcPr>
          <w:p>
            <w:pPr>
              <w:spacing w:after="0"/>
              <w:rPr>
                <w:sz w:val="20"/>
                <w:szCs w:val="20"/>
                <w:color w:val="auto"/>
              </w:rPr>
            </w:pPr>
            <w:r>
              <w:rPr>
                <w:rFonts w:ascii="Arial" w:cs="Arial" w:eastAsia="Arial" w:hAnsi="Arial"/>
                <w:sz w:val="17"/>
                <w:szCs w:val="17"/>
                <w:color w:val="auto"/>
              </w:rPr>
              <w:t>Stephane Biguet</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49</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7"/>
              </w:rPr>
              <w:t>Vice President Finance, since December 2017; Vice President and Treasurer, December 2016 to November 2017; Vice</w:t>
            </w:r>
          </w:p>
        </w:tc>
      </w:tr>
      <w:tr>
        <w:trPr>
          <w:trHeight w:val="208"/>
        </w:trPr>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8"/>
              </w:rPr>
              <w:t>President Controller, Operations, August 2015 to December 2016; Vice President Controller, Operations &amp; Integration,</w:t>
            </w:r>
          </w:p>
        </w:tc>
      </w:tr>
      <w:tr>
        <w:trPr>
          <w:trHeight w:val="220"/>
        </w:trPr>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5"/>
              </w:rPr>
              <w:t>November 2013 to August 2015; and Vice President, Global Shared Services Organization, August 2011 to October 2013.</w:t>
            </w:r>
          </w:p>
        </w:tc>
      </w:tr>
      <w:tr>
        <w:trPr>
          <w:trHeight w:val="416"/>
        </w:trPr>
        <w:tc>
          <w:tcPr>
            <w:tcW w:w="2260" w:type="dxa"/>
            <w:vAlign w:val="bottom"/>
            <w:gridSpan w:val="2"/>
          </w:tcPr>
          <w:p>
            <w:pPr>
              <w:spacing w:after="0"/>
              <w:rPr>
                <w:sz w:val="20"/>
                <w:szCs w:val="20"/>
                <w:color w:val="auto"/>
              </w:rPr>
            </w:pPr>
            <w:r>
              <w:rPr>
                <w:rFonts w:ascii="Arial" w:cs="Arial" w:eastAsia="Arial" w:hAnsi="Arial"/>
                <w:sz w:val="17"/>
                <w:szCs w:val="17"/>
                <w:color w:val="auto"/>
              </w:rPr>
              <w:t>Pierre Chereque</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63</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Vice President and Director of Taxes, since June 2017; Director of Taxes, Operations July 2004 to May 2017.</w:t>
            </w:r>
          </w:p>
        </w:tc>
      </w:tr>
      <w:tr>
        <w:trPr>
          <w:trHeight w:val="403"/>
        </w:trPr>
        <w:tc>
          <w:tcPr>
            <w:tcW w:w="2260" w:type="dxa"/>
            <w:vAlign w:val="bottom"/>
            <w:gridSpan w:val="2"/>
          </w:tcPr>
          <w:p>
            <w:pPr>
              <w:spacing w:after="0"/>
              <w:rPr>
                <w:sz w:val="20"/>
                <w:szCs w:val="20"/>
                <w:color w:val="auto"/>
              </w:rPr>
            </w:pPr>
            <w:r>
              <w:rPr>
                <w:rFonts w:ascii="Arial" w:cs="Arial" w:eastAsia="Arial" w:hAnsi="Arial"/>
                <w:sz w:val="17"/>
                <w:szCs w:val="17"/>
                <w:color w:val="auto"/>
              </w:rPr>
              <w:t>Stephanie Cox</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49</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3"/>
              </w:rPr>
              <w:t>Vice President Human Resources, since June 2017; President, North America June 2017 to May 2017; President, Asia June</w:t>
            </w:r>
          </w:p>
        </w:tc>
      </w:tr>
      <w:tr>
        <w:trPr>
          <w:trHeight w:val="220"/>
        </w:trPr>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2014 to May 2016; and Vice President, Human Resources May 2009 to May 2014.</w:t>
            </w:r>
          </w:p>
        </w:tc>
      </w:tr>
      <w:tr>
        <w:trPr>
          <w:trHeight w:val="403"/>
        </w:trPr>
        <w:tc>
          <w:tcPr>
            <w:tcW w:w="2260" w:type="dxa"/>
            <w:vAlign w:val="bottom"/>
            <w:gridSpan w:val="2"/>
          </w:tcPr>
          <w:p>
            <w:pPr>
              <w:spacing w:after="0"/>
              <w:rPr>
                <w:sz w:val="20"/>
                <w:szCs w:val="20"/>
                <w:color w:val="auto"/>
              </w:rPr>
            </w:pPr>
            <w:r>
              <w:rPr>
                <w:rFonts w:ascii="Arial" w:cs="Arial" w:eastAsia="Arial" w:hAnsi="Arial"/>
                <w:sz w:val="17"/>
                <w:szCs w:val="17"/>
                <w:color w:val="auto"/>
              </w:rPr>
              <w:t>Simon Farrant</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2"/>
              </w:rPr>
              <w:t>Vice President Investor Relations, since February 2014; Special Projects Manager, December 2013 to January 2014; and Vice</w:t>
            </w:r>
          </w:p>
        </w:tc>
      </w:tr>
      <w:tr>
        <w:trPr>
          <w:trHeight w:val="220"/>
        </w:trPr>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President and General Manager, North Sea GeoMarket, April 2012 to November 2013.</w:t>
            </w:r>
          </w:p>
        </w:tc>
      </w:tr>
      <w:tr>
        <w:trPr>
          <w:trHeight w:val="403"/>
        </w:trPr>
        <w:tc>
          <w:tcPr>
            <w:tcW w:w="2260" w:type="dxa"/>
            <w:vAlign w:val="bottom"/>
            <w:gridSpan w:val="2"/>
          </w:tcPr>
          <w:p>
            <w:pPr>
              <w:spacing w:after="0"/>
              <w:rPr>
                <w:sz w:val="20"/>
                <w:szCs w:val="20"/>
                <w:color w:val="auto"/>
              </w:rPr>
            </w:pPr>
            <w:r>
              <w:rPr>
                <w:rFonts w:ascii="Arial" w:cs="Arial" w:eastAsia="Arial" w:hAnsi="Arial"/>
                <w:sz w:val="17"/>
                <w:szCs w:val="17"/>
                <w:color w:val="auto"/>
              </w:rPr>
              <w:t>Kevin Fyfe</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44</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7"/>
              </w:rPr>
              <w:t>Vice President and Controller, since October 2017; Controller, Cameron Group, January 2016 to September 2017; Vice</w:t>
            </w:r>
          </w:p>
        </w:tc>
      </w:tr>
      <w:tr>
        <w:trPr>
          <w:trHeight w:val="220"/>
        </w:trPr>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1"/>
              </w:rPr>
              <w:t>President Finance, OneSubsea July 2013 to December 2015; and Finance Integration Manager, December 2012 to June 2013.</w:t>
            </w:r>
          </w:p>
        </w:tc>
      </w:tr>
      <w:tr>
        <w:trPr>
          <w:trHeight w:val="403"/>
        </w:trPr>
        <w:tc>
          <w:tcPr>
            <w:tcW w:w="2260" w:type="dxa"/>
            <w:vAlign w:val="bottom"/>
            <w:gridSpan w:val="2"/>
          </w:tcPr>
          <w:p>
            <w:pPr>
              <w:spacing w:after="0"/>
              <w:rPr>
                <w:sz w:val="20"/>
                <w:szCs w:val="20"/>
                <w:color w:val="auto"/>
              </w:rPr>
            </w:pPr>
            <w:r>
              <w:rPr>
                <w:rFonts w:ascii="Arial" w:cs="Arial" w:eastAsia="Arial" w:hAnsi="Arial"/>
                <w:sz w:val="17"/>
                <w:szCs w:val="17"/>
                <w:color w:val="auto"/>
              </w:rPr>
              <w:t>Hinda Gharbi</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47</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5"/>
              </w:rPr>
              <w:t>President, Reservoir Characterization Group, since June 2017; President, Wireline June 2013 to May 2017; and President,</w:t>
            </w:r>
          </w:p>
        </w:tc>
      </w:tr>
      <w:tr>
        <w:trPr>
          <w:trHeight w:val="220"/>
        </w:trPr>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Asia June 2010 to June 2013.</w:t>
            </w:r>
          </w:p>
        </w:tc>
      </w:tr>
      <w:tr>
        <w:trPr>
          <w:trHeight w:val="416"/>
        </w:trPr>
        <w:tc>
          <w:tcPr>
            <w:tcW w:w="2260" w:type="dxa"/>
            <w:vAlign w:val="bottom"/>
            <w:gridSpan w:val="2"/>
          </w:tcPr>
          <w:p>
            <w:pPr>
              <w:spacing w:after="0"/>
              <w:rPr>
                <w:sz w:val="20"/>
                <w:szCs w:val="20"/>
                <w:color w:val="auto"/>
              </w:rPr>
            </w:pPr>
            <w:r>
              <w:rPr>
                <w:rFonts w:ascii="Arial" w:cs="Arial" w:eastAsia="Arial" w:hAnsi="Arial"/>
                <w:sz w:val="17"/>
                <w:szCs w:val="17"/>
                <w:color w:val="auto"/>
              </w:rPr>
              <w:t>Howard Guild</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Chief Accounting Officer, since July 2005.</w:t>
            </w:r>
          </w:p>
        </w:tc>
      </w:tr>
      <w:tr>
        <w:trPr>
          <w:trHeight w:val="403"/>
        </w:trPr>
        <w:tc>
          <w:tcPr>
            <w:tcW w:w="2260" w:type="dxa"/>
            <w:vAlign w:val="bottom"/>
            <w:gridSpan w:val="2"/>
          </w:tcPr>
          <w:p>
            <w:pPr>
              <w:spacing w:after="0"/>
              <w:rPr>
                <w:sz w:val="20"/>
                <w:szCs w:val="20"/>
                <w:color w:val="auto"/>
              </w:rPr>
            </w:pPr>
            <w:r>
              <w:rPr>
                <w:rFonts w:ascii="Arial" w:cs="Arial" w:eastAsia="Arial" w:hAnsi="Arial"/>
                <w:sz w:val="17"/>
                <w:szCs w:val="17"/>
                <w:color w:val="auto"/>
              </w:rPr>
              <w:t>Claudia Jaramillo</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4"/>
              </w:rPr>
              <w:t>Vice President and Treasurer, since December 2017; ERM and Treasury Manager, July 2017 to November 2017; Controller</w:t>
            </w:r>
          </w:p>
        </w:tc>
      </w:tr>
      <w:tr>
        <w:trPr>
          <w:trHeight w:val="220"/>
        </w:trPr>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North America, July 2014 to May 2017; and Controller, Drilling and Measurements, July 2011 to June 2014.</w:t>
            </w:r>
          </w:p>
        </w:tc>
      </w:tr>
      <w:tr>
        <w:trPr>
          <w:trHeight w:val="416"/>
        </w:trPr>
        <w:tc>
          <w:tcPr>
            <w:tcW w:w="2260" w:type="dxa"/>
            <w:vAlign w:val="bottom"/>
            <w:gridSpan w:val="2"/>
          </w:tcPr>
          <w:p>
            <w:pPr>
              <w:spacing w:after="0"/>
              <w:rPr>
                <w:sz w:val="20"/>
                <w:szCs w:val="20"/>
                <w:color w:val="auto"/>
              </w:rPr>
            </w:pPr>
            <w:r>
              <w:rPr>
                <w:rFonts w:ascii="Arial" w:cs="Arial" w:eastAsia="Arial" w:hAnsi="Arial"/>
                <w:sz w:val="17"/>
                <w:szCs w:val="17"/>
                <w:color w:val="auto"/>
              </w:rPr>
              <w:t>Vijay Kasibhatla</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54</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Director of Mergers and Acquisitions, since January 2013.</w:t>
            </w:r>
          </w:p>
        </w:tc>
      </w:tr>
      <w:tr>
        <w:trPr>
          <w:trHeight w:val="403"/>
        </w:trPr>
        <w:tc>
          <w:tcPr>
            <w:tcW w:w="2260" w:type="dxa"/>
            <w:vAlign w:val="bottom"/>
            <w:gridSpan w:val="2"/>
          </w:tcPr>
          <w:p>
            <w:pPr>
              <w:spacing w:after="0"/>
              <w:rPr>
                <w:sz w:val="20"/>
                <w:szCs w:val="20"/>
                <w:color w:val="auto"/>
              </w:rPr>
            </w:pPr>
            <w:r>
              <w:rPr>
                <w:rFonts w:ascii="Arial" w:cs="Arial" w:eastAsia="Arial" w:hAnsi="Arial"/>
                <w:sz w:val="17"/>
                <w:szCs w:val="17"/>
                <w:color w:val="auto"/>
              </w:rPr>
              <w:t>Imran Kizilbash</w:t>
            </w:r>
          </w:p>
        </w:tc>
        <w:tc>
          <w:tcPr>
            <w:tcW w:w="28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9"/>
              </w:rPr>
              <w:t>Vice President Schlumberger Venture Fund, since December 2016; Vice President and Treasurer, November 2013 to</w:t>
            </w:r>
          </w:p>
        </w:tc>
      </w:tr>
      <w:tr>
        <w:trPr>
          <w:trHeight w:val="208"/>
        </w:trPr>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4"/>
              </w:rPr>
              <w:t>December 2016; Controller, Operations &amp; Integration, July 2013 to October 2013; and Controller, Operations, January 2011</w:t>
            </w:r>
          </w:p>
        </w:tc>
      </w:tr>
      <w:tr>
        <w:trPr>
          <w:trHeight w:val="220"/>
        </w:trPr>
        <w:tc>
          <w:tcPr>
            <w:tcW w:w="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to June 2013.</w:t>
            </w:r>
          </w:p>
        </w:tc>
      </w:tr>
      <w:tr>
        <w:trPr>
          <w:trHeight w:val="624"/>
        </w:trPr>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gridSpan w:val="2"/>
          </w:tcPr>
          <w:p>
            <w:pPr>
              <w:jc w:val="right"/>
              <w:ind w:right="713"/>
              <w:spacing w:after="0"/>
              <w:rPr>
                <w:sz w:val="20"/>
                <w:szCs w:val="20"/>
                <w:color w:val="auto"/>
              </w:rPr>
            </w:pPr>
            <w:r>
              <w:rPr>
                <w:rFonts w:ascii="Arial" w:cs="Arial" w:eastAsia="Arial" w:hAnsi="Arial"/>
                <w:sz w:val="17"/>
                <w:szCs w:val="17"/>
                <w:color w:val="auto"/>
              </w:rPr>
              <w:t>7</w:t>
            </w:r>
          </w:p>
        </w:tc>
        <w:tc>
          <w:tcPr>
            <w:tcW w:w="4900" w:type="dxa"/>
            <w:vAlign w:val="bottom"/>
          </w:tcPr>
          <w:p>
            <w:pPr>
              <w:spacing w:after="0"/>
              <w:rPr>
                <w:sz w:val="24"/>
                <w:szCs w:val="24"/>
                <w:color w:val="auto"/>
              </w:rPr>
            </w:pPr>
          </w:p>
        </w:tc>
      </w:tr>
      <w:tr>
        <w:trPr>
          <w:trHeight w:val="123"/>
        </w:trPr>
        <w:tc>
          <w:tcPr>
            <w:tcW w:w="4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425"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8"/>
        </w:trPr>
        <w:tc>
          <w:tcPr>
            <w:tcW w:w="1920" w:type="dxa"/>
            <w:vAlign w:val="bottom"/>
          </w:tcPr>
          <w:p>
            <w:pPr>
              <w:spacing w:after="0"/>
              <w:rPr>
                <w:sz w:val="20"/>
                <w:szCs w:val="20"/>
                <w:color w:val="auto"/>
              </w:rPr>
            </w:pPr>
            <w:r>
              <w:rPr>
                <w:rFonts w:ascii="Arial" w:cs="Arial" w:eastAsia="Arial" w:hAnsi="Arial"/>
                <w:sz w:val="17"/>
                <w:szCs w:val="17"/>
                <w:color w:val="auto"/>
              </w:rPr>
              <w:t>Saul R. Laureles</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52</w:t>
            </w:r>
          </w:p>
        </w:tc>
        <w:tc>
          <w:tcPr>
            <w:tcW w:w="8840" w:type="dxa"/>
            <w:vAlign w:val="bottom"/>
          </w:tcPr>
          <w:p>
            <w:pPr>
              <w:ind w:left="100"/>
              <w:spacing w:after="0"/>
              <w:rPr>
                <w:sz w:val="20"/>
                <w:szCs w:val="20"/>
                <w:color w:val="auto"/>
              </w:rPr>
            </w:pPr>
            <w:r>
              <w:rPr>
                <w:rFonts w:ascii="Arial" w:cs="Arial" w:eastAsia="Arial" w:hAnsi="Arial"/>
                <w:sz w:val="17"/>
                <w:szCs w:val="17"/>
                <w:color w:val="auto"/>
                <w:w w:val="93"/>
              </w:rPr>
              <w:t>Director, Corporate Legal, since July 2014; Assistant Secretary, since April 2007; and Deputy General Counsel, Governance</w:t>
            </w:r>
          </w:p>
        </w:tc>
      </w:tr>
      <w:tr>
        <w:trPr>
          <w:trHeight w:val="220"/>
        </w:trPr>
        <w:tc>
          <w:tcPr>
            <w:tcW w:w="1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rPr>
              <w:t>and Securities, October 2012 to June 2014.</w:t>
            </w:r>
          </w:p>
        </w:tc>
      </w:tr>
      <w:tr>
        <w:trPr>
          <w:trHeight w:val="403"/>
        </w:trPr>
        <w:tc>
          <w:tcPr>
            <w:tcW w:w="1920" w:type="dxa"/>
            <w:vAlign w:val="bottom"/>
          </w:tcPr>
          <w:p>
            <w:pPr>
              <w:spacing w:after="0"/>
              <w:rPr>
                <w:sz w:val="20"/>
                <w:szCs w:val="20"/>
                <w:color w:val="auto"/>
              </w:rPr>
            </w:pPr>
            <w:r>
              <w:rPr>
                <w:rFonts w:ascii="Arial" w:cs="Arial" w:eastAsia="Arial" w:hAnsi="Arial"/>
                <w:sz w:val="17"/>
                <w:szCs w:val="17"/>
                <w:color w:val="auto"/>
              </w:rPr>
              <w:t>Olivier Le Peuch</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54</w:t>
            </w:r>
          </w:p>
        </w:tc>
        <w:tc>
          <w:tcPr>
            <w:tcW w:w="8840" w:type="dxa"/>
            <w:vAlign w:val="bottom"/>
          </w:tcPr>
          <w:p>
            <w:pPr>
              <w:ind w:left="100"/>
              <w:spacing w:after="0"/>
              <w:rPr>
                <w:sz w:val="20"/>
                <w:szCs w:val="20"/>
                <w:color w:val="auto"/>
              </w:rPr>
            </w:pPr>
            <w:r>
              <w:rPr>
                <w:rFonts w:ascii="Arial" w:cs="Arial" w:eastAsia="Arial" w:hAnsi="Arial"/>
                <w:sz w:val="17"/>
                <w:szCs w:val="17"/>
                <w:color w:val="auto"/>
                <w:w w:val="92"/>
              </w:rPr>
              <w:t>President, Cameron Group, since February 2017; President, Completions October 2014 to January 2017; and Vice President</w:t>
            </w:r>
          </w:p>
        </w:tc>
      </w:tr>
      <w:tr>
        <w:trPr>
          <w:trHeight w:val="220"/>
        </w:trPr>
        <w:tc>
          <w:tcPr>
            <w:tcW w:w="1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rPr>
              <w:t>EMS August 2010 to September 2014.</w:t>
            </w:r>
          </w:p>
        </w:tc>
      </w:tr>
      <w:tr>
        <w:trPr>
          <w:trHeight w:val="403"/>
        </w:trPr>
        <w:tc>
          <w:tcPr>
            <w:tcW w:w="1920" w:type="dxa"/>
            <w:vAlign w:val="bottom"/>
          </w:tcPr>
          <w:p>
            <w:pPr>
              <w:spacing w:after="0"/>
              <w:rPr>
                <w:sz w:val="20"/>
                <w:szCs w:val="20"/>
                <w:color w:val="auto"/>
              </w:rPr>
            </w:pPr>
            <w:r>
              <w:rPr>
                <w:rFonts w:ascii="Arial" w:cs="Arial" w:eastAsia="Arial" w:hAnsi="Arial"/>
                <w:sz w:val="17"/>
                <w:szCs w:val="17"/>
                <w:color w:val="auto"/>
              </w:rPr>
              <w:t>Catherine MacGregor</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45</w:t>
            </w:r>
          </w:p>
        </w:tc>
        <w:tc>
          <w:tcPr>
            <w:tcW w:w="8840" w:type="dxa"/>
            <w:vAlign w:val="bottom"/>
          </w:tcPr>
          <w:p>
            <w:pPr>
              <w:ind w:left="100"/>
              <w:spacing w:after="0"/>
              <w:rPr>
                <w:sz w:val="20"/>
                <w:szCs w:val="20"/>
                <w:color w:val="auto"/>
              </w:rPr>
            </w:pPr>
            <w:r>
              <w:rPr>
                <w:rFonts w:ascii="Arial" w:cs="Arial" w:eastAsia="Arial" w:hAnsi="Arial"/>
                <w:sz w:val="17"/>
                <w:szCs w:val="17"/>
                <w:color w:val="auto"/>
              </w:rPr>
              <w:t>President, Drilling Group, since May 2017; President, Reservoir Characterization Group, August 2016 to April 2017;</w:t>
            </w:r>
          </w:p>
        </w:tc>
      </w:tr>
      <w:tr>
        <w:trPr>
          <w:trHeight w:val="220"/>
        </w:trPr>
        <w:tc>
          <w:tcPr>
            <w:tcW w:w="1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rPr>
              <w:t>President, Europe and Africa, July 2013 to July 2016; and Wireline President, May 2009 to June 2013.</w:t>
            </w:r>
          </w:p>
        </w:tc>
      </w:tr>
      <w:tr>
        <w:trPr>
          <w:trHeight w:val="403"/>
        </w:trPr>
        <w:tc>
          <w:tcPr>
            <w:tcW w:w="1920" w:type="dxa"/>
            <w:vAlign w:val="bottom"/>
          </w:tcPr>
          <w:p>
            <w:pPr>
              <w:spacing w:after="0"/>
              <w:rPr>
                <w:sz w:val="20"/>
                <w:szCs w:val="20"/>
                <w:color w:val="auto"/>
              </w:rPr>
            </w:pPr>
            <w:r>
              <w:rPr>
                <w:rFonts w:ascii="Arial" w:cs="Arial" w:eastAsia="Arial" w:hAnsi="Arial"/>
                <w:sz w:val="17"/>
                <w:szCs w:val="17"/>
                <w:color w:val="auto"/>
              </w:rPr>
              <w:t>Abdellah Merad</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44</w:t>
            </w:r>
          </w:p>
        </w:tc>
        <w:tc>
          <w:tcPr>
            <w:tcW w:w="8840" w:type="dxa"/>
            <w:vAlign w:val="bottom"/>
          </w:tcPr>
          <w:p>
            <w:pPr>
              <w:ind w:left="100"/>
              <w:spacing w:after="0"/>
              <w:rPr>
                <w:sz w:val="20"/>
                <w:szCs w:val="20"/>
                <w:color w:val="auto"/>
              </w:rPr>
            </w:pPr>
            <w:r>
              <w:rPr>
                <w:rFonts w:ascii="Arial" w:cs="Arial" w:eastAsia="Arial" w:hAnsi="Arial"/>
                <w:sz w:val="17"/>
                <w:szCs w:val="17"/>
                <w:color w:val="auto"/>
                <w:w w:val="93"/>
              </w:rPr>
              <w:t>President, Production Group, since October 2017; Vice President Controller, Operations, December 2016 to April 2017; Vice</w:t>
            </w:r>
          </w:p>
        </w:tc>
      </w:tr>
      <w:tr>
        <w:trPr>
          <w:trHeight w:val="208"/>
        </w:trPr>
        <w:tc>
          <w:tcPr>
            <w:tcW w:w="1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w w:val="93"/>
              </w:rPr>
              <w:t>President, Global Shared Services Organization, November 2013 to December 2016; GeoMarket Cost Management Project</w:t>
            </w:r>
          </w:p>
        </w:tc>
      </w:tr>
      <w:tr>
        <w:trPr>
          <w:trHeight w:val="220"/>
        </w:trPr>
        <w:tc>
          <w:tcPr>
            <w:tcW w:w="1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rPr>
              <w:t>Manager, August 2013 to November 2013; and North Africa GeoMarket Manager, June 2010 to July 2013.</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The Schlumberger Internet website is </w:t>
      </w:r>
      <w:r>
        <w:rPr>
          <w:rFonts w:ascii="Arial" w:cs="Arial" w:eastAsia="Arial" w:hAnsi="Arial"/>
          <w:sz w:val="16"/>
          <w:szCs w:val="16"/>
          <w:u w:val="single" w:color="auto"/>
          <w:color w:val="auto"/>
        </w:rPr>
        <w:t>www.slb.com</w:t>
      </w:r>
      <w:r>
        <w:rPr>
          <w:rFonts w:ascii="Arial" w:cs="Arial" w:eastAsia="Arial" w:hAnsi="Arial"/>
          <w:sz w:val="16"/>
          <w:szCs w:val="16"/>
          <w:color w:val="auto"/>
        </w:rPr>
        <w:t xml:space="preserve">. Schlumberger uses its Investor Relations website,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as a routine channel for distribution of important information, including news releases, analyst presentations, and financial information. Schlumberger makes available free of charge through its Investor Relations website at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access to its Annual Reports on Form 10-K, Quarterly Reports on Form 10-Q, Current Reports on Form 8-K, its proxy statements and Forms 3, 4 and 5 filed on behalf of directors and executive officers, and amendments to each of those reports, as soon as reasonably practicable after such material is filed with or furnished to the Securities and Exchange Commission (“SEC”). Alternatively, you may access these reports at the SEC’s Internet website at www.sec.gov. Copies are also available, without charge, from Schlumberger Investor Relations, 5599 San Felipe, 17</w:t>
      </w:r>
      <w:r>
        <w:rPr>
          <w:rFonts w:ascii="Arial" w:cs="Arial" w:eastAsia="Arial" w:hAnsi="Arial"/>
          <w:sz w:val="13"/>
          <w:szCs w:val="13"/>
          <w:color w:val="auto"/>
        </w:rPr>
        <w:t>th</w:t>
      </w:r>
      <w:r>
        <w:rPr>
          <w:rFonts w:ascii="Arial" w:cs="Arial" w:eastAsia="Arial" w:hAnsi="Arial"/>
          <w:sz w:val="16"/>
          <w:szCs w:val="16"/>
          <w:color w:val="auto"/>
        </w:rPr>
        <w:t xml:space="preserve"> Floor, Houston, Texas 77056. Unless expressly noted, the information on our website or any other website is not incorporated by reference in this Form 10-K and should not be considered part of this Form 10-K or any other filing Schlumberger makes with the SEC.</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1A. Risk Factors.</w:t>
      </w:r>
    </w:p>
    <w:p>
      <w:pPr>
        <w:spacing w:after="0" w:line="122"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 xml:space="preserve"> and related notes included in this Form 10-K.</w:t>
      </w: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We urge you to consider carefully the risks described below, as well as in other reports and materials that we file with the SEC and the other information included or incorporated by reference in this Form 10-K.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Demand for the majority of our products and services is substantially dependent on the levels of expenditures by our customers. The oil and gas industry downturn has resulted in reduced demand for oilfield services, which has had, and may continue to have, a material adverse impact on our financial condition, results of operations and cash flows.</w:t>
      </w:r>
    </w:p>
    <w:p>
      <w:pPr>
        <w:spacing w:after="0" w:line="6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Demand for the majority of our products and services depends substantially on expenditures by our customers for the exploration, development and production of oil and natural gas reserves. These expenditures are generally dependent on our customers’ views of future oil and natural gas prices and are sensitive to our customers’ views of future economic growth and the resulting impact on demand for oil and natural gas. Oil and gas prices have declined significantly from their highs in 2014, resulting in lower expenditures by our customers. During the downturn, many of our customers reduced or delayed their oil and gas exploration and production spending, reducing the demand for our products and services and exerting downward pressure on the prices that we have been able to charge. These conditions have had, and may continue to have, an adverse impact on our financial condition, results of operations and cash flows.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Lower oil and gas prices have resulted in a reduction in cash flows for our customers. This has resulted in, and may continue to result in, project modifications, delays and cancellations, general business disruptions, and delays in payment of, or nonpayment of, amounts that are owed to us. These effects could have a material adverse effect on our financial condition, results of operations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prices for oil and natural gas have historically been volatile and can be affected by a variety of factors, including:</w:t>
      </w:r>
    </w:p>
    <w:p>
      <w:pPr>
        <w:spacing w:after="0" w:line="116" w:lineRule="exact"/>
        <w:rPr>
          <w:sz w:val="20"/>
          <w:szCs w:val="20"/>
          <w:color w:val="auto"/>
        </w:rPr>
      </w:pPr>
    </w:p>
    <w:p>
      <w:pPr>
        <w:ind w:left="5680" w:right="4400" w:hanging="5299"/>
        <w:spacing w:after="0" w:line="540" w:lineRule="auto"/>
        <w:tabs>
          <w:tab w:leader="none" w:pos="767" w:val="left"/>
        </w:tabs>
        <w:numPr>
          <w:ilvl w:val="0"/>
          <w:numId w:val="9"/>
        </w:numPr>
        <w:rPr>
          <w:rFonts w:ascii="Arial" w:cs="Arial" w:eastAsia="Arial" w:hAnsi="Arial"/>
          <w:sz w:val="17"/>
          <w:szCs w:val="17"/>
          <w:color w:val="auto"/>
        </w:rPr>
      </w:pPr>
      <w:r>
        <w:rPr>
          <w:rFonts w:ascii="Arial" w:cs="Arial" w:eastAsia="Arial" w:hAnsi="Arial"/>
          <w:sz w:val="17"/>
          <w:szCs w:val="17"/>
          <w:color w:val="auto"/>
        </w:rPr>
        <w:t>demand for hydrocarbons, which is affected by general economic and business conditions;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-92710</wp:posOffset>
            </wp:positionV>
            <wp:extent cx="729361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 w:name="page9"/>
    <w:bookmarkEnd w:id="8"/>
    <w:p>
      <w:pPr>
        <w:ind w:left="760" w:hanging="379"/>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ability or willingness of the Organization of Petroleum Exporting Countries (“OPEC”) to set and maintain production levels for oil;</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oil and gas production levels by non-OPEC countries;</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level of excess production capacity;</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political and economic uncertainty and geopolitical unrest;</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level of worldwide oil and gas exploration and production activity;</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access to potential resources;</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governmental policies and subsidies;</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of exploring for, producing and delivering oil and gas;</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technological advances affecting energy consumption; and</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weather conditions.</w:t>
      </w:r>
    </w:p>
    <w:p>
      <w:pPr>
        <w:spacing w:after="0" w:line="220"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There can be no assurance that the demand or pricing for oil and natural gas will follow historic patterns or recover meaningfully in the near term. Continued or worsening conditions in the oil and gas industry could have a further material adverse effect on our financial condition, results of operations and cash flows.</w:t>
      </w:r>
    </w:p>
    <w:p>
      <w:pPr>
        <w:spacing w:after="0" w:line="130"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color w:val="auto"/>
        </w:rPr>
        <w:t>A significant portion of our revenue is derived from our non-United States operations, which exposes us to risks inherent in doing business in each of the over 85 countries in which we operate.</w:t>
      </w:r>
    </w:p>
    <w:p>
      <w:pPr>
        <w:spacing w:after="0" w:line="48"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Our non-United States operations accounted for approximately 74% of our consolidated revenue in 2017, 80% in 2016 and 76% in 2015. Operations in countries other than the United States are subject to various risks, including:</w:t>
      </w:r>
    </w:p>
    <w:p>
      <w:pPr>
        <w:spacing w:after="0" w:line="55" w:lineRule="exact"/>
        <w:rPr>
          <w:sz w:val="20"/>
          <w:szCs w:val="20"/>
          <w:color w:val="auto"/>
        </w:rPr>
      </w:pPr>
    </w:p>
    <w:p>
      <w:pPr>
        <w:ind w:left="760" w:hanging="379"/>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volatility in political, social and economic conditions;</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exposure to expropriation of our assets or other governmental actions;</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social unrest, acts of terrorism, war or other armed conflict;</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confiscatory taxation or other adverse tax policies;</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deprivation of contract rights;</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trade and economic sanctions or other restrictions imposed by the United States, the European Union or other countries;</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restrictions under the United States Foreign Corrupt Practices Act (“FCPA”) or similar legislation;</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restrictions on the repatriation of income or capital;</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currency exchange controls;</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inflation; and</w:t>
      </w:r>
    </w:p>
    <w:p>
      <w:pPr>
        <w:spacing w:after="0" w:line="116" w:lineRule="exact"/>
        <w:rPr>
          <w:rFonts w:ascii="Arial" w:cs="Arial" w:eastAsia="Arial" w:hAnsi="Arial"/>
          <w:sz w:val="17"/>
          <w:szCs w:val="17"/>
          <w:color w:val="auto"/>
        </w:rPr>
      </w:pPr>
    </w:p>
    <w:p>
      <w:pPr>
        <w:ind w:left="760" w:hanging="379"/>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currency exchange rate fluctuations and devaluations.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failure to comply with complex US and foreign laws and regulations could have a material adverse effect on our operations.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are subject to complex US and foreign laws and regulations, such as the FCPA, the U.K. Bribery Act and various other anti-bribery and anti-corruption laws. We are also subject to trade control regulations and trade sanctions laws that restrict the movement of certain goods to, and certain operations in, various countries or with certain persons. Our ability to transfer people and products among certain countries is subject to maintaining required licenses and complying with these laws and regulations. The internal controls, policies and procedures, and employee training and compliance programs we have implemented to deter prohibited practices may not be effective in preventing employees, contractors or agents from violating or circumventing such internal policies or violating applicable laws and regulations. Any determination that we have violated or are responsible for violations of anti-bribery, trade control, trade sanctions or anti-corruption laws could have a material adverse effect on our financial condition. Violations of international and US laws and regulations or the loss of any required licenses may result in fines and penalties, criminal sanctions, administrative remedies or restrictions on business conduct, and could have a material adverse effect on our reputation and our business, operating results and financial condition.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Demand for our products and services could be reduced by existing and future legislation or regulations.</w:t>
      </w:r>
    </w:p>
    <w:p>
      <w:pPr>
        <w:spacing w:after="0" w:line="12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Environmental advocacy groups and regulatory agencies in the United States and other countries have been focusing considerable attention on the emissions of carbon dioxide, methane and other greenhouse gasses and their potential role in climate change. Existing or future legislation and regulations related to greenhouse gas emissions and climate change, as well as government initiatives to conserve energy or promote the use of alternative energy sources, may significantly curtail demand for and production of fossil fuels such as oil and gas in areas of the world where our customers operate, and thus adversely affect future demand for our products and services. This may, in turn, adversely affect our financial condition, results of operations and cash flows.</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Some international, national, state and local governments and agencies have also adopted laws and regulations or are evaluating proposed legislation and regulations that are focused on the extraction of shale gas or oil using hydraulic fracturing. Hydraulic fracturing is a stimulation treatment routinely performed on oil and gas wells in low-permeability reservoirs. Specially engineered fluids are pumped at high pressure and rate into the reservoir interval to be treated, causing cracks in the target formation. Proppant, such as sand of a particular size, is mixed with the treatment fluid to keep the cracks open when the treatment is complete. Future hydraulic fracturing-related legislation or regulations could limit or ban hydraulic fracturing, or lead to operational delays and increased costs, and therefore reduce demand for our pressure pumping services. If such additional international, national, state or local legislation or regulations are enacted, it could adversely affect our financial condition, results of operations and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compliance costs and liabilities could reduce our earnings and cash available for operations.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are subject to increasingly stringent laws and regulations relating to importation and use of hazardous materials, radioactive materials, chemicals and explosives and to environmental protection, including laws and regulations governing air emissions, hydraulic fracturing, water discharges and waste management. We incur, and expect to continue to incur, capital and operating costs to comply with environmental laws and regulations. The technical requirements of these laws and regulations are becoming increasingly complex, stringent and expensive to implement. These laws may provide for “strict liability” for remediation costs,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for new or increased liabilities that could reduce our earnings and our cash available for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could be subject to substantial liability claims, which could adversely affect our financial condition, results of operations and cash flows.</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technical complexities of our operations expose us to a wide range of significant health, safety and environmental risks. Our offerings involve production-related activities, radioactive materials, chemicals, explosives and other equipment and services that are deployed in challenging exploration, development and production environments. An accident involving these services or equipment, or a failure of a product, could cause personal injury, loss of life, damage to or destruction of property, equipment or the environment, or suspension of operations. Our insurance may not protect us against liability for certain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subject to substantial deductibles, could adversely affect our financial condition, results of operations and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maintain technology leadership, this could adversely affect any competitive advantage we hold.</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oilfield service industry is highly competitive. Our ability to continually provide competitive technology and services can impact our ability to defend, maintain or increase prices for our products and services, maintain market share, and negotiate acceptable contract terms with our customers. If we are unable to continue to develop and produce competitive technology or deliver it to our clients in a timely and cost-competitive manner in the various markets we serve, it could adversely affect our financial condition, results of operations and cash flows.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Limitations on our ability to protect our intellectual property rights, including our trade secrets, could cause a loss in revenue and any competitive advantage we hold.</w:t>
      </w:r>
    </w:p>
    <w:p>
      <w:pPr>
        <w:spacing w:after="0" w:line="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Some of our products or services, and the processes we use to produce or provide them, have been granted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0" w:name="page11"/>
    <w:bookmarkEnd w:id="10"/>
    <w:p>
      <w:pPr>
        <w:jc w:val="both"/>
        <w:spacing w:after="0" w:line="285" w:lineRule="auto"/>
        <w:rPr>
          <w:sz w:val="20"/>
          <w:szCs w:val="20"/>
          <w:color w:val="auto"/>
        </w:rPr>
      </w:pPr>
      <w:r>
        <w:rPr>
          <w:rFonts w:ascii="Arial" w:cs="Arial" w:eastAsia="Arial" w:hAnsi="Arial"/>
          <w:sz w:val="17"/>
          <w:szCs w:val="17"/>
          <w:color w:val="auto"/>
        </w:rPr>
        <w:t>adequately protected. Our competitors may be able to develop technology independently that is similar to ours without infringing on our patents or gaining access to our trade secrets, which could adversely affect our financial condition, results of operations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litigation if another party claims that we have infringed upon its intellectual property rights.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business. Royalty payments under licenses from third parties, if available, would increase our costs. Additionally, developing non-infringing technologies would increase our costs. If a license were not available, we might not be able to continue providing a particular service or product, which could adversely affect our financial condition,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obtain and retain skilled technical personnel could impede our operations.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Severe weather conditions may adversely affect our operations.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may be materially affected by severe weather conditions in areas where we operate. This may entail the evacuation of personnel and stoppage of services. In addition, if particularly severe weather affects platforms or structures, this may result in a suspension of activities. Any of these events could adversely affect our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Cyberattacks could have a material adverse impact on our business and results of operation.</w:t>
      </w:r>
    </w:p>
    <w:p>
      <w:pPr>
        <w:spacing w:after="0" w:line="12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rely heavily on information systems to conduct our business. Although we devote significant resources to protect our systems and data, we have experienced and will continue to experience varying degrees of cyber incidents in the normal conduct of our business. There can be no assurance that the systems we have designed to prevent or limit the effects of cyber incidents or attacks will be sufficient to prevent or detect such incidents or attacks, or to avoid a material adverse impact on our systems when such incidents or attacks do occur. If our systems for protecting against cybersecurity risks are circumvented or breached, this could result in disruptions to our business operations, access to our financial reporting systems, the loss of access to critical data or systems through ransomware or other attacks, or other loss, misuse or corruption of critical data and proprietary information, including our intellectual property and customer data.</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1B. Unresolved Staff Comments.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Properties.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Schlumberger owns or leases numerous manufacturing facilities, administrative offices, service centers, research centers, data processing centers, mines, ore, drilling fluid and production chemical processing centers, sales offices and warehouses throughout the world. Schlumberger views its principal manufacturing, mining and processing facilities, research centers and data processing centers as its “principal owned or leased facilities.”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Schlumberger’s principal owned or leased facilities: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Beijing, China; Beziers and Clamart, France; Fuchinobe, Japan; Kleppestø and Stavanger, Norway; Singapore; Abingdon and Cambridge, United Kingdom; Moscow, Russia; Johor, Malaysia; and within the United States: Boston, Massachusetts; Houston, Katy, Rosharon and Sugar Land, Texas; Berwick, Louisiana; Battle Mountain, Nevada and Greybull, Wyoming.</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3. Legal Proceedings.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information with respect to this Item 3. Legal Proceedings is set forth in Note 16 of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4. Mine Safety Disclosures.</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Information concerning mine safety violations or other regulatory matters required by section 1503(a) of the Dodd-Frank Wall Street Reform and Consumer Protection Act and Item 104 of Regulation S-K is included in Exhibit 95 to this Form 10-K.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auto"/>
        </w:rPr>
        <w:t>PART II</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5. Market for Schlumberger’s Common Stock, Related Stockholder Matters and Issuer Purchases of Equity Securities.</w:t>
      </w:r>
    </w:p>
    <w:p>
      <w:pPr>
        <w:spacing w:after="0" w:line="122"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As of December 31, 2017, there were 26,572 stockholders of record. The principal United States market for Schlumberger’s common stock is the New York Stock Exchange (“NYSE”), where it is traded under the symbol “SLB.”</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Common Stock, Market Prices and Dividends Declared per Share</w:t>
      </w:r>
    </w:p>
    <w:p>
      <w:pPr>
        <w:spacing w:after="0" w:line="122"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Quarterly high and low prices for Schlumberger’s common stock as reported by the NYSE (composite transactions), together with dividends declared per share in each quarter of 2017 and 2016,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7"/>
                <w:szCs w:val="17"/>
                <w:color w:val="auto"/>
              </w:rPr>
              <w:t>Price Range</w:t>
            </w:r>
          </w:p>
        </w:tc>
        <w:tc>
          <w:tcPr>
            <w:tcW w:w="9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color w:val="auto"/>
                <w:w w:val="93"/>
              </w:rPr>
              <w:t>Dividends</w:t>
            </w:r>
          </w:p>
        </w:tc>
      </w:tr>
      <w:tr>
        <w:trPr>
          <w:trHeight w:val="214"/>
        </w:trPr>
        <w:tc>
          <w:tcPr>
            <w:tcW w:w="38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High</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7"/>
                <w:szCs w:val="17"/>
                <w:color w:val="auto"/>
              </w:rPr>
              <w:t>Low</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Declared</w:t>
            </w:r>
          </w:p>
        </w:tc>
      </w:tr>
      <w:tr>
        <w:trPr>
          <w:trHeight w:val="214"/>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2017</w:t>
            </w:r>
          </w:p>
        </w:tc>
        <w:tc>
          <w:tcPr>
            <w:tcW w:w="28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7"/>
                <w:szCs w:val="17"/>
                <w:b w:val="1"/>
                <w:bCs w:val="1"/>
                <w:color w:val="auto"/>
              </w:rPr>
              <w:t>QUARTERS</w:t>
            </w:r>
          </w:p>
        </w:tc>
        <w:tc>
          <w:tcPr>
            <w:tcW w:w="2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First</w:t>
            </w:r>
          </w:p>
        </w:tc>
        <w:tc>
          <w:tcPr>
            <w:tcW w:w="3780" w:type="dxa"/>
            <w:vAlign w:val="bottom"/>
            <w:gridSpan w:val="2"/>
            <w:shd w:val="clear" w:color="auto" w:fill="CFF0FC"/>
          </w:tcPr>
          <w:p>
            <w:pPr>
              <w:jc w:val="right"/>
              <w:ind w:right="733"/>
              <w:spacing w:after="0"/>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98"/>
              </w:rPr>
              <w:t>87.84</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76.14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0.50</w:t>
            </w:r>
          </w:p>
        </w:tc>
        <w:tc>
          <w:tcPr>
            <w:tcW w:w="100" w:type="dxa"/>
            <w:vAlign w:val="bottom"/>
            <w:shd w:val="clear" w:color="auto" w:fill="CFF0FC"/>
          </w:tcPr>
          <w:p>
            <w:pPr>
              <w:spacing w:after="0"/>
              <w:rPr>
                <w:sz w:val="19"/>
                <w:szCs w:val="19"/>
                <w:color w:val="auto"/>
              </w:rPr>
            </w:pPr>
          </w:p>
        </w:tc>
      </w:tr>
      <w:tr>
        <w:trPr>
          <w:trHeight w:val="221"/>
        </w:trPr>
        <w:tc>
          <w:tcPr>
            <w:tcW w:w="3840" w:type="dxa"/>
            <w:vAlign w:val="bottom"/>
          </w:tcPr>
          <w:p>
            <w:pPr>
              <w:ind w:left="240"/>
              <w:spacing w:after="0"/>
              <w:rPr>
                <w:sz w:val="20"/>
                <w:szCs w:val="20"/>
                <w:color w:val="auto"/>
              </w:rPr>
            </w:pPr>
            <w:r>
              <w:rPr>
                <w:rFonts w:ascii="Arial" w:cs="Arial" w:eastAsia="Arial" w:hAnsi="Arial"/>
                <w:sz w:val="17"/>
                <w:szCs w:val="17"/>
                <w:b w:val="1"/>
                <w:bCs w:val="1"/>
                <w:color w:val="auto"/>
              </w:rPr>
              <w:t>Second</w:t>
            </w:r>
          </w:p>
        </w:tc>
        <w:tc>
          <w:tcPr>
            <w:tcW w:w="2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w w:val="98"/>
              </w:rPr>
              <w:t>80.89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65.10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0.50</w:t>
            </w:r>
          </w:p>
        </w:tc>
        <w:tc>
          <w:tcPr>
            <w:tcW w:w="100" w:type="dxa"/>
            <w:vAlign w:val="bottom"/>
          </w:tcPr>
          <w:p>
            <w:pPr>
              <w:spacing w:after="0"/>
              <w:rPr>
                <w:sz w:val="19"/>
                <w:szCs w:val="19"/>
                <w:color w:val="auto"/>
              </w:rPr>
            </w:pPr>
          </w:p>
        </w:tc>
      </w:tr>
      <w:tr>
        <w:trPr>
          <w:trHeight w:val="221"/>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Third</w:t>
            </w:r>
          </w:p>
        </w:tc>
        <w:tc>
          <w:tcPr>
            <w:tcW w:w="28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98"/>
              </w:rPr>
              <w:t>70.01</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62.56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0.50</w:t>
            </w:r>
          </w:p>
        </w:tc>
        <w:tc>
          <w:tcPr>
            <w:tcW w:w="100" w:type="dxa"/>
            <w:vAlign w:val="bottom"/>
            <w:shd w:val="clear" w:color="auto" w:fill="CFF0FC"/>
          </w:tcPr>
          <w:p>
            <w:pPr>
              <w:spacing w:after="0"/>
              <w:rPr>
                <w:sz w:val="19"/>
                <w:szCs w:val="19"/>
                <w:color w:val="auto"/>
              </w:rPr>
            </w:pPr>
          </w:p>
        </w:tc>
      </w:tr>
      <w:tr>
        <w:trPr>
          <w:trHeight w:val="221"/>
        </w:trPr>
        <w:tc>
          <w:tcPr>
            <w:tcW w:w="3840" w:type="dxa"/>
            <w:vAlign w:val="bottom"/>
          </w:tcPr>
          <w:p>
            <w:pPr>
              <w:ind w:left="240"/>
              <w:spacing w:after="0"/>
              <w:rPr>
                <w:sz w:val="20"/>
                <w:szCs w:val="20"/>
                <w:color w:val="auto"/>
              </w:rPr>
            </w:pPr>
            <w:r>
              <w:rPr>
                <w:rFonts w:ascii="Arial" w:cs="Arial" w:eastAsia="Arial" w:hAnsi="Arial"/>
                <w:sz w:val="17"/>
                <w:szCs w:val="17"/>
                <w:b w:val="1"/>
                <w:bCs w:val="1"/>
                <w:color w:val="auto"/>
              </w:rPr>
              <w:t>Fourth</w:t>
            </w:r>
          </w:p>
        </w:tc>
        <w:tc>
          <w:tcPr>
            <w:tcW w:w="2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w w:val="98"/>
              </w:rPr>
              <w:t>69.57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61.02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0.50</w:t>
            </w:r>
          </w:p>
        </w:tc>
        <w:tc>
          <w:tcPr>
            <w:tcW w:w="100" w:type="dxa"/>
            <w:vAlign w:val="bottom"/>
          </w:tcPr>
          <w:p>
            <w:pPr>
              <w:spacing w:after="0"/>
              <w:rPr>
                <w:sz w:val="19"/>
                <w:szCs w:val="19"/>
                <w:color w:val="auto"/>
              </w:rPr>
            </w:pPr>
          </w:p>
        </w:tc>
      </w:tr>
      <w:tr>
        <w:trPr>
          <w:trHeight w:val="221"/>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2016</w:t>
            </w:r>
          </w:p>
        </w:tc>
        <w:tc>
          <w:tcPr>
            <w:tcW w:w="28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7"/>
                <w:szCs w:val="17"/>
                <w:color w:val="auto"/>
              </w:rPr>
              <w:t>QUARTERS</w:t>
            </w:r>
          </w:p>
        </w:tc>
        <w:tc>
          <w:tcPr>
            <w:tcW w:w="2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First</w:t>
            </w:r>
          </w:p>
        </w:tc>
        <w:tc>
          <w:tcPr>
            <w:tcW w:w="3780" w:type="dxa"/>
            <w:vAlign w:val="bottom"/>
            <w:gridSpan w:val="2"/>
            <w:shd w:val="clear" w:color="auto" w:fill="CFF0FC"/>
          </w:tcPr>
          <w:p>
            <w:pPr>
              <w:jc w:val="right"/>
              <w:ind w:right="733"/>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76.16</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0.50</w:t>
            </w:r>
          </w:p>
        </w:tc>
        <w:tc>
          <w:tcPr>
            <w:tcW w:w="100" w:type="dxa"/>
            <w:vAlign w:val="bottom"/>
            <w:shd w:val="clear" w:color="auto" w:fill="CFF0FC"/>
          </w:tcPr>
          <w:p>
            <w:pPr>
              <w:spacing w:after="0"/>
              <w:rPr>
                <w:sz w:val="19"/>
                <w:szCs w:val="19"/>
                <w:color w:val="auto"/>
              </w:rPr>
            </w:pPr>
          </w:p>
        </w:tc>
      </w:tr>
      <w:tr>
        <w:trPr>
          <w:trHeight w:val="221"/>
        </w:trPr>
        <w:tc>
          <w:tcPr>
            <w:tcW w:w="3840" w:type="dxa"/>
            <w:vAlign w:val="bottom"/>
          </w:tcPr>
          <w:p>
            <w:pPr>
              <w:ind w:left="240"/>
              <w:spacing w:after="0"/>
              <w:rPr>
                <w:sz w:val="20"/>
                <w:szCs w:val="20"/>
                <w:color w:val="auto"/>
              </w:rPr>
            </w:pPr>
            <w:r>
              <w:rPr>
                <w:rFonts w:ascii="Arial" w:cs="Arial" w:eastAsia="Arial" w:hAnsi="Arial"/>
                <w:sz w:val="17"/>
                <w:szCs w:val="17"/>
                <w:color w:val="auto"/>
              </w:rPr>
              <w:t>Second</w:t>
            </w:r>
          </w:p>
        </w:tc>
        <w:tc>
          <w:tcPr>
            <w:tcW w:w="2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81.96</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71.69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0.50</w:t>
            </w:r>
          </w:p>
        </w:tc>
        <w:tc>
          <w:tcPr>
            <w:tcW w:w="100" w:type="dxa"/>
            <w:vAlign w:val="bottom"/>
          </w:tcPr>
          <w:p>
            <w:pPr>
              <w:spacing w:after="0"/>
              <w:rPr>
                <w:sz w:val="19"/>
                <w:szCs w:val="19"/>
                <w:color w:val="auto"/>
              </w:rPr>
            </w:pPr>
          </w:p>
        </w:tc>
      </w:tr>
      <w:tr>
        <w:trPr>
          <w:trHeight w:val="221"/>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Third</w:t>
            </w:r>
          </w:p>
        </w:tc>
        <w:tc>
          <w:tcPr>
            <w:tcW w:w="28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83.97</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74.33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0.50</w:t>
            </w:r>
          </w:p>
        </w:tc>
        <w:tc>
          <w:tcPr>
            <w:tcW w:w="100" w:type="dxa"/>
            <w:vAlign w:val="bottom"/>
            <w:shd w:val="clear" w:color="auto" w:fill="CFF0FC"/>
          </w:tcPr>
          <w:p>
            <w:pPr>
              <w:spacing w:after="0"/>
              <w:rPr>
                <w:sz w:val="19"/>
                <w:szCs w:val="19"/>
                <w:color w:val="auto"/>
              </w:rPr>
            </w:pPr>
          </w:p>
        </w:tc>
      </w:tr>
      <w:tr>
        <w:trPr>
          <w:trHeight w:val="221"/>
        </w:trPr>
        <w:tc>
          <w:tcPr>
            <w:tcW w:w="3840" w:type="dxa"/>
            <w:vAlign w:val="bottom"/>
          </w:tcPr>
          <w:p>
            <w:pPr>
              <w:ind w:left="240"/>
              <w:spacing w:after="0"/>
              <w:rPr>
                <w:sz w:val="20"/>
                <w:szCs w:val="20"/>
                <w:color w:val="auto"/>
              </w:rPr>
            </w:pPr>
            <w:r>
              <w:rPr>
                <w:rFonts w:ascii="Arial" w:cs="Arial" w:eastAsia="Arial" w:hAnsi="Arial"/>
                <w:sz w:val="17"/>
                <w:szCs w:val="17"/>
                <w:color w:val="auto"/>
              </w:rPr>
              <w:t>Fourth</w:t>
            </w:r>
          </w:p>
        </w:tc>
        <w:tc>
          <w:tcPr>
            <w:tcW w:w="2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87.00</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77.48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0.50</w:t>
            </w:r>
          </w:p>
        </w:tc>
        <w:tc>
          <w:tcPr>
            <w:tcW w:w="100" w:type="dxa"/>
            <w:vAlign w:val="bottom"/>
          </w:tcPr>
          <w:p>
            <w:pPr>
              <w:spacing w:after="0"/>
              <w:rPr>
                <w:sz w:val="19"/>
                <w:szCs w:val="19"/>
                <w:color w:val="auto"/>
              </w:rPr>
            </w:pPr>
          </w:p>
        </w:tc>
      </w:tr>
    </w:tbl>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There are no legal restrictions on the payment of dividends or ownership or voting of such shares, except as to shares held as treasury stock. Under current legislation, stockholders are not subject to any Curaçao withholding or other Curaçao taxes attributable to the ownership of such shares.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sectPr>
      </w:pPr>
    </w:p>
    <w:bookmarkStart w:id="12" w:name="page13"/>
    <w:bookmarkEnd w:id="12"/>
    <w:p>
      <w:pPr>
        <w:jc w:val="both"/>
        <w:spacing w:after="0" w:line="280" w:lineRule="auto"/>
        <w:rPr>
          <w:sz w:val="20"/>
          <w:szCs w:val="20"/>
          <w:color w:val="auto"/>
        </w:rPr>
      </w:pPr>
      <w:r>
        <w:rPr>
          <w:rFonts w:ascii="Arial" w:cs="Arial" w:eastAsia="Arial" w:hAnsi="Arial"/>
          <w:sz w:val="16"/>
          <w:szCs w:val="16"/>
          <w:color w:val="auto"/>
        </w:rPr>
        <w:t>The following graph compares the cumulative total stockholder return on Schlumberger common stock with the cumulative total return on the Standard &amp; Poor’s 500 Index (“S&amp;P 500 Index”) and the cumulative total return on the Philadelphia Oil Service Index. It assumes $100 was invested on December 31, 2012 in Schlumberger common stock, in the S&amp;P 500 Index and in the Philadelphia Oil Service Index, as well as the reinvestment of dividends on the last day of the month of payment.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304"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Comparison of Five-Year Cumulative Total Return Among</w:t>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Schlumberger Common Stock, the S&amp;P 500 Index and the</w:t>
      </w:r>
    </w:p>
    <w:p>
      <w:pPr>
        <w:spacing w:after="0" w:line="12" w:lineRule="exact"/>
        <w:rPr>
          <w:sz w:val="20"/>
          <w:szCs w:val="20"/>
          <w:color w:val="auto"/>
        </w:rPr>
      </w:pPr>
    </w:p>
    <w:p>
      <w:pPr>
        <w:ind w:right="480" w:firstLine="487"/>
        <w:spacing w:after="0" w:line="324" w:lineRule="auto"/>
        <w:rPr>
          <w:sz w:val="20"/>
          <w:szCs w:val="20"/>
          <w:color w:val="auto"/>
        </w:rPr>
      </w:pPr>
      <w:r>
        <w:rPr>
          <w:rFonts w:ascii="Arial" w:cs="Arial" w:eastAsia="Arial" w:hAnsi="Arial"/>
          <w:sz w:val="17"/>
          <w:szCs w:val="17"/>
          <w:b w:val="1"/>
          <w:bCs w:val="1"/>
          <w:color w:val="auto"/>
        </w:rPr>
        <w:t xml:space="preserve">Philadelphia Oil Service Index </w:t>
      </w:r>
      <w:r>
        <w:rPr>
          <w:sz w:val="1"/>
          <w:szCs w:val="1"/>
          <w:color w:val="auto"/>
        </w:rPr>
        <w:drawing>
          <wp:inline distT="0" distB="0" distL="0" distR="0">
            <wp:extent cx="5172710" cy="33496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72710" cy="3349625"/>
                    </a:xfrm>
                    <a:prstGeom prst="rect">
                      <a:avLst/>
                    </a:prstGeom>
                    <a:noFill/>
                    <a:ln>
                      <a:noFill/>
                    </a:ln>
                  </pic:spPr>
                </pic:pic>
              </a:graphicData>
            </a:graphic>
          </wp:inline>
        </w:drawing>
      </w:r>
      <w:r>
        <w:rPr>
          <w:rFonts w:ascii="Arial" w:cs="Arial" w:eastAsia="Arial" w:hAnsi="Arial"/>
          <w:sz w:val="17"/>
          <w:szCs w:val="17"/>
          <w:b w:val="1"/>
          <w:bCs w:val="1"/>
          <w:u w:val="single" w:color="auto"/>
          <w:color w:val="auto"/>
        </w:rPr>
        <w:t xml:space="preserve"> Share Repurchases</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18, 2013, the Schlumberger Board of Directors (the “Board”) approved a $10 billion share repurchase program for Schlumberger common stock, to be completed at the latest by June 30, 2018. This program was completed during May 2017. On January 21, 2016, the Board approved a new $10 billion share repurchase program for Schlumberger common stock. This new program took effect once the July 18, 2013 program was exhausted.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Schlumberger’s common stock repurchase program activity for the three months ended December 31, 2017 was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94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2"/>
              </w:rPr>
              <w:t>(Stated in thousands, except per share amounts)</w:t>
            </w:r>
          </w:p>
        </w:tc>
      </w:tr>
      <w:tr>
        <w:trPr>
          <w:trHeight w:val="405"/>
        </w:trPr>
        <w:tc>
          <w:tcPr>
            <w:tcW w:w="5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0"/>
              </w:rPr>
              <w:t>Total Number of</w:t>
            </w:r>
          </w:p>
        </w:tc>
        <w:tc>
          <w:tcPr>
            <w:tcW w:w="2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Maximum Value</w:t>
            </w:r>
          </w:p>
        </w:tc>
      </w:tr>
      <w:tr>
        <w:trPr>
          <w:trHeight w:val="195"/>
        </w:trPr>
        <w:tc>
          <w:tcPr>
            <w:tcW w:w="5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3"/>
              </w:rPr>
              <w:t>Shares Purchased</w:t>
            </w:r>
          </w:p>
        </w:tc>
        <w:tc>
          <w:tcPr>
            <w:tcW w:w="24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6"/>
                <w:szCs w:val="16"/>
                <w:color w:val="auto"/>
                <w:w w:val="84"/>
              </w:rPr>
              <w:t>of Shares that may</w:t>
            </w:r>
          </w:p>
        </w:tc>
      </w:tr>
      <w:tr>
        <w:trPr>
          <w:trHeight w:val="195"/>
        </w:trPr>
        <w:tc>
          <w:tcPr>
            <w:tcW w:w="5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as Part of Publicly</w:t>
            </w:r>
          </w:p>
        </w:tc>
        <w:tc>
          <w:tcPr>
            <w:tcW w:w="240" w:type="dxa"/>
            <w:vAlign w:val="bottom"/>
          </w:tcPr>
          <w:p>
            <w:pPr>
              <w:spacing w:after="0"/>
              <w:rPr>
                <w:sz w:val="16"/>
                <w:szCs w:val="16"/>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color w:val="auto"/>
                <w:w w:val="85"/>
              </w:rPr>
              <w:t>yet be Purchased</w:t>
            </w:r>
          </w:p>
        </w:tc>
      </w:tr>
      <w:tr>
        <w:trPr>
          <w:trHeight w:val="195"/>
        </w:trPr>
        <w:tc>
          <w:tcPr>
            <w:tcW w:w="592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color w:val="auto"/>
              </w:rPr>
              <w:t>Total Number of</w:t>
            </w:r>
          </w:p>
        </w:tc>
        <w:tc>
          <w:tcPr>
            <w:tcW w:w="1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Arial" w:cs="Arial" w:eastAsia="Arial" w:hAnsi="Arial"/>
                <w:sz w:val="16"/>
                <w:szCs w:val="16"/>
                <w:color w:val="auto"/>
                <w:w w:val="91"/>
              </w:rPr>
              <w:t>Average price</w:t>
            </w:r>
          </w:p>
        </w:tc>
        <w:tc>
          <w:tcPr>
            <w:tcW w:w="2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Announced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Under the</w:t>
            </w:r>
          </w:p>
        </w:tc>
      </w:tr>
      <w:tr>
        <w:trPr>
          <w:trHeight w:val="202"/>
        </w:trPr>
        <w:tc>
          <w:tcPr>
            <w:tcW w:w="592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3"/>
              </w:rPr>
              <w:t>Shares Purchased</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w w:val="86"/>
              </w:rPr>
              <w:t>Paid per Share</w:t>
            </w:r>
          </w:p>
        </w:tc>
        <w:tc>
          <w:tcPr>
            <w:tcW w:w="24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Program</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color w:val="auto"/>
                <w:w w:val="87"/>
              </w:rPr>
              <w:t>Program</w:t>
            </w:r>
          </w:p>
        </w:tc>
        <w:tc>
          <w:tcPr>
            <w:tcW w:w="100" w:type="dxa"/>
            <w:vAlign w:val="bottom"/>
            <w:tcBorders>
              <w:bottom w:val="single" w:sz="8" w:color="CFF0FC"/>
            </w:tcBorders>
          </w:tcPr>
          <w:p>
            <w:pPr>
              <w:spacing w:after="0"/>
              <w:rPr>
                <w:sz w:val="17"/>
                <w:szCs w:val="17"/>
                <w:color w:val="auto"/>
              </w:rPr>
            </w:pPr>
          </w:p>
        </w:tc>
      </w:tr>
      <w:tr>
        <w:trPr>
          <w:trHeight w:val="217"/>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October 2017</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529.7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66.44</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529.7</w:t>
            </w:r>
          </w:p>
        </w:tc>
        <w:tc>
          <w:tcPr>
            <w:tcW w:w="420" w:type="dxa"/>
            <w:vAlign w:val="bottom"/>
            <w:gridSpan w:val="2"/>
            <w:shd w:val="clear" w:color="auto" w:fill="CFF0FC"/>
          </w:tcPr>
          <w:p>
            <w:pPr>
              <w:jc w:val="right"/>
              <w:ind w:right="22"/>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9,741,944</w:t>
            </w:r>
          </w:p>
        </w:tc>
        <w:tc>
          <w:tcPr>
            <w:tcW w:w="100" w:type="dxa"/>
            <w:vAlign w:val="bottom"/>
            <w:shd w:val="clear" w:color="auto" w:fill="CFF0FC"/>
          </w:tcPr>
          <w:p>
            <w:pPr>
              <w:spacing w:after="0"/>
              <w:rPr>
                <w:sz w:val="18"/>
                <w:szCs w:val="18"/>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November 2017</w:t>
            </w:r>
          </w:p>
        </w:tc>
        <w:tc>
          <w:tcPr>
            <w:tcW w:w="1160" w:type="dxa"/>
            <w:vAlign w:val="bottom"/>
          </w:tcPr>
          <w:p>
            <w:pPr>
              <w:jc w:val="right"/>
              <w:spacing w:after="0"/>
              <w:rPr>
                <w:sz w:val="20"/>
                <w:szCs w:val="20"/>
                <w:color w:val="auto"/>
              </w:rPr>
            </w:pPr>
            <w:r>
              <w:rPr>
                <w:rFonts w:ascii="Arial" w:cs="Arial" w:eastAsia="Arial" w:hAnsi="Arial"/>
                <w:sz w:val="17"/>
                <w:szCs w:val="17"/>
                <w:color w:val="auto"/>
              </w:rPr>
              <w:t>528.6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63.61</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528.6</w:t>
            </w:r>
          </w:p>
        </w:tc>
        <w:tc>
          <w:tcPr>
            <w:tcW w:w="42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9,708,321</w:t>
            </w:r>
          </w:p>
        </w:tc>
        <w:tc>
          <w:tcPr>
            <w:tcW w:w="100" w:type="dxa"/>
            <w:vAlign w:val="bottom"/>
          </w:tcPr>
          <w:p>
            <w:pPr>
              <w:spacing w:after="0"/>
              <w:rPr>
                <w:sz w:val="19"/>
                <w:szCs w:val="19"/>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December 2017</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496.4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64.37</w:t>
            </w:r>
          </w:p>
        </w:tc>
        <w:tc>
          <w:tcPr>
            <w:tcW w:w="2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496.4</w:t>
            </w:r>
          </w:p>
        </w:tc>
        <w:tc>
          <w:tcPr>
            <w:tcW w:w="420" w:type="dxa"/>
            <w:vAlign w:val="bottom"/>
            <w:gridSpan w:val="2"/>
            <w:shd w:val="clear" w:color="auto" w:fill="CFF0FC"/>
          </w:tcPr>
          <w:p>
            <w:pPr>
              <w:jc w:val="right"/>
              <w:ind w:right="22"/>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9,676,364</w:t>
            </w:r>
          </w:p>
        </w:tc>
        <w:tc>
          <w:tcPr>
            <w:tcW w:w="100" w:type="dxa"/>
            <w:vAlign w:val="bottom"/>
            <w:shd w:val="clear" w:color="auto" w:fill="CFF0FC"/>
          </w:tcPr>
          <w:p>
            <w:pPr>
              <w:spacing w:after="0"/>
              <w:rPr>
                <w:sz w:val="19"/>
                <w:szCs w:val="19"/>
                <w:color w:val="auto"/>
              </w:rPr>
            </w:pPr>
          </w:p>
        </w:tc>
      </w:tr>
      <w:tr>
        <w:trPr>
          <w:trHeight w:val="214"/>
        </w:trPr>
        <w:tc>
          <w:tcPr>
            <w:tcW w:w="59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1,554.7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64.82</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1,554.7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Unregistered Sales of Equity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6. Selected Financial Data.</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selected consolidated financial data should be read in conjunction with both “Item 7. Management’s Discussion and Analysis of Financial Condition and Results of Operations” and “Item 8. Financial Statements and Supplementary Data” of this Form 10-K in order to understand factors, such as business combinations and charges and credits, which may affect the comparability of the Selected Financial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8"/>
          </w:tcPr>
          <w:p>
            <w:pPr>
              <w:ind w:left="800"/>
              <w:spacing w:after="0"/>
              <w:rPr>
                <w:sz w:val="20"/>
                <w:szCs w:val="20"/>
                <w:color w:val="auto"/>
              </w:rPr>
            </w:pPr>
            <w:r>
              <w:rPr>
                <w:rFonts w:ascii="Arial" w:cs="Arial" w:eastAsia="Arial" w:hAnsi="Arial"/>
                <w:sz w:val="14"/>
                <w:szCs w:val="14"/>
                <w:i w:val="1"/>
                <w:iCs w:val="1"/>
                <w:color w:val="auto"/>
                <w:w w:val="92"/>
              </w:rPr>
              <w:t>(Stated in millions, except per share amounts)</w:t>
            </w:r>
          </w:p>
        </w:tc>
      </w:tr>
      <w:tr>
        <w:trPr>
          <w:trHeight w:val="428"/>
        </w:trPr>
        <w:tc>
          <w:tcPr>
            <w:tcW w:w="5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right"/>
              <w:ind w:right="4"/>
              <w:spacing w:after="0"/>
              <w:rPr>
                <w:sz w:val="20"/>
                <w:szCs w:val="20"/>
                <w:color w:val="auto"/>
              </w:rPr>
            </w:pPr>
            <w:r>
              <w:rPr>
                <w:rFonts w:ascii="Arial" w:cs="Arial" w:eastAsia="Arial" w:hAnsi="Arial"/>
                <w:sz w:val="17"/>
                <w:szCs w:val="17"/>
                <w:color w:val="auto"/>
              </w:rPr>
              <w:t>Year Ended December 31,</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5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2016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2014</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2013</w:t>
            </w:r>
          </w:p>
        </w:tc>
        <w:tc>
          <w:tcPr>
            <w:tcW w:w="120" w:type="dxa"/>
            <w:vAlign w:val="bottom"/>
            <w:tcBorders>
              <w:bottom w:val="single" w:sz="8" w:color="CFF0FC"/>
            </w:tcBorders>
          </w:tcPr>
          <w:p>
            <w:pPr>
              <w:spacing w:after="0"/>
              <w:rPr>
                <w:sz w:val="18"/>
                <w:szCs w:val="18"/>
                <w:color w:val="auto"/>
              </w:rPr>
            </w:pPr>
          </w:p>
        </w:tc>
      </w:tr>
      <w:tr>
        <w:trPr>
          <w:trHeight w:val="214"/>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30,440</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27,810</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35,475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48,580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45,266</w:t>
            </w:r>
          </w:p>
        </w:tc>
        <w:tc>
          <w:tcPr>
            <w:tcW w:w="120" w:type="dxa"/>
            <w:vAlign w:val="bottom"/>
            <w:shd w:val="clear" w:color="auto" w:fill="CFF0FC"/>
          </w:tcPr>
          <w:p>
            <w:pPr>
              <w:spacing w:after="0"/>
              <w:rPr>
                <w:sz w:val="18"/>
                <w:szCs w:val="18"/>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7"/>
                <w:szCs w:val="17"/>
                <w:color w:val="auto"/>
              </w:rPr>
              <w:t>Income (loss) from continuing operations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(1,505)</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(1,687)</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2,072</w:t>
            </w:r>
          </w:p>
        </w:tc>
        <w:tc>
          <w:tcPr>
            <w:tcW w:w="2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5,643</w:t>
            </w:r>
          </w:p>
        </w:tc>
        <w:tc>
          <w:tcPr>
            <w:tcW w:w="22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6,801</w:t>
            </w:r>
          </w:p>
        </w:tc>
        <w:tc>
          <w:tcPr>
            <w:tcW w:w="120" w:type="dxa"/>
            <w:vAlign w:val="bottom"/>
          </w:tcPr>
          <w:p>
            <w:pPr>
              <w:spacing w:after="0"/>
              <w:rPr>
                <w:sz w:val="19"/>
                <w:szCs w:val="19"/>
                <w:color w:val="auto"/>
              </w:rPr>
            </w:pPr>
          </w:p>
        </w:tc>
      </w:tr>
      <w:tr>
        <w:trPr>
          <w:trHeight w:val="221"/>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Diluted earnings (loss) per share from continuing operations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(1.08)</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(1.24)</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5.10</w:t>
            </w:r>
          </w:p>
        </w:tc>
        <w:tc>
          <w:tcPr>
            <w:tcW w:w="120" w:type="dxa"/>
            <w:vAlign w:val="bottom"/>
            <w:shd w:val="clear" w:color="auto" w:fill="CFF0FC"/>
          </w:tcPr>
          <w:p>
            <w:pPr>
              <w:spacing w:after="0"/>
              <w:rPr>
                <w:sz w:val="19"/>
                <w:szCs w:val="19"/>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7"/>
                <w:szCs w:val="17"/>
                <w:color w:val="auto"/>
              </w:rPr>
              <w:t>Cash</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1,799</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2,929</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2,793</w:t>
            </w:r>
          </w:p>
        </w:tc>
        <w:tc>
          <w:tcPr>
            <w:tcW w:w="2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3,130</w:t>
            </w:r>
          </w:p>
        </w:tc>
        <w:tc>
          <w:tcPr>
            <w:tcW w:w="22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3,472</w:t>
            </w:r>
          </w:p>
        </w:tc>
        <w:tc>
          <w:tcPr>
            <w:tcW w:w="120" w:type="dxa"/>
            <w:vAlign w:val="bottom"/>
          </w:tcPr>
          <w:p>
            <w:pPr>
              <w:spacing w:after="0"/>
              <w:rPr>
                <w:sz w:val="19"/>
                <w:szCs w:val="19"/>
                <w:color w:val="auto"/>
              </w:rPr>
            </w:pPr>
          </w:p>
        </w:tc>
      </w:tr>
      <w:tr>
        <w:trPr>
          <w:trHeight w:val="221"/>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Short-term investments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3,290</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6,328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10,241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4,371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4,898</w:t>
            </w:r>
          </w:p>
        </w:tc>
        <w:tc>
          <w:tcPr>
            <w:tcW w:w="120" w:type="dxa"/>
            <w:vAlign w:val="bottom"/>
            <w:shd w:val="clear" w:color="auto" w:fill="CFF0FC"/>
          </w:tcPr>
          <w:p>
            <w:pPr>
              <w:spacing w:after="0"/>
              <w:rPr>
                <w:sz w:val="19"/>
                <w:szCs w:val="19"/>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7"/>
                <w:szCs w:val="17"/>
                <w:color w:val="auto"/>
              </w:rPr>
              <w:t>Working capital</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3,215</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8,868</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12,791</w:t>
            </w:r>
          </w:p>
        </w:tc>
        <w:tc>
          <w:tcPr>
            <w:tcW w:w="2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10,518</w:t>
            </w:r>
          </w:p>
        </w:tc>
        <w:tc>
          <w:tcPr>
            <w:tcW w:w="22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12,700</w:t>
            </w:r>
          </w:p>
        </w:tc>
        <w:tc>
          <w:tcPr>
            <w:tcW w:w="120" w:type="dxa"/>
            <w:vAlign w:val="bottom"/>
          </w:tcPr>
          <w:p>
            <w:pPr>
              <w:spacing w:after="0"/>
              <w:rPr>
                <w:sz w:val="19"/>
                <w:szCs w:val="19"/>
                <w:color w:val="auto"/>
              </w:rPr>
            </w:pPr>
          </w:p>
        </w:tc>
      </w:tr>
      <w:tr>
        <w:trPr>
          <w:trHeight w:val="221"/>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Fixed income investments, held to maturity</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363</w:t>
            </w:r>
          </w:p>
        </w:tc>
        <w:tc>
          <w:tcPr>
            <w:tcW w:w="120" w:type="dxa"/>
            <w:vAlign w:val="bottom"/>
            <w:shd w:val="clear" w:color="auto" w:fill="CFF0FC"/>
          </w:tcPr>
          <w:p>
            <w:pPr>
              <w:spacing w:after="0"/>
              <w:rPr>
                <w:sz w:val="19"/>
                <w:szCs w:val="19"/>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7"/>
                <w:szCs w:val="17"/>
                <w:color w:val="auto"/>
              </w:rPr>
              <w:t>Total assets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71,987</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77,956</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68,005</w:t>
            </w:r>
          </w:p>
        </w:tc>
        <w:tc>
          <w:tcPr>
            <w:tcW w:w="2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66,904</w:t>
            </w:r>
          </w:p>
        </w:tc>
        <w:tc>
          <w:tcPr>
            <w:tcW w:w="22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67,100</w:t>
            </w:r>
          </w:p>
        </w:tc>
        <w:tc>
          <w:tcPr>
            <w:tcW w:w="120" w:type="dxa"/>
            <w:vAlign w:val="bottom"/>
          </w:tcPr>
          <w:p>
            <w:pPr>
              <w:spacing w:after="0"/>
              <w:rPr>
                <w:sz w:val="19"/>
                <w:szCs w:val="19"/>
                <w:color w:val="auto"/>
              </w:rPr>
            </w:pPr>
          </w:p>
        </w:tc>
      </w:tr>
      <w:tr>
        <w:trPr>
          <w:trHeight w:val="221"/>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Long-term debt</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14,875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16,463</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14,442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10,393</w:t>
            </w:r>
          </w:p>
        </w:tc>
        <w:tc>
          <w:tcPr>
            <w:tcW w:w="120" w:type="dxa"/>
            <w:vAlign w:val="bottom"/>
            <w:shd w:val="clear" w:color="auto" w:fill="CFF0FC"/>
          </w:tcPr>
          <w:p>
            <w:pPr>
              <w:spacing w:after="0"/>
              <w:rPr>
                <w:sz w:val="19"/>
                <w:szCs w:val="19"/>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7"/>
                <w:szCs w:val="17"/>
                <w:color w:val="auto"/>
              </w:rPr>
              <w:t>Total debt</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18,199</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19,616</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18,999</w:t>
            </w:r>
          </w:p>
        </w:tc>
        <w:tc>
          <w:tcPr>
            <w:tcW w:w="2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13,330</w:t>
            </w:r>
          </w:p>
        </w:tc>
        <w:tc>
          <w:tcPr>
            <w:tcW w:w="22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13,176</w:t>
            </w:r>
          </w:p>
        </w:tc>
        <w:tc>
          <w:tcPr>
            <w:tcW w:w="120" w:type="dxa"/>
            <w:vAlign w:val="bottom"/>
          </w:tcPr>
          <w:p>
            <w:pPr>
              <w:spacing w:after="0"/>
              <w:rPr>
                <w:sz w:val="19"/>
                <w:szCs w:val="19"/>
                <w:color w:val="auto"/>
              </w:rPr>
            </w:pPr>
          </w:p>
        </w:tc>
      </w:tr>
      <w:tr>
        <w:trPr>
          <w:trHeight w:val="221"/>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Schlumberger stockholders' equity</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36,842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41,078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35,633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39,469</w:t>
            </w:r>
          </w:p>
        </w:tc>
        <w:tc>
          <w:tcPr>
            <w:tcW w:w="120" w:type="dxa"/>
            <w:vAlign w:val="bottom"/>
            <w:shd w:val="clear" w:color="auto" w:fill="CFF0FC"/>
          </w:tcPr>
          <w:p>
            <w:pPr>
              <w:spacing w:after="0"/>
              <w:rPr>
                <w:sz w:val="19"/>
                <w:szCs w:val="19"/>
                <w:color w:val="auto"/>
              </w:rPr>
            </w:pPr>
          </w:p>
        </w:tc>
      </w:tr>
      <w:tr>
        <w:trPr>
          <w:trHeight w:val="226"/>
        </w:trPr>
        <w:tc>
          <w:tcPr>
            <w:tcW w:w="5260" w:type="dxa"/>
            <w:vAlign w:val="bottom"/>
          </w:tcPr>
          <w:p>
            <w:pPr>
              <w:spacing w:after="0"/>
              <w:rPr>
                <w:sz w:val="20"/>
                <w:szCs w:val="20"/>
                <w:color w:val="auto"/>
              </w:rPr>
            </w:pPr>
            <w:r>
              <w:rPr>
                <w:rFonts w:ascii="Arial" w:cs="Arial" w:eastAsia="Arial" w:hAnsi="Arial"/>
                <w:sz w:val="17"/>
                <w:szCs w:val="17"/>
                <w:color w:val="auto"/>
              </w:rPr>
              <w:t>Cash dividends declared per share</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2.00</w:t>
            </w: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2.00</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2.00</w:t>
            </w:r>
          </w:p>
        </w:tc>
        <w:tc>
          <w:tcPr>
            <w:tcW w:w="2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1.60</w:t>
            </w:r>
          </w:p>
        </w:tc>
        <w:tc>
          <w:tcPr>
            <w:tcW w:w="22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auto"/>
        </w:rPr>
        <w:t>Item 7. Management’s Discussion and Analysis of Financial Condition and Results of Operations.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2017 Executive Overview</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Schlumberger full-year 2017 revenue of $30.4 billion increased 9% year-on-year. This reflects a full year of activity from the acquired Cameron businesses as compared to only three quarters of activity in 2016. In addition to the impact of Cameron, revenue growth was driven by unconventional land resource developments in North America due to the recovery in activity combined with market share gains and improved pricing, as the oil and gas industry began to emerge from the longest and deepest downturn in 30 years.</w:t>
      </w:r>
    </w:p>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Following two successive years of E&amp;P investment cuts, operators increased their upstream spend in North America by more than 30% in 2017. The increase in oil price afforded by the OPEC agreement gave US producers a means to increase their investment in tight oil. However, apprehension related to growing US supply, and uncertainty surrounding the duration of OPEC and Russia led production cuts held international spending to a level 3% below 2016.</w:t>
      </w:r>
    </w:p>
    <w:p>
      <w:pPr>
        <w:spacing w:after="0" w:line="15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During 2017, the outlook improved for international markets, evidenced by a significant increase in the sanctioning of new projects. The number of final investment decisions tripled in 2017 as compared to 2016, with 75% of the new projects planned for shallow and deepwater offshore environments.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After starting the year at $55 per barrel, Brent prices fell to $44 in June and then recovered to $67 by the end of the year. The price increase resulted from 2017 demand growth of 1.5 million barrels per day, and strong adherence to a production agreement between OPEC and Russia, which served to reduce oil production by an average of 1.6 million barrels per day compared to the fourth quarter of 2016. Strong demand and restricted supply accelerated the depletion of stocks as the year progressed. By September, OECD crude and product stocks had returned to 2015 levels.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the oil market began to rebalance in 2017, replacement of conventional oil reserves remains a challenge. In 2017, discoveries were at an all-time low due to lower exploration activity, and more than 60% of discovered resources were gas. Oil discoveries accounted for only 3.4 billion barrels, while about 30 billion barrels of conventional oil is produced each year, representing a reserves replacement ratio of only 11%.</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natural gas markets, low Henry Hub prices and flat domestic consumption allowed the US to transition from importer to exporter of natural gas for the first time since 1957, and Liquified Natural Gas was the enabler. Global LNG trading increased 11% year-on-year driven by demand in Asia. LNG supply growth was also strong, with the addition of six new liquefaction trains in 2017. In today's well-supplied market, both producers and consumers are reluctant to invest in new projects. While the short-term market outlook remains challenged, strong longer-term demand growth signals a future need for new LNG supply capacity.</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Schlumberger’s financial performance in 2017 was driven by land activity in North America, where revenue increased over 80% in line with the average rig count increase. Continued expansion of Schlumberger’s hydraulic fracturing presence in North America resulted in additional fleet redeployments, which benefited the Production Group. Drilling Group revenue in North America land increased due to the continuing high demand for longer horizontal lateral sections in shale oil wells. Increased Cameron Surface and Drilling Systems product sales and services also contributed to the strong financial performance in North America. North America revenue, including offshore, grew 42% year-on-year.</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International revenue decreased 2% as compared to 2016. This decline was driven by soft demand for exploration and development-related products and services as E&amp;P budgets remained tight. Activity in Latin American decreased due to Schlumberger’s decision to align operations with cash collections in Venezuela. Robust activity in the Middle East and Russia, driven by integrated drilling and production projects, as well as an additional quarter of activity from the acquired Cameron businesses partially offset these decreases.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past three years of unprecedented market downturn, Schlumberger has proactively sought to strengthen its technology offering and presence in key markets around the world. The most recent example is the expansion of its hydraulic fracturing presence in North America land through the purchase of the US fracturing and pump-down perforating businesses from Weatherford. In line with the challenging business environment, over the same period Schlumberger has restructured all relevant parts of the company, in terms of both size and organizational structure, to maximize its market competitiveness and operational agility.</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With the significant changes seen in customer priorities and buying habits in recent years, Schlumberger has continued to evaluate the present and future return prospects for all of its product lines, as it seeks to maximize its long-term financial performance. Based 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both"/>
        <w:spacing w:after="0" w:line="265" w:lineRule="auto"/>
        <w:rPr>
          <w:sz w:val="20"/>
          <w:szCs w:val="20"/>
          <w:color w:val="auto"/>
        </w:rPr>
      </w:pPr>
      <w:r>
        <w:rPr>
          <w:rFonts w:ascii="Arial" w:cs="Arial" w:eastAsia="Arial" w:hAnsi="Arial"/>
          <w:sz w:val="17"/>
          <w:szCs w:val="17"/>
          <w:color w:val="auto"/>
        </w:rPr>
        <w:t>this in-depth analysis, Schlumberger identified the seismic acquisition business as the only product line that does not meet Schlumberger’s return expectations going forward, even after factoring in an eventual market recovery. Schlumberger has, therefore, taken the difficult decision to exit the marine and land seismic acquisition market and instead operate the WesternGeco product line as an asset-light business, built on its leading position within multiclient, data processing and geophysical interpretation.</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Looking at the oil market, the strong growth in demand is projected to continue in 2018, on the back of a robust global economy. On the supply side, the extension of the OPEC- and Russia-led production cuts is already translating into higher-than-expected inventory draws. In North America, 2018 shale oil production is set for another year of strong growth, as the positive oil market sentiments will likely increase both investment appetite and availability of financing. At the same time, the production base in the rest of the world is showing fatigue after three years of unprecedented under-investment. The underlying signs of weakness will likely become more evident in the coming year, as the production additions from investments made in the previous upcycle start to noticeably fall off. Taken together, this means the oil market is now in balance and the previous over-supply discount is gradually being replaced by a market tightness premium, which makes Schlumberger increasingly positive on the global outlook for its business.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positive oil market sentiments are reflected in third-party E&amp;P spend surveys that predict 15-20% growth in North American investments in 2018, while the international market is expected to grow for the first time in four years, with a projected 5% increase in spend. As a result, as Schlumberger enters the first year of expected growth in all parts of its global operations since 2014, there is a renewed excitement and enthusiasm throughout the organization, and Schlumberger remains committed to delivering market-leading products and services to its customers and superior returns to its shareholders.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Full-Year 2017 Results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428"/>
        </w:trPr>
        <w:tc>
          <w:tcPr>
            <w:tcW w:w="5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7"/>
                <w:szCs w:val="17"/>
                <w:b w:val="1"/>
                <w:bCs w:val="1"/>
                <w:color w:val="auto"/>
              </w:rPr>
              <w:t>2017</w:t>
            </w: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color w:val="auto"/>
              </w:rPr>
              <w:t>2016</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13"/>
              <w:spacing w:after="0"/>
              <w:rPr>
                <w:sz w:val="20"/>
                <w:szCs w:val="20"/>
                <w:color w:val="auto"/>
              </w:rPr>
            </w:pPr>
            <w:r>
              <w:rPr>
                <w:rFonts w:ascii="Arial" w:cs="Arial" w:eastAsia="Arial" w:hAnsi="Arial"/>
                <w:sz w:val="17"/>
                <w:szCs w:val="17"/>
                <w:b w:val="1"/>
                <w:bCs w:val="1"/>
                <w:color w:val="auto"/>
                <w:w w:val="94"/>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Income</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Before</w:t>
            </w:r>
          </w:p>
        </w:tc>
        <w:tc>
          <w:tcPr>
            <w:tcW w:w="0" w:type="dxa"/>
            <w:vAlign w:val="bottom"/>
          </w:tcPr>
          <w:p>
            <w:pPr>
              <w:spacing w:after="0"/>
              <w:rPr>
                <w:sz w:val="1"/>
                <w:szCs w:val="1"/>
                <w:color w:val="auto"/>
              </w:rPr>
            </w:pPr>
          </w:p>
        </w:tc>
      </w:tr>
      <w:tr>
        <w:trPr>
          <w:trHeight w:val="226"/>
        </w:trPr>
        <w:tc>
          <w:tcPr>
            <w:tcW w:w="59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Revenue</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33"/>
              <w:spacing w:after="0"/>
              <w:rPr>
                <w:sz w:val="20"/>
                <w:szCs w:val="20"/>
                <w:color w:val="auto"/>
              </w:rPr>
            </w:pPr>
            <w:r>
              <w:rPr>
                <w:rFonts w:ascii="Arial" w:cs="Arial" w:eastAsia="Arial" w:hAnsi="Arial"/>
                <w:sz w:val="17"/>
                <w:szCs w:val="17"/>
                <w:b w:val="1"/>
                <w:bCs w:val="1"/>
                <w:color w:val="auto"/>
                <w:w w:val="87"/>
              </w:rPr>
              <w:t>Taxes</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99"/>
              </w:rPr>
              <w:t>Revenue</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6"/>
              </w:rPr>
              <w:t>Taxes</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Reservoir Characterization</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6,786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1,251</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6,648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Drilling</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8,392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1,151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Production</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10,639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Cameron</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5,205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Eliminations &amp; other</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(582)</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(142)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4"/>
        </w:trPr>
        <w:tc>
          <w:tcPr>
            <w:tcW w:w="5920" w:type="dxa"/>
            <w:vAlign w:val="bottom"/>
          </w:tcPr>
          <w:p>
            <w:pPr>
              <w:ind w:left="240"/>
              <w:spacing w:after="0"/>
              <w:rPr>
                <w:sz w:val="20"/>
                <w:szCs w:val="20"/>
                <w:color w:val="auto"/>
              </w:rPr>
            </w:pPr>
            <w:r>
              <w:rPr>
                <w:rFonts w:ascii="Arial" w:cs="Arial" w:eastAsia="Arial" w:hAnsi="Arial"/>
                <w:sz w:val="17"/>
                <w:szCs w:val="17"/>
                <w:color w:val="auto"/>
              </w:rPr>
              <w:t>Pretax operating income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3,921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Corporate &amp; other </w:t>
            </w:r>
            <w:r>
              <w:rPr>
                <w:rFonts w:ascii="Arial" w:cs="Arial" w:eastAsia="Arial" w:hAnsi="Arial"/>
                <w:sz w:val="14"/>
                <w:szCs w:val="14"/>
                <w:color w:val="auto"/>
              </w:rPr>
              <w:t>(1)</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(934)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 xml:space="preserve">Interest income </w:t>
            </w: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(513)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(517)</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14"/>
                <w:szCs w:val="14"/>
                <w:color w:val="auto"/>
              </w:rPr>
              <w:t>(4)</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(3,764)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(3,820)</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30,440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(1,183)</w:t>
            </w:r>
          </w:p>
        </w:tc>
        <w:tc>
          <w:tcPr>
            <w:tcW w:w="1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27,810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(1,905)</w:t>
            </w: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left="380" w:hanging="376"/>
        <w:spacing w:after="0" w:line="227" w:lineRule="auto"/>
        <w:tabs>
          <w:tab w:leader="none" w:pos="38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Comprised principally of certain corporate expenses not allocated to the segments, stock-based compensation costs, amortization expense associated with certain intangible assets, certain centrally managed initiatives and other nonoperating items. Full-year 2017 and 2016 include</w:t>
      </w:r>
      <w:r>
        <w:rPr>
          <w:sz w:val="1"/>
          <w:szCs w:val="1"/>
          <w:color w:val="auto"/>
        </w:rPr>
        <w:drawing>
          <wp:inline distT="0" distB="0" distL="0" distR="0">
            <wp:extent cx="33020" cy="857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85725"/>
                    </a:xfrm>
                    <a:prstGeom prst="rect">
                      <a:avLst/>
                    </a:prstGeom>
                    <a:noFill/>
                    <a:ln>
                      <a:noFill/>
                    </a:ln>
                  </pic:spPr>
                </pic:pic>
              </a:graphicData>
            </a:graphic>
          </wp:inline>
        </w:drawing>
      </w:r>
      <w:r>
        <w:rPr>
          <w:rFonts w:ascii="Arial" w:cs="Arial" w:eastAsia="Arial" w:hAnsi="Arial"/>
          <w:sz w:val="15"/>
          <w:szCs w:val="15"/>
          <w:color w:val="auto"/>
        </w:rPr>
        <w:t>$252 million and $189 million, respectively, of amortization expense associated with intangible assets recorded as a result of the acquisition of Cameron, which was completed on April 1, 2016.</w:t>
      </w:r>
    </w:p>
    <w:p>
      <w:pPr>
        <w:spacing w:after="0" w:line="12" w:lineRule="exact"/>
        <w:rPr>
          <w:rFonts w:ascii="Arial" w:cs="Arial" w:eastAsia="Arial" w:hAnsi="Arial"/>
          <w:sz w:val="24"/>
          <w:szCs w:val="24"/>
          <w:color w:val="auto"/>
          <w:vertAlign w:val="superscript"/>
        </w:rPr>
      </w:pPr>
    </w:p>
    <w:p>
      <w:pPr>
        <w:ind w:left="380" w:hanging="376"/>
        <w:spacing w:after="0"/>
        <w:tabs>
          <w:tab w:leader="none" w:pos="38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Excludes interest income included in the segments’ income (2017: $21 million; 2016: $26 million).</w:t>
      </w:r>
    </w:p>
    <w:p>
      <w:pPr>
        <w:spacing w:after="0" w:line="113" w:lineRule="exact"/>
        <w:rPr>
          <w:rFonts w:ascii="Arial" w:cs="Arial" w:eastAsia="Arial" w:hAnsi="Arial"/>
          <w:sz w:val="25"/>
          <w:szCs w:val="25"/>
          <w:color w:val="auto"/>
          <w:vertAlign w:val="superscript"/>
        </w:rPr>
      </w:pPr>
    </w:p>
    <w:p>
      <w:pPr>
        <w:ind w:left="380" w:hanging="376"/>
        <w:spacing w:after="0" w:line="183" w:lineRule="auto"/>
        <w:tabs>
          <w:tab w:leader="none" w:pos="38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Excludes interest expense included in the segments’ income (2017: $52 million; 2016: $53 million).</w:t>
      </w:r>
    </w:p>
    <w:p>
      <w:pPr>
        <w:spacing w:after="0" w:line="114" w:lineRule="exact"/>
        <w:rPr>
          <w:rFonts w:ascii="Arial" w:cs="Arial" w:eastAsia="Arial" w:hAnsi="Arial"/>
          <w:sz w:val="21"/>
          <w:szCs w:val="21"/>
          <w:color w:val="auto"/>
          <w:vertAlign w:val="superscript"/>
        </w:rPr>
      </w:pPr>
    </w:p>
    <w:p>
      <w:pPr>
        <w:ind w:left="380" w:hanging="376"/>
        <w:spacing w:after="0" w:line="183" w:lineRule="auto"/>
        <w:tabs>
          <w:tab w:leader="none" w:pos="38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 xml:space="preserve">Charges and credits are described in detail in Note 3 to the </w:t>
      </w:r>
      <w:r>
        <w:rPr>
          <w:rFonts w:ascii="Arial" w:cs="Arial" w:eastAsia="Arial" w:hAnsi="Arial"/>
          <w:sz w:val="13"/>
          <w:szCs w:val="13"/>
          <w:i w:val="1"/>
          <w:iCs w:val="1"/>
          <w:color w:val="auto"/>
        </w:rPr>
        <w:t>Consolidated Financial Statements</w:t>
      </w:r>
      <w:r>
        <w:rPr>
          <w:rFonts w:ascii="Arial" w:cs="Arial" w:eastAsia="Arial" w:hAnsi="Arial"/>
          <w:sz w:val="13"/>
          <w:szCs w:val="13"/>
          <w:color w:val="auto"/>
        </w:rPr>
        <w:t>.</w:t>
      </w:r>
    </w:p>
    <w:p>
      <w:pPr>
        <w:spacing w:after="0" w:line="3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Full-year 2017 revenue of $30.4 billion increased 9% year-on-year. This included a full year of activity from the acquired Cameron businesses versus nine months of activity for the same period in 2016. Excluding the impact of the Cameron Group, revenue increased 7% year-on-year. The growth was primarily driven by North America, where the land rig count increased more than 80% versus the same period last year.</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Full-year revenue for the Drilling Group declined 2% primarily driven by the 8% decline in offshore rig count combined with Schlumberger’s decision in April 2016 to reduce its activities in Venezuela to align operations with cash collections. Production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6" w:name="page17"/>
    <w:bookmarkEnd w:id="16"/>
    <w:p>
      <w:pPr>
        <w:jc w:val="both"/>
        <w:spacing w:after="0" w:line="285" w:lineRule="auto"/>
        <w:rPr>
          <w:sz w:val="20"/>
          <w:szCs w:val="20"/>
          <w:color w:val="auto"/>
        </w:rPr>
      </w:pPr>
      <w:r>
        <w:rPr>
          <w:rFonts w:ascii="Arial" w:cs="Arial" w:eastAsia="Arial" w:hAnsi="Arial"/>
          <w:sz w:val="17"/>
          <w:szCs w:val="17"/>
          <w:color w:val="auto"/>
        </w:rPr>
        <w:t>Group revenue increased 21% due to the accelerated land pressure pumping activity growth in North America, while the Reservoir Characterization Group revenue improved 2%.</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Full-year 2017 pretax operating margin was expanded 111 basis points (“bps”) to 13%, as improved profitability in North America due to the land activity growth that benefited the Production and Drilling Groups was offset by margin declines in the Reservoir Characterization and Cameron Groups.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Reservoir Characterization Group</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Full-year 2017 revenue of $6.8 billion increased 2% year-on-year primarily due to higher WesternGeco and Wireline revenue on projects in the Middle East &amp; Asia Area, North America land, Russia and Mexico.</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Year-on-year, pretax operating margin was essentially flat at 18%.</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Drilling Group</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Full-year 2017 revenue of $8.4 billion decreased 2% year-on-year primarily due to the rig count declines internationally and in offshore North America combined with pricing pressure. Revenue also declined as a result of Schlumberger’s decision in April 2016 to reduce its activities in Venezuela to align operations with cash collections.</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Year-on-year, pretax operating margin increased 210 bps to 14% primarily due to improved profitability in North America due to accelerated land activity and improved pricing. This improvement was partially offset by the negative impact of reduced activity in Venezuela.</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Production Group</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Full-year 2017 revenue of $10.6 billion increased 21% year-on-year with most of the revenue increase attributable to the accelerated land activity growth in North America that benefited the pressure pumping business which grew 44%. Lower Schlumberger Production Management (SPM) production levels in Ecuador partially offset the revenue increase.</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Year-on-year, pretax operating margin increased 297 bps to 9% as a result of improved profitability in North America due to the accelerated land activity and improved pricing. This was partially offset by reduced margins in SPM due to lower production in Ecuador.</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Cameron Group</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Cameron Group contributed full-year revenue of $5.2 billion. Cameron Group revenue for 2016 included only nine months of revenue following the closing of the acquisition in April 2016. Revenue in 2017 was impacted by a declining project backlog, particularly for the long-cycle businesses of Drilling Systems and OneSubsea.</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Year-on-year, pretax operating margin of 14% decreased 142 bps as a result of lower Drilling Systems project volumes.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u w:val="single" w:color="auto"/>
          <w:color w:val="auto"/>
        </w:rPr>
        <w:t>Full-Year 2016 Results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2"/>
              </w:rPr>
              <w:t>(Stated in millions)</w:t>
            </w:r>
          </w:p>
        </w:tc>
      </w:tr>
      <w:tr>
        <w:trPr>
          <w:trHeight w:val="428"/>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7"/>
                <w:szCs w:val="17"/>
                <w:b w:val="1"/>
                <w:bCs w:val="1"/>
                <w:color w:val="auto"/>
              </w:rPr>
              <w:t>2016</w:t>
            </w: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7"/>
                <w:szCs w:val="17"/>
                <w:color w:val="auto"/>
              </w:rPr>
              <w:t>2015</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7"/>
                <w:szCs w:val="17"/>
                <w:color w:val="auto"/>
                <w:w w:val="93"/>
              </w:rPr>
              <w:t>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Income</w:t>
            </w:r>
          </w:p>
        </w:tc>
      </w:tr>
      <w:tr>
        <w:trPr>
          <w:trHeight w:val="221"/>
        </w:trPr>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7"/>
                <w:szCs w:val="17"/>
                <w:color w:val="auto"/>
                <w:w w:val="95"/>
              </w:rPr>
              <w:t>Before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Before</w:t>
            </w:r>
          </w:p>
        </w:tc>
      </w:tr>
      <w:tr>
        <w:trPr>
          <w:trHeight w:val="221"/>
        </w:trPr>
        <w:tc>
          <w:tcPr>
            <w:tcW w:w="59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99"/>
              </w:rPr>
              <w:t>Revenue</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3"/>
              <w:spacing w:after="0"/>
              <w:rPr>
                <w:sz w:val="20"/>
                <w:szCs w:val="20"/>
                <w:color w:val="auto"/>
              </w:rPr>
            </w:pPr>
            <w:r>
              <w:rPr>
                <w:rFonts w:ascii="Arial" w:cs="Arial" w:eastAsia="Arial" w:hAnsi="Arial"/>
                <w:sz w:val="17"/>
                <w:szCs w:val="17"/>
                <w:color w:val="auto"/>
                <w:w w:val="86"/>
              </w:rPr>
              <w:t>Taxes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99"/>
              </w:rPr>
              <w:t>Revenue</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90"/>
              </w:rPr>
              <w:t>Taxes</w:t>
            </w:r>
          </w:p>
        </w:tc>
        <w:tc>
          <w:tcPr>
            <w:tcW w:w="120" w:type="dxa"/>
            <w:vAlign w:val="bottom"/>
            <w:tcBorders>
              <w:bottom w:val="single" w:sz="8" w:color="CFF0FC"/>
            </w:tcBorders>
          </w:tcPr>
          <w:p>
            <w:pPr>
              <w:spacing w:after="0"/>
              <w:rPr>
                <w:sz w:val="19"/>
                <w:szCs w:val="19"/>
                <w:color w:val="auto"/>
              </w:rPr>
            </w:pPr>
          </w:p>
        </w:tc>
      </w:tr>
      <w:tr>
        <w:trPr>
          <w:trHeight w:val="214"/>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Reservoir Characterization</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6,648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1,249</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9,501</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2,450</w:t>
            </w:r>
          </w:p>
        </w:tc>
        <w:tc>
          <w:tcPr>
            <w:tcW w:w="120" w:type="dxa"/>
            <w:vAlign w:val="bottom"/>
            <w:shd w:val="clear" w:color="auto" w:fill="CFF0FC"/>
          </w:tcPr>
          <w:p>
            <w:pPr>
              <w:spacing w:after="0"/>
              <w:rPr>
                <w:sz w:val="18"/>
                <w:szCs w:val="18"/>
                <w:color w:val="auto"/>
              </w:rPr>
            </w:pPr>
          </w:p>
        </w:tc>
      </w:tr>
      <w:tr>
        <w:trPr>
          <w:trHeight w:val="221"/>
        </w:trPr>
        <w:tc>
          <w:tcPr>
            <w:tcW w:w="5900" w:type="dxa"/>
            <w:vAlign w:val="bottom"/>
          </w:tcPr>
          <w:p>
            <w:pPr>
              <w:spacing w:after="0"/>
              <w:rPr>
                <w:sz w:val="20"/>
                <w:szCs w:val="20"/>
                <w:color w:val="auto"/>
              </w:rPr>
            </w:pPr>
            <w:r>
              <w:rPr>
                <w:rFonts w:ascii="Arial" w:cs="Arial" w:eastAsia="Arial" w:hAnsi="Arial"/>
                <w:sz w:val="17"/>
                <w:szCs w:val="17"/>
                <w:color w:val="auto"/>
              </w:rPr>
              <w:t>Drilling</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8,561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13,563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2,538</w:t>
            </w:r>
          </w:p>
        </w:tc>
        <w:tc>
          <w:tcPr>
            <w:tcW w:w="120" w:type="dxa"/>
            <w:vAlign w:val="bottom"/>
          </w:tcPr>
          <w:p>
            <w:pPr>
              <w:spacing w:after="0"/>
              <w:rPr>
                <w:sz w:val="19"/>
                <w:szCs w:val="19"/>
                <w:color w:val="auto"/>
              </w:rPr>
            </w:pPr>
          </w:p>
        </w:tc>
      </w:tr>
      <w:tr>
        <w:trPr>
          <w:trHeight w:val="221"/>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Production</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8,804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1,585</w:t>
            </w:r>
          </w:p>
        </w:tc>
        <w:tc>
          <w:tcPr>
            <w:tcW w:w="120" w:type="dxa"/>
            <w:vAlign w:val="bottom"/>
            <w:shd w:val="clear" w:color="auto" w:fill="CFF0FC"/>
          </w:tcPr>
          <w:p>
            <w:pPr>
              <w:spacing w:after="0"/>
              <w:rPr>
                <w:sz w:val="19"/>
                <w:szCs w:val="19"/>
                <w:color w:val="auto"/>
              </w:rPr>
            </w:pPr>
          </w:p>
        </w:tc>
      </w:tr>
      <w:tr>
        <w:trPr>
          <w:trHeight w:val="221"/>
        </w:trPr>
        <w:tc>
          <w:tcPr>
            <w:tcW w:w="5900" w:type="dxa"/>
            <w:vAlign w:val="bottom"/>
          </w:tcPr>
          <w:p>
            <w:pPr>
              <w:spacing w:after="0"/>
              <w:rPr>
                <w:sz w:val="20"/>
                <w:szCs w:val="20"/>
                <w:color w:val="auto"/>
              </w:rPr>
            </w:pPr>
            <w:r>
              <w:rPr>
                <w:rFonts w:ascii="Arial" w:cs="Arial" w:eastAsia="Arial" w:hAnsi="Arial"/>
                <w:sz w:val="17"/>
                <w:szCs w:val="17"/>
                <w:color w:val="auto"/>
              </w:rPr>
              <w:t>Cameron</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r>
      <w:tr>
        <w:trPr>
          <w:trHeight w:val="221"/>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(414)</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(130)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(137)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(63)</w:t>
            </w:r>
          </w:p>
        </w:tc>
      </w:tr>
      <w:tr>
        <w:trPr>
          <w:trHeight w:val="214"/>
        </w:trPr>
        <w:tc>
          <w:tcPr>
            <w:tcW w:w="5900" w:type="dxa"/>
            <w:vAlign w:val="bottom"/>
          </w:tcPr>
          <w:p>
            <w:pPr>
              <w:ind w:left="240"/>
              <w:spacing w:after="0"/>
              <w:rPr>
                <w:sz w:val="20"/>
                <w:szCs w:val="20"/>
                <w:color w:val="auto"/>
              </w:rPr>
            </w:pPr>
            <w:r>
              <w:rPr>
                <w:rFonts w:ascii="Arial" w:cs="Arial" w:eastAsia="Arial" w:hAnsi="Arial"/>
                <w:sz w:val="17"/>
                <w:szCs w:val="17"/>
                <w:color w:val="auto"/>
              </w:rPr>
              <w:t>Pretax operating income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6,510</w:t>
            </w:r>
          </w:p>
        </w:tc>
        <w:tc>
          <w:tcPr>
            <w:tcW w:w="120" w:type="dxa"/>
            <w:vAlign w:val="bottom"/>
          </w:tcPr>
          <w:p>
            <w:pPr>
              <w:spacing w:after="0"/>
              <w:rPr>
                <w:sz w:val="18"/>
                <w:szCs w:val="18"/>
                <w:color w:val="auto"/>
              </w:rPr>
            </w:pPr>
          </w:p>
        </w:tc>
      </w:tr>
      <w:tr>
        <w:trPr>
          <w:trHeight w:val="221"/>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Corporate &amp; other </w:t>
            </w:r>
            <w:r>
              <w:rPr>
                <w:rFonts w:ascii="Arial" w:cs="Arial" w:eastAsia="Arial" w:hAnsi="Arial"/>
                <w:sz w:val="14"/>
                <w:szCs w:val="14"/>
                <w:color w:val="auto"/>
              </w:rPr>
              <w:t>(1)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(925)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(768)</w:t>
            </w:r>
          </w:p>
        </w:tc>
      </w:tr>
      <w:tr>
        <w:trPr>
          <w:trHeight w:val="221"/>
        </w:trPr>
        <w:tc>
          <w:tcPr>
            <w:tcW w:w="5900" w:type="dxa"/>
            <w:vAlign w:val="bottom"/>
          </w:tcPr>
          <w:p>
            <w:pPr>
              <w:spacing w:after="0"/>
              <w:rPr>
                <w:sz w:val="20"/>
                <w:szCs w:val="20"/>
                <w:color w:val="auto"/>
              </w:rPr>
            </w:pPr>
            <w:r>
              <w:rPr>
                <w:rFonts w:ascii="Arial" w:cs="Arial" w:eastAsia="Arial" w:hAnsi="Arial"/>
                <w:sz w:val="17"/>
                <w:szCs w:val="17"/>
                <w:color w:val="auto"/>
              </w:rPr>
              <w:t xml:space="preserve">Interest income </w:t>
            </w:r>
            <w:r>
              <w:rPr>
                <w:rFonts w:ascii="Arial" w:cs="Arial" w:eastAsia="Arial" w:hAnsi="Arial"/>
                <w:sz w:val="14"/>
                <w:szCs w:val="14"/>
                <w:color w:val="auto"/>
              </w:rPr>
              <w:t>(2)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r>
      <w:tr>
        <w:trPr>
          <w:trHeight w:val="221"/>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(517)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(316)</w:t>
            </w:r>
          </w:p>
        </w:tc>
      </w:tr>
      <w:tr>
        <w:trPr>
          <w:trHeight w:val="221"/>
        </w:trPr>
        <w:tc>
          <w:tcPr>
            <w:tcW w:w="5900" w:type="dxa"/>
            <w:vAlign w:val="bottom"/>
          </w:tcPr>
          <w:p>
            <w:pPr>
              <w:spacing w:after="0"/>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14"/>
                <w:szCs w:val="14"/>
                <w:color w:val="auto"/>
              </w:rPr>
              <w:t>(4)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(3,820)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(2,575)</w:t>
            </w:r>
          </w:p>
        </w:tc>
      </w:tr>
      <w:tr>
        <w:trPr>
          <w:trHeight w:val="20"/>
        </w:trPr>
        <w:tc>
          <w:tcPr>
            <w:tcW w:w="5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4"/>
        </w:trPr>
        <w:tc>
          <w:tcPr>
            <w:tcW w:w="59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27,810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(1,905)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35,475</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2,881</w:t>
            </w:r>
          </w:p>
        </w:tc>
        <w:tc>
          <w:tcPr>
            <w:tcW w:w="120" w:type="dxa"/>
            <w:vAlign w:val="bottom"/>
            <w:shd w:val="clear" w:color="auto" w:fill="CFF0FC"/>
          </w:tcPr>
          <w:p>
            <w:pPr>
              <w:spacing w:after="0"/>
              <w:rPr>
                <w:sz w:val="18"/>
                <w:szCs w:val="18"/>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37" w:lineRule="exact"/>
        <w:rPr>
          <w:sz w:val="20"/>
          <w:szCs w:val="20"/>
          <w:color w:val="auto"/>
        </w:rPr>
      </w:pPr>
    </w:p>
    <w:p>
      <w:pPr>
        <w:jc w:val="both"/>
        <w:ind w:left="380" w:hanging="376"/>
        <w:spacing w:after="0" w:line="215" w:lineRule="auto"/>
        <w:tabs>
          <w:tab w:leader="none" w:pos="38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 Full-year 2016 includes $189 million of amortization expense associated with intangible assets recorded as a result of the acquisition of Cameron, which was completed on April 1, 2016.</w:t>
      </w:r>
    </w:p>
    <w:p>
      <w:pPr>
        <w:spacing w:after="0" w:line="12" w:lineRule="exact"/>
        <w:rPr>
          <w:rFonts w:ascii="Arial" w:cs="Arial" w:eastAsia="Arial" w:hAnsi="Arial"/>
          <w:sz w:val="25"/>
          <w:szCs w:val="25"/>
          <w:color w:val="auto"/>
          <w:vertAlign w:val="superscript"/>
        </w:rPr>
      </w:pPr>
    </w:p>
    <w:p>
      <w:pPr>
        <w:ind w:left="380" w:hanging="376"/>
        <w:spacing w:after="0"/>
        <w:tabs>
          <w:tab w:leader="none" w:pos="38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Excludes interest income included in the segments’ income (2016: $26 million; 2015: $22 million).</w:t>
      </w:r>
    </w:p>
    <w:p>
      <w:pPr>
        <w:spacing w:after="0" w:line="113" w:lineRule="exact"/>
        <w:rPr>
          <w:rFonts w:ascii="Arial" w:cs="Arial" w:eastAsia="Arial" w:hAnsi="Arial"/>
          <w:sz w:val="25"/>
          <w:szCs w:val="25"/>
          <w:color w:val="auto"/>
          <w:vertAlign w:val="superscript"/>
        </w:rPr>
      </w:pPr>
    </w:p>
    <w:p>
      <w:pPr>
        <w:ind w:left="380" w:hanging="376"/>
        <w:spacing w:after="0" w:line="183" w:lineRule="auto"/>
        <w:tabs>
          <w:tab w:leader="none" w:pos="38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Excludes interest expense included in the segments’ income (2016: $53 million; 2015: $30 million).</w:t>
      </w:r>
    </w:p>
    <w:p>
      <w:pPr>
        <w:spacing w:after="0" w:line="114" w:lineRule="exact"/>
        <w:rPr>
          <w:rFonts w:ascii="Arial" w:cs="Arial" w:eastAsia="Arial" w:hAnsi="Arial"/>
          <w:sz w:val="21"/>
          <w:szCs w:val="21"/>
          <w:color w:val="auto"/>
          <w:vertAlign w:val="superscript"/>
        </w:rPr>
      </w:pPr>
    </w:p>
    <w:p>
      <w:pPr>
        <w:ind w:left="380" w:hanging="376"/>
        <w:spacing w:after="0" w:line="183" w:lineRule="auto"/>
        <w:tabs>
          <w:tab w:leader="none" w:pos="38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 xml:space="preserve">Charges and credits are described in detail in Note 3 to the </w:t>
      </w:r>
      <w:r>
        <w:rPr>
          <w:rFonts w:ascii="Arial" w:cs="Arial" w:eastAsia="Arial" w:hAnsi="Arial"/>
          <w:sz w:val="13"/>
          <w:szCs w:val="13"/>
          <w:i w:val="1"/>
          <w:iCs w:val="1"/>
          <w:color w:val="auto"/>
        </w:rPr>
        <w:t>Consolidated Financial Statements</w:t>
      </w:r>
      <w:r>
        <w:rPr>
          <w:rFonts w:ascii="Arial" w:cs="Arial" w:eastAsia="Arial" w:hAnsi="Arial"/>
          <w:sz w:val="13"/>
          <w:szCs w:val="13"/>
          <w:color w:val="auto"/>
        </w:rPr>
        <w:t>.</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Full-year 2016 revenue of $27.8 billion decreased 22% year-on-year. This included nine months of activity from the Cameron Group, which contributed $4.2 billion of revenue.</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Full-year 2016 revenue from both the Reservoir Characterization and Production Groups declined by 30%, as a result of lower demand for exploration- and development-related products and services as E&amp;P budgets were further reduced. Drilling Group revenue fell 37% due to the rig count decline in both North America and internationally.</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Full-year 2016 pretax operating income margin decreased 658 bps to 12% as a result of the overall decline in activity and pervasive pricing concessions. The margin decrease was highest in the Reservoir Characterization Group, which contracted by 699 bps to 19%. Drilling Group pretax operating margin fell 710 bps to 12%, while the Production Group decreased 687 bps to 6%. The Cameron Group posted a pretax margin of 16%.</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Reservoir Characterization Group</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Full-year 2016 revenue of $6.7 billion decreased 30% year-on-year primarily due to sustained cuts in exploration and discretionary spending.</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Year-on-year, pretax operating margin decreased 699 bps to 19% due to reduced high-margin Wireline and Testing Services activities.</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Drilling Group</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Full-year 2016 revenue of $8.6 billion decreased 37% year-on-year primarily due to the severe drop in rig count in both North America and internationally combined with pricing pressure that mainly affected Drilling &amp; Measurements and M-I SWACO activity.</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Year-on-year, pretax operating margin decreased 710 bps to 12% primarily due to the significant decline in higher-margin activities of Drilling &amp; Measurements combined with pricing weakness.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Production Group</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Full-year 2016 revenue of $8.7 billion decreased 30% year-on-year with most of the decrease attributable to a decline in North America, particularly on Well Services pressure pumping technologies driven by activity declines and pricing pressure as the land rig count declined dramatically.</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Year-on-year, pretax operating margin decreased 687 bps to 6% as a result of lower activity and increasing pricing pressure, which continued to impact North America land.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Cameron Group</w:t>
      </w:r>
    </w:p>
    <w:p>
      <w:pPr>
        <w:spacing w:after="0" w:line="122"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Cameron Group contributed nine-month revenue of $4.2 billion and pretax operating margin of 16%. Revenue was impacted by a declining project backlog as well as a further slowdown in North America land activity, which also affected the short-cycle businesses of the Valves &amp; Measurement and Surface product lines.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Pretax operating margin of 16% was driven by strong project execution and manufacturing efficiency in OneSubsea and overall cost control across the Group.</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Interest and Other Income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Interest &amp; other income </w:t>
      </w:r>
      <w:r>
        <w:rPr>
          <w:rFonts w:ascii="Arial" w:cs="Arial" w:eastAsia="Arial" w:hAnsi="Arial"/>
          <w:sz w:val="17"/>
          <w:szCs w:val="17"/>
          <w:color w:val="auto"/>
        </w:rPr>
        <w:t>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428"/>
        </w:trPr>
        <w:tc>
          <w:tcPr>
            <w:tcW w:w="4720" w:type="dxa"/>
            <w:vAlign w:val="bottom"/>
          </w:tcPr>
          <w:p>
            <w:pPr>
              <w:spacing w:after="0"/>
              <w:rPr>
                <w:sz w:val="24"/>
                <w:szCs w:val="24"/>
                <w:color w:val="auto"/>
              </w:rPr>
            </w:pPr>
          </w:p>
        </w:tc>
        <w:tc>
          <w:tcPr>
            <w:tcW w:w="2960" w:type="dxa"/>
            <w:vAlign w:val="bottom"/>
            <w:gridSpan w:val="2"/>
          </w:tcPr>
          <w:p>
            <w:pPr>
              <w:jc w:val="right"/>
              <w:ind w:right="44"/>
              <w:spacing w:after="0"/>
              <w:rPr>
                <w:sz w:val="20"/>
                <w:szCs w:val="20"/>
                <w:color w:val="auto"/>
              </w:rPr>
            </w:pPr>
            <w:r>
              <w:rPr>
                <w:rFonts w:ascii="Arial" w:cs="Arial" w:eastAsia="Arial" w:hAnsi="Arial"/>
                <w:sz w:val="17"/>
                <w:szCs w:val="17"/>
                <w:b w:val="1"/>
                <w:bCs w:val="1"/>
                <w:color w:val="auto"/>
              </w:rPr>
              <w:t>2017</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33"/>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37"/>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24"/>
                <w:szCs w:val="24"/>
                <w:color w:val="auto"/>
              </w:rPr>
            </w:pPr>
          </w:p>
        </w:tc>
      </w:tr>
      <w:tr>
        <w:trPr>
          <w:trHeight w:val="214"/>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Interest income</w:t>
            </w:r>
          </w:p>
        </w:tc>
        <w:tc>
          <w:tcPr>
            <w:tcW w:w="20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804"/>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128</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4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Earnings of equity method investments</w:t>
            </w:r>
          </w:p>
        </w:tc>
        <w:tc>
          <w:tcPr>
            <w:tcW w:w="20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FF0FC"/>
            </w:tcBorders>
          </w:tcPr>
          <w:p>
            <w:pPr>
              <w:spacing w:after="0"/>
              <w:rPr>
                <w:sz w:val="19"/>
                <w:szCs w:val="19"/>
                <w:color w:val="auto"/>
              </w:rPr>
            </w:pPr>
          </w:p>
        </w:tc>
      </w:tr>
      <w:tr>
        <w:trPr>
          <w:trHeight w:val="214"/>
        </w:trPr>
        <w:tc>
          <w:tcPr>
            <w:tcW w:w="4720" w:type="dxa"/>
            <w:vAlign w:val="bottom"/>
            <w:tcBorders>
              <w:bottom w:val="single" w:sz="8" w:color="CFF0FC"/>
            </w:tcBorders>
            <w:shd w:val="clear" w:color="auto" w:fill="CFF0FC"/>
          </w:tcPr>
          <w:p>
            <w:pPr>
              <w:spacing w:after="0"/>
              <w:rPr>
                <w:sz w:val="18"/>
                <w:szCs w:val="18"/>
                <w:color w:val="auto"/>
              </w:rPr>
            </w:pPr>
          </w:p>
        </w:tc>
        <w:tc>
          <w:tcPr>
            <w:tcW w:w="20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804"/>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224</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increase in interest income in 2016 as compared to 2015 is primarily attributable to the higher cash and short-term investment balances as a result of the issuance of $6.0 billion of Senior Notes during the fourth quarter of 2015.</w:t>
      </w:r>
    </w:p>
    <w:p>
      <w:pPr>
        <w:spacing w:after="0" w:line="15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decrease in earnings of equity method investments in 2016 as compared to 2015 primarily reflects the effects of the downturn in the oil and gas industry, which has negatively impacted the majority of Schlumberger’s investments in affiliates, particularly those in North America. This decrease also reflects the fact that Schlumberger ceased recording equity income from the OneSubsea joint venture in April 2016 as a result of Schlumberger’s acquisition of Cameron.</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Interest Expense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of $566 million in 2017 was essentially flat as compared to 2016.</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Interest expense of $570 million in 2016 increased by $224 million compared to 2015 primarily due to the issuance of $6.0 billion of Senior Notes during the fourth quarter of 2015 and the impact of the $3.0 billion of debt assumed in the acquisition of Cameron.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Research &amp; engineering </w:t>
      </w:r>
      <w:r>
        <w:rPr>
          <w:rFonts w:ascii="Arial" w:cs="Arial" w:eastAsia="Arial" w:hAnsi="Arial"/>
          <w:sz w:val="17"/>
          <w:szCs w:val="17"/>
          <w:color w:val="auto"/>
        </w:rPr>
        <w:t>and</w:t>
      </w:r>
      <w:r>
        <w:rPr>
          <w:rFonts w:ascii="Arial" w:cs="Arial" w:eastAsia="Arial" w:hAnsi="Arial"/>
          <w:sz w:val="17"/>
          <w:szCs w:val="17"/>
          <w:i w:val="1"/>
          <w:iCs w:val="1"/>
          <w:color w:val="auto"/>
        </w:rPr>
        <w:t xml:space="preserve"> General &amp; administrative </w:t>
      </w:r>
      <w:r>
        <w:rPr>
          <w:rFonts w:ascii="Arial" w:cs="Arial" w:eastAsia="Arial" w:hAnsi="Arial"/>
          <w:sz w:val="17"/>
          <w:szCs w:val="17"/>
          <w:color w:val="auto"/>
        </w:rPr>
        <w:t>expenses, as a percentage of</w:t>
      </w:r>
      <w:r>
        <w:rPr>
          <w:rFonts w:ascii="Arial" w:cs="Arial" w:eastAsia="Arial" w:hAnsi="Arial"/>
          <w:sz w:val="17"/>
          <w:szCs w:val="17"/>
          <w:i w:val="1"/>
          <w:iCs w:val="1"/>
          <w:color w:val="auto"/>
        </w:rPr>
        <w:t xml:space="preserve"> Revenue</w:t>
      </w:r>
      <w:r>
        <w:rPr>
          <w:rFonts w:ascii="Arial" w:cs="Arial" w:eastAsia="Arial" w:hAnsi="Arial"/>
          <w:sz w:val="17"/>
          <w:szCs w:val="17"/>
          <w:color w:val="auto"/>
        </w:rPr>
        <w:t>,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2017</w:t>
            </w:r>
          </w:p>
        </w:tc>
        <w:tc>
          <w:tcPr>
            <w:tcW w:w="36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2016</w:t>
            </w:r>
          </w:p>
        </w:tc>
        <w:tc>
          <w:tcPr>
            <w:tcW w:w="16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2015</w:t>
            </w:r>
          </w:p>
        </w:tc>
        <w:tc>
          <w:tcPr>
            <w:tcW w:w="160" w:type="dxa"/>
            <w:vAlign w:val="bottom"/>
            <w:tcBorders>
              <w:bottom w:val="single" w:sz="8" w:color="CFF0FC"/>
            </w:tcBorders>
          </w:tcPr>
          <w:p>
            <w:pPr>
              <w:spacing w:after="0"/>
              <w:rPr>
                <w:sz w:val="19"/>
                <w:szCs w:val="19"/>
                <w:color w:val="auto"/>
              </w:rPr>
            </w:pPr>
          </w:p>
        </w:tc>
      </w:tr>
      <w:tr>
        <w:trPr>
          <w:trHeight w:val="214"/>
        </w:trPr>
        <w:tc>
          <w:tcPr>
            <w:tcW w:w="7540" w:type="dxa"/>
            <w:vAlign w:val="bottom"/>
            <w:gridSpan w:val="2"/>
            <w:shd w:val="clear" w:color="auto" w:fill="CFF0FC"/>
          </w:tcPr>
          <w:p>
            <w:pPr>
              <w:spacing w:after="0"/>
              <w:rPr>
                <w:sz w:val="20"/>
                <w:szCs w:val="20"/>
                <w:color w:val="auto"/>
              </w:rPr>
            </w:pPr>
            <w:r>
              <w:rPr>
                <w:rFonts w:ascii="Arial" w:cs="Arial" w:eastAsia="Arial" w:hAnsi="Arial"/>
                <w:sz w:val="17"/>
                <w:szCs w:val="17"/>
                <w:i w:val="1"/>
                <w:iCs w:val="1"/>
                <w:color w:val="auto"/>
              </w:rPr>
              <w:t>Research &amp; engineering</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2.6%</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3.6%</w:t>
            </w: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3.1%</w:t>
            </w:r>
          </w:p>
        </w:tc>
      </w:tr>
      <w:tr>
        <w:trPr>
          <w:trHeight w:val="226"/>
        </w:trPr>
        <w:tc>
          <w:tcPr>
            <w:tcW w:w="7540" w:type="dxa"/>
            <w:vAlign w:val="bottom"/>
            <w:gridSpan w:val="2"/>
          </w:tcPr>
          <w:p>
            <w:pPr>
              <w:spacing w:after="0"/>
              <w:rPr>
                <w:sz w:val="20"/>
                <w:szCs w:val="20"/>
                <w:color w:val="auto"/>
              </w:rPr>
            </w:pPr>
            <w:r>
              <w:rPr>
                <w:rFonts w:ascii="Arial" w:cs="Arial" w:eastAsia="Arial" w:hAnsi="Arial"/>
                <w:sz w:val="17"/>
                <w:szCs w:val="17"/>
                <w:i w:val="1"/>
                <w:iCs w:val="1"/>
                <w:color w:val="auto"/>
              </w:rPr>
              <w:t>General &amp; administrative</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1.4%</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r>
    </w:tbl>
    <w:p>
      <w:pPr>
        <w:spacing w:after="0" w:line="19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i w:val="1"/>
          <w:iCs w:val="1"/>
          <w:color w:val="auto"/>
        </w:rPr>
        <w:t xml:space="preserve">Research &amp; engineering </w:t>
      </w:r>
      <w:r>
        <w:rPr>
          <w:rFonts w:ascii="Arial" w:cs="Arial" w:eastAsia="Arial" w:hAnsi="Arial"/>
          <w:sz w:val="17"/>
          <w:szCs w:val="17"/>
          <w:color w:val="auto"/>
        </w:rPr>
        <w:t>costs have decreased in terms of both absolute dollars and as a percentage of</w:t>
      </w:r>
      <w:r>
        <w:rPr>
          <w:rFonts w:ascii="Arial" w:cs="Arial" w:eastAsia="Arial" w:hAnsi="Arial"/>
          <w:sz w:val="17"/>
          <w:szCs w:val="17"/>
          <w:i w:val="1"/>
          <w:iCs w:val="1"/>
          <w:color w:val="auto"/>
        </w:rPr>
        <w:t xml:space="preserve"> Revenue </w:t>
      </w:r>
      <w:r>
        <w:rPr>
          <w:rFonts w:ascii="Arial" w:cs="Arial" w:eastAsia="Arial" w:hAnsi="Arial"/>
          <w:sz w:val="17"/>
          <w:szCs w:val="17"/>
          <w:color w:val="auto"/>
        </w:rPr>
        <w:t>in 2017 as compared to 2016 as a result of cost</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measures.</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Although </w:t>
      </w:r>
      <w:r>
        <w:rPr>
          <w:rFonts w:ascii="Arial" w:cs="Arial" w:eastAsia="Arial" w:hAnsi="Arial"/>
          <w:sz w:val="17"/>
          <w:szCs w:val="17"/>
          <w:i w:val="1"/>
          <w:iCs w:val="1"/>
          <w:color w:val="auto"/>
        </w:rPr>
        <w:t>Research &amp; engineering</w:t>
      </w:r>
      <w:r>
        <w:rPr>
          <w:rFonts w:ascii="Arial" w:cs="Arial" w:eastAsia="Arial" w:hAnsi="Arial"/>
          <w:sz w:val="17"/>
          <w:szCs w:val="17"/>
          <w:color w:val="auto"/>
        </w:rPr>
        <w:t xml:space="preserve"> costs increased as a percentage of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in 2016 as compared to 2015, they decreased in absolute dollar terms as a result of cost control measures that were implemented, offset in part by the impact of the Cameron acquisition.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auto"/>
        </w:rPr>
        <w:t>Income Taxes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Schlumberger effective tax rate was (27.9)% in 2017, 14.6% in 2016, and 25.9% in 2015.</w:t>
      </w:r>
    </w:p>
    <w:p>
      <w:pPr>
        <w:spacing w:after="0" w:line="220"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The Schlumberger effective tax rate has historically been sensitive to the geographic mix of earnings. When the percentage of pretax earnings generated outside of North America increased, the Schlumberger effective tax rate generally decreased. Conversely, when the percentage of pretax earnings generated outside of North America decreased, the Schlumberger effective tax rate generally increased.</w:t>
      </w:r>
    </w:p>
    <w:p>
      <w:pPr>
        <w:spacing w:after="0" w:line="172" w:lineRule="exact"/>
        <w:rPr>
          <w:sz w:val="20"/>
          <w:szCs w:val="20"/>
          <w:color w:val="auto"/>
        </w:rPr>
      </w:pPr>
    </w:p>
    <w:p>
      <w:pPr>
        <w:jc w:val="both"/>
        <w:ind w:right="40"/>
        <w:spacing w:after="0" w:line="261" w:lineRule="auto"/>
        <w:rPr>
          <w:sz w:val="20"/>
          <w:szCs w:val="20"/>
          <w:color w:val="auto"/>
        </w:rPr>
      </w:pPr>
      <w:r>
        <w:rPr>
          <w:rFonts w:ascii="Arial" w:cs="Arial" w:eastAsia="Arial" w:hAnsi="Arial"/>
          <w:sz w:val="17"/>
          <w:szCs w:val="17"/>
          <w:color w:val="auto"/>
        </w:rPr>
        <w:t xml:space="preserve">The effective tax rate for each of 2017, 2016 and 2015 was significantly impacted by the charges and credits described in Note 3 to the </w:t>
      </w:r>
      <w:r>
        <w:rPr>
          <w:rFonts w:ascii="Arial" w:cs="Arial" w:eastAsia="Arial" w:hAnsi="Arial"/>
          <w:sz w:val="17"/>
          <w:szCs w:val="17"/>
          <w:i w:val="1"/>
          <w:iCs w:val="1"/>
          <w:color w:val="auto"/>
        </w:rPr>
        <w:t>Consolidated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Statements </w:t>
      </w:r>
      <w:r>
        <w:rPr>
          <w:rFonts w:ascii="Arial" w:cs="Arial" w:eastAsia="Arial" w:hAnsi="Arial"/>
          <w:sz w:val="17"/>
          <w:szCs w:val="17"/>
          <w:color w:val="auto"/>
        </w:rPr>
        <w:t>because they were only partially tax-effective. Excluding the impact of these charges and credits, the effective tax rate was 18.2% in 2017, 15.9% in</w:t>
      </w:r>
      <w:r>
        <w:rPr>
          <w:rFonts w:ascii="Arial" w:cs="Arial" w:eastAsia="Arial" w:hAnsi="Arial"/>
          <w:sz w:val="17"/>
          <w:szCs w:val="17"/>
          <w:i w:val="1"/>
          <w:iCs w:val="1"/>
          <w:color w:val="auto"/>
        </w:rPr>
        <w:t xml:space="preserve"> </w:t>
      </w:r>
      <w:r>
        <w:rPr>
          <w:rFonts w:ascii="Arial" w:cs="Arial" w:eastAsia="Arial" w:hAnsi="Arial"/>
          <w:sz w:val="17"/>
          <w:szCs w:val="17"/>
          <w:color w:val="auto"/>
        </w:rPr>
        <w:t>2016 and 20.2% in 2015. The increase in the effective tax rate in 2017 as compared to 2016, excluding the impact of charges and credits, was primarily attributable to a change in the geographic mix of earnings as the percentage of pretax earnings generated in North America increased. The decrease in the effective tax rate, excluding the impact of charges and credits, in 2016 as compared to 2015 was primarily attributed to the geographic mix of earnings and the favorable resolution of the tax examinations in certain jurisdictions.</w:t>
      </w:r>
    </w:p>
    <w:p>
      <w:pPr>
        <w:spacing w:after="0" w:line="180"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 xml:space="preserve">As discussed in further detail in Note 3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on December 22, 2017 the US enacted the Tax Cuts and Jobs Act (the “Act”). The Act, which is also commonly referred to as “US tax reform”, significantly changes US corporate income tax laws by, among other things, reducing the US corporate income tax rate to 21% starting in 2018 and creating a territorial tax system with a one-time mandatory tax on previously deferred foreign earnings of US subsidiaries.</w:t>
      </w:r>
    </w:p>
    <w:p>
      <w:pPr>
        <w:spacing w:after="0" w:line="176"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Excluding the impact of any discrete items, the provisions of the Act are expected to reduce Schlumberger’s effective tax rate in 2018 by approximately 2 to 3 percentage points compared to what the rate would have otherwise been in the absence of US tax reform. The ultimate impact on Schlumberger’s effective tax rate will largely depend on the percentage of pretax earnings that Schlumberger generates in the US as compared to the rest of the world.</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Charges and Credits</w:t>
      </w:r>
    </w:p>
    <w:p>
      <w:pPr>
        <w:spacing w:after="0" w:line="122"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 xml:space="preserve">Schlumberger recorded significant charges and credits during 2017, 2016 and 2015. These charges and credits, which are summarized below, are more fully described in Note 3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159"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 xml:space="preserve">The following is a summary of the 2017 charges and credits, of which $3.211 billion were classified as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$245 million were classified as </w:t>
      </w:r>
      <w:r>
        <w:rPr>
          <w:rFonts w:ascii="Arial" w:cs="Arial" w:eastAsia="Arial" w:hAnsi="Arial"/>
          <w:sz w:val="17"/>
          <w:szCs w:val="17"/>
          <w:i w:val="1"/>
          <w:iCs w:val="1"/>
          <w:color w:val="auto"/>
        </w:rPr>
        <w:t>Cost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sales </w:t>
      </w:r>
      <w:r>
        <w:rPr>
          <w:rFonts w:ascii="Arial" w:cs="Arial" w:eastAsia="Arial" w:hAnsi="Arial"/>
          <w:sz w:val="17"/>
          <w:szCs w:val="17"/>
          <w:color w:val="auto"/>
        </w:rPr>
        <w:t>and $308 million were classified as</w:t>
      </w:r>
      <w:r>
        <w:rPr>
          <w:rFonts w:ascii="Arial" w:cs="Arial" w:eastAsia="Arial" w:hAnsi="Arial"/>
          <w:sz w:val="17"/>
          <w:szCs w:val="17"/>
          <w:i w:val="1"/>
          <w:iCs w:val="1"/>
          <w:color w:val="auto"/>
        </w:rPr>
        <w:t xml:space="preserve"> Merger &amp; integration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Statement of Income (Loss)</w:t>
      </w:r>
      <w:r>
        <w:rPr>
          <w:rFonts w:ascii="Arial" w:cs="Arial" w:eastAsia="Arial" w:hAnsi="Arial"/>
          <w:sz w:val="17"/>
          <w:szCs w:val="17"/>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4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Noncontrolling</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7"/>
                <w:szCs w:val="17"/>
                <w:color w:val="auto"/>
              </w:rPr>
              <w:t>Pretax</w:t>
            </w:r>
          </w:p>
        </w:tc>
        <w:tc>
          <w:tcPr>
            <w:tcW w:w="26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7"/>
                <w:szCs w:val="17"/>
                <w:color w:val="auto"/>
              </w:rPr>
              <w:t>Tax</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13"/>
              <w:spacing w:after="0"/>
              <w:rPr>
                <w:sz w:val="20"/>
                <w:szCs w:val="20"/>
                <w:color w:val="auto"/>
              </w:rPr>
            </w:pPr>
            <w:r>
              <w:rPr>
                <w:rFonts w:ascii="Arial" w:cs="Arial" w:eastAsia="Arial" w:hAnsi="Arial"/>
                <w:sz w:val="17"/>
                <w:szCs w:val="17"/>
                <w:color w:val="auto"/>
              </w:rPr>
              <w:t>Interests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360"/>
              <w:spacing w:after="0"/>
              <w:rPr>
                <w:sz w:val="20"/>
                <w:szCs w:val="20"/>
                <w:color w:val="auto"/>
              </w:rPr>
            </w:pPr>
            <w:r>
              <w:rPr>
                <w:rFonts w:ascii="Arial" w:cs="Arial" w:eastAsia="Arial" w:hAnsi="Arial"/>
                <w:sz w:val="17"/>
                <w:szCs w:val="17"/>
                <w:color w:val="auto"/>
              </w:rPr>
              <w:t>Net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i w:val="1"/>
                <w:iCs w:val="1"/>
                <w:color w:val="auto"/>
              </w:rPr>
              <w:t>Impairment &amp; other</w:t>
            </w:r>
          </w:p>
        </w:tc>
        <w:tc>
          <w:tcPr>
            <w:tcW w:w="1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20" w:type="dxa"/>
            <w:vAlign w:val="bottom"/>
          </w:tcPr>
          <w:p>
            <w:pPr>
              <w:ind w:left="240"/>
              <w:spacing w:after="0"/>
              <w:rPr>
                <w:sz w:val="20"/>
                <w:szCs w:val="20"/>
                <w:color w:val="auto"/>
              </w:rPr>
            </w:pPr>
            <w:r>
              <w:rPr>
                <w:rFonts w:ascii="Arial" w:cs="Arial" w:eastAsia="Arial" w:hAnsi="Arial"/>
                <w:sz w:val="17"/>
                <w:szCs w:val="17"/>
                <w:color w:val="auto"/>
              </w:rPr>
              <w:t>WesternGeco seismic restructuring charges</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1,114</w:t>
            </w:r>
          </w:p>
        </w:tc>
        <w:tc>
          <w:tcPr>
            <w:tcW w:w="24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9"/>
                <w:szCs w:val="19"/>
                <w:color w:val="auto"/>
              </w:rPr>
            </w:pPr>
          </w:p>
        </w:tc>
        <w:tc>
          <w:tcPr>
            <w:tcW w:w="28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1,094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Venezuela investment write-down</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20" w:type="dxa"/>
            <w:vAlign w:val="bottom"/>
          </w:tcPr>
          <w:p>
            <w:pPr>
              <w:ind w:left="240"/>
              <w:spacing w:after="0"/>
              <w:rPr>
                <w:sz w:val="20"/>
                <w:szCs w:val="20"/>
                <w:color w:val="auto"/>
              </w:rPr>
            </w:pPr>
            <w:r>
              <w:rPr>
                <w:rFonts w:ascii="Arial" w:cs="Arial" w:eastAsia="Arial" w:hAnsi="Arial"/>
                <w:sz w:val="17"/>
                <w:szCs w:val="17"/>
                <w:color w:val="auto"/>
              </w:rPr>
              <w:t>Promissory note fair value adjustment and other</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Workforce reductions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20" w:type="dxa"/>
            <w:vAlign w:val="bottom"/>
          </w:tcPr>
          <w:p>
            <w:pPr>
              <w:ind w:left="240"/>
              <w:spacing w:after="0"/>
              <w:rPr>
                <w:sz w:val="20"/>
                <w:szCs w:val="20"/>
                <w:color w:val="auto"/>
              </w:rPr>
            </w:pPr>
            <w:r>
              <w:rPr>
                <w:rFonts w:ascii="Arial" w:cs="Arial" w:eastAsia="Arial" w:hAnsi="Arial"/>
                <w:sz w:val="17"/>
                <w:szCs w:val="17"/>
                <w:color w:val="auto"/>
              </w:rPr>
              <w:t>Multiclient seismic data impairment</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restructuring charges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20" w:type="dxa"/>
            <w:vAlign w:val="bottom"/>
          </w:tcPr>
          <w:p>
            <w:pPr>
              <w:spacing w:after="0"/>
              <w:rPr>
                <w:sz w:val="20"/>
                <w:szCs w:val="20"/>
                <w:color w:val="auto"/>
              </w:rPr>
            </w:pPr>
            <w:r>
              <w:rPr>
                <w:rFonts w:ascii="Arial" w:cs="Arial" w:eastAsia="Arial" w:hAnsi="Arial"/>
                <w:sz w:val="17"/>
                <w:szCs w:val="17"/>
                <w:i w:val="1"/>
                <w:iCs w:val="1"/>
                <w:color w:val="auto"/>
              </w:rPr>
              <w:t>Cost of sales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Provision for loss on long-term construction project</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20" w:type="dxa"/>
            <w:vAlign w:val="bottom"/>
          </w:tcPr>
          <w:p>
            <w:pPr>
              <w:spacing w:after="0"/>
              <w:rPr>
                <w:sz w:val="20"/>
                <w:szCs w:val="20"/>
                <w:color w:val="auto"/>
              </w:rPr>
            </w:pPr>
            <w:r>
              <w:rPr>
                <w:rFonts w:ascii="Arial" w:cs="Arial" w:eastAsia="Arial" w:hAnsi="Arial"/>
                <w:sz w:val="17"/>
                <w:szCs w:val="17"/>
                <w:i w:val="1"/>
                <w:iCs w:val="1"/>
                <w:color w:val="auto"/>
              </w:rPr>
              <w:t>Merger &amp; integration</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Merger and integration-related costs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20" w:type="dxa"/>
            <w:vAlign w:val="bottom"/>
          </w:tcPr>
          <w:p>
            <w:pPr>
              <w:spacing w:after="0"/>
              <w:rPr>
                <w:sz w:val="20"/>
                <w:szCs w:val="20"/>
                <w:color w:val="auto"/>
              </w:rPr>
            </w:pPr>
            <w:r>
              <w:rPr>
                <w:rFonts w:ascii="Arial" w:cs="Arial" w:eastAsia="Arial" w:hAnsi="Arial"/>
                <w:sz w:val="17"/>
                <w:szCs w:val="17"/>
                <w:color w:val="auto"/>
              </w:rPr>
              <w:t>US tax reform charge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7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3,764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3,590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bottom w:val="single" w:sz="8" w:color="CFF0FC"/>
            </w:tcBorders>
            <w:vMerge w:val="restart"/>
          </w:tcPr>
          <w:p>
            <w:pPr>
              <w:jc w:val="right"/>
              <w:ind w:right="33"/>
              <w:spacing w:after="0"/>
              <w:rPr>
                <w:sz w:val="20"/>
                <w:szCs w:val="20"/>
                <w:color w:val="auto"/>
              </w:rPr>
            </w:pPr>
            <w:r>
              <w:rPr>
                <w:rFonts w:ascii="Arial" w:cs="Arial" w:eastAsia="Arial" w:hAnsi="Arial"/>
                <w:sz w:val="17"/>
                <w:szCs w:val="17"/>
                <w:color w:val="auto"/>
              </w:rPr>
              <w:t>20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7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433" w:right="199" w:bottom="1440" w:gutter="0" w:footer="0" w:header="0"/>
        </w:sectPr>
      </w:pPr>
    </w:p>
    <w:bookmarkStart w:id="20" w:name="page21"/>
    <w:bookmarkEnd w:id="20"/>
    <w:p>
      <w:pPr>
        <w:ind w:right="40"/>
        <w:spacing w:after="0" w:line="242" w:lineRule="auto"/>
        <w:rPr>
          <w:sz w:val="20"/>
          <w:szCs w:val="20"/>
          <w:color w:val="auto"/>
        </w:rPr>
      </w:pPr>
      <w:r>
        <w:rPr>
          <w:rFonts w:ascii="Arial" w:cs="Arial" w:eastAsia="Arial" w:hAnsi="Arial"/>
          <w:sz w:val="17"/>
          <w:szCs w:val="17"/>
          <w:color w:val="auto"/>
        </w:rPr>
        <w:t xml:space="preserve">The following is a summary of the 2016 charges and credits, of which $3.172 billion were classified as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$349</w:t>
      </w:r>
      <w:r>
        <w:rPr>
          <w:sz w:val="1"/>
          <w:szCs w:val="1"/>
          <w:color w:val="auto"/>
        </w:rPr>
        <w:drawing>
          <wp:inline distT="0" distB="0" distL="0" distR="0">
            <wp:extent cx="33020" cy="1238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123825"/>
                    </a:xfrm>
                    <a:prstGeom prst="rect">
                      <a:avLst/>
                    </a:prstGeom>
                    <a:noFill/>
                    <a:ln>
                      <a:noFill/>
                    </a:ln>
                  </pic:spPr>
                </pic:pic>
              </a:graphicData>
            </a:graphic>
          </wp:inline>
        </w:drawing>
      </w:r>
      <w:r>
        <w:rPr>
          <w:rFonts w:ascii="Arial" w:cs="Arial" w:eastAsia="Arial" w:hAnsi="Arial"/>
          <w:sz w:val="17"/>
          <w:szCs w:val="17"/>
          <w:color w:val="auto"/>
        </w:rPr>
        <w:t xml:space="preserve">million were classified as </w:t>
      </w:r>
      <w:r>
        <w:rPr>
          <w:rFonts w:ascii="Arial" w:cs="Arial" w:eastAsia="Arial" w:hAnsi="Arial"/>
          <w:sz w:val="17"/>
          <w:szCs w:val="17"/>
          <w:i w:val="1"/>
          <w:iCs w:val="1"/>
          <w:color w:val="auto"/>
        </w:rPr>
        <w:t>Merger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&amp; integration </w:t>
      </w:r>
      <w:r>
        <w:rPr>
          <w:rFonts w:ascii="Arial" w:cs="Arial" w:eastAsia="Arial" w:hAnsi="Arial"/>
          <w:sz w:val="17"/>
          <w:szCs w:val="17"/>
          <w:color w:val="auto"/>
        </w:rPr>
        <w:t>and $299 million were classified in</w:t>
      </w:r>
      <w:r>
        <w:rPr>
          <w:rFonts w:ascii="Arial" w:cs="Arial" w:eastAsia="Arial" w:hAnsi="Arial"/>
          <w:sz w:val="17"/>
          <w:szCs w:val="17"/>
          <w:i w:val="1"/>
          <w:iCs w:val="1"/>
          <w:color w:val="auto"/>
        </w:rPr>
        <w:t xml:space="preserve"> Cost of sales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Statement of Income (Loss)</w:t>
      </w:r>
      <w:r>
        <w:rPr>
          <w:rFonts w:ascii="Arial" w:cs="Arial" w:eastAsia="Arial" w:hAnsi="Arial"/>
          <w:sz w:val="17"/>
          <w:szCs w:val="17"/>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428"/>
        </w:trPr>
        <w:tc>
          <w:tcPr>
            <w:tcW w:w="5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Pretax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61"/>
              <w:spacing w:after="0"/>
              <w:rPr>
                <w:sz w:val="20"/>
                <w:szCs w:val="20"/>
                <w:color w:val="auto"/>
              </w:rPr>
            </w:pPr>
            <w:r>
              <w:rPr>
                <w:rFonts w:ascii="Arial" w:cs="Arial" w:eastAsia="Arial" w:hAnsi="Arial"/>
                <w:sz w:val="17"/>
                <w:szCs w:val="17"/>
                <w:color w:val="auto"/>
              </w:rPr>
              <w:t>Tax</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Arial" w:cs="Arial" w:eastAsia="Arial" w:hAnsi="Arial"/>
                <w:sz w:val="17"/>
                <w:szCs w:val="17"/>
                <w:color w:val="auto"/>
              </w:rPr>
              <w:t>Net</w:t>
            </w:r>
          </w:p>
        </w:tc>
      </w:tr>
      <w:tr>
        <w:trPr>
          <w:trHeight w:val="214"/>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i w:val="1"/>
                <w:iCs w:val="1"/>
                <w:color w:val="auto"/>
              </w:rPr>
              <w:t>Impairment &amp; other</w:t>
            </w:r>
          </w:p>
        </w:tc>
        <w:tc>
          <w:tcPr>
            <w:tcW w:w="14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Workforce reductions</w:t>
            </w:r>
          </w:p>
        </w:tc>
        <w:tc>
          <w:tcPr>
            <w:tcW w:w="2360" w:type="dxa"/>
            <w:vAlign w:val="bottom"/>
            <w:gridSpan w:val="2"/>
          </w:tcPr>
          <w:p>
            <w:pPr>
              <w:jc w:val="right"/>
              <w:ind w:right="75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880</w:t>
            </w:r>
          </w:p>
        </w:tc>
        <w:tc>
          <w:tcPr>
            <w:tcW w:w="260" w:type="dxa"/>
            <w:vAlign w:val="bottom"/>
          </w:tcPr>
          <w:p>
            <w:pPr>
              <w:spacing w:after="0"/>
              <w:rPr>
                <w:sz w:val="19"/>
                <w:szCs w:val="19"/>
                <w:color w:val="auto"/>
              </w:rPr>
            </w:pP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69</w:t>
            </w:r>
          </w:p>
        </w:tc>
        <w:tc>
          <w:tcPr>
            <w:tcW w:w="26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811</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fixed asset impairments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684</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632</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Inventory write-downs</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616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567</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North America pressure pumping asset impairments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Multiclient seismic data impairment</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198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Facility impairments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Facility closure costs</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Costs associated with exiting certain activities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Currency devaluation loss in Egypt</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Contract termination costs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Other restructuring charges</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Merger &amp; integration</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Other merger and integration-related</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Merger-related employee benefits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Facility closure costs</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Professional fees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spacing w:after="0"/>
              <w:rPr>
                <w:sz w:val="20"/>
                <w:szCs w:val="20"/>
                <w:color w:val="auto"/>
              </w:rPr>
            </w:pPr>
            <w:r>
              <w:rPr>
                <w:rFonts w:ascii="Arial" w:cs="Arial" w:eastAsia="Arial" w:hAnsi="Arial"/>
                <w:sz w:val="17"/>
                <w:szCs w:val="17"/>
                <w:i w:val="1"/>
                <w:iCs w:val="1"/>
                <w:color w:val="auto"/>
              </w:rPr>
              <w:t>Cost of sales</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Amortization of inventory fair value adjustment</w:t>
            </w:r>
          </w:p>
        </w:tc>
        <w:tc>
          <w:tcPr>
            <w:tcW w:w="14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299</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FF0FC"/>
          </w:tcPr>
          <w:p>
            <w:pPr>
              <w:spacing w:after="0"/>
              <w:rPr>
                <w:sz w:val="19"/>
                <w:szCs w:val="19"/>
                <w:color w:val="auto"/>
              </w:rPr>
            </w:pPr>
          </w:p>
        </w:tc>
      </w:tr>
      <w:tr>
        <w:trPr>
          <w:trHeight w:val="214"/>
        </w:trPr>
        <w:tc>
          <w:tcPr>
            <w:tcW w:w="5280" w:type="dxa"/>
            <w:vAlign w:val="bottom"/>
          </w:tcPr>
          <w:p>
            <w:pPr>
              <w:spacing w:after="0"/>
              <w:rPr>
                <w:sz w:val="18"/>
                <w:szCs w:val="18"/>
                <w:color w:val="auto"/>
              </w:rPr>
            </w:pPr>
          </w:p>
        </w:tc>
        <w:tc>
          <w:tcPr>
            <w:tcW w:w="2360" w:type="dxa"/>
            <w:vAlign w:val="bottom"/>
            <w:gridSpan w:val="2"/>
          </w:tcPr>
          <w:p>
            <w:pPr>
              <w:jc w:val="right"/>
              <w:ind w:right="75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3,820</w:t>
            </w:r>
          </w:p>
        </w:tc>
        <w:tc>
          <w:tcPr>
            <w:tcW w:w="260" w:type="dxa"/>
            <w:vAlign w:val="bottom"/>
          </w:tcPr>
          <w:p>
            <w:pPr>
              <w:spacing w:after="0"/>
              <w:rPr>
                <w:sz w:val="18"/>
                <w:szCs w:val="18"/>
                <w:color w:val="auto"/>
              </w:rPr>
            </w:pP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583</w:t>
            </w:r>
          </w:p>
        </w:tc>
        <w:tc>
          <w:tcPr>
            <w:tcW w:w="26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3,237</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is a summary of the 2015 charges and credits, all of which were classified as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4180" w:type="dxa"/>
            <w:vAlign w:val="bottom"/>
            <w:tcBorders>
              <w:bottom w:val="single" w:sz="8" w:color="CFF0FC"/>
            </w:tcBorders>
          </w:tcPr>
          <w:p>
            <w:pPr>
              <w:spacing w:after="0"/>
              <w:rPr>
                <w:sz w:val="24"/>
                <w:szCs w:val="24"/>
                <w:color w:val="auto"/>
              </w:rPr>
            </w:pPr>
          </w:p>
        </w:tc>
        <w:tc>
          <w:tcPr>
            <w:tcW w:w="254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Pretax</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Tax</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Net</w:t>
            </w:r>
          </w:p>
        </w:tc>
        <w:tc>
          <w:tcPr>
            <w:tcW w:w="100" w:type="dxa"/>
            <w:vAlign w:val="bottom"/>
            <w:tcBorders>
              <w:bottom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Workforce reductions</w:t>
            </w:r>
          </w:p>
        </w:tc>
        <w:tc>
          <w:tcPr>
            <w:tcW w:w="3460" w:type="dxa"/>
            <w:vAlign w:val="bottom"/>
            <w:gridSpan w:val="2"/>
            <w:shd w:val="clear" w:color="auto" w:fill="CFF0FC"/>
          </w:tcPr>
          <w:p>
            <w:pPr>
              <w:jc w:val="right"/>
              <w:ind w:right="753"/>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920</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7"/>
                <w:szCs w:val="17"/>
                <w:color w:val="auto"/>
              </w:rPr>
              <w:t>Fixed asset impairments</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776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Inventory write-downs</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7"/>
                <w:szCs w:val="17"/>
                <w:color w:val="auto"/>
              </w:rPr>
              <w:t>Impairment of SPM project</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182</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Facility closures</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7"/>
                <w:szCs w:val="17"/>
                <w:color w:val="auto"/>
              </w:rPr>
              <w:t>Geopolitical events</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77</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Currency devaluation loss in Venezuela</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7"/>
                <w:szCs w:val="17"/>
                <w:color w:val="auto"/>
              </w:rPr>
              <w:t>Contract termination costs</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25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80" w:type="dxa"/>
            <w:vAlign w:val="bottom"/>
          </w:tcPr>
          <w:p>
            <w:pPr>
              <w:spacing w:after="0"/>
              <w:rPr>
                <w:sz w:val="18"/>
                <w:szCs w:val="18"/>
                <w:color w:val="auto"/>
              </w:rPr>
            </w:pPr>
          </w:p>
        </w:tc>
        <w:tc>
          <w:tcPr>
            <w:tcW w:w="3460" w:type="dxa"/>
            <w:vAlign w:val="bottom"/>
            <w:gridSpan w:val="2"/>
          </w:tcPr>
          <w:p>
            <w:pPr>
              <w:jc w:val="right"/>
              <w:ind w:right="75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2,575</w:t>
            </w:r>
          </w:p>
        </w:tc>
        <w:tc>
          <w:tcPr>
            <w:tcW w:w="260" w:type="dxa"/>
            <w:vAlign w:val="bottom"/>
          </w:tcPr>
          <w:p>
            <w:pPr>
              <w:spacing w:after="0"/>
              <w:rPr>
                <w:sz w:val="18"/>
                <w:szCs w:val="18"/>
                <w:color w:val="auto"/>
              </w:rPr>
            </w:pP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357</w:t>
            </w:r>
          </w:p>
        </w:tc>
        <w:tc>
          <w:tcPr>
            <w:tcW w:w="26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2,218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40" w:type="dxa"/>
            <w:vAlign w:val="bottom"/>
            <w:vMerge w:val="restart"/>
          </w:tcPr>
          <w:p>
            <w:pPr>
              <w:jc w:val="right"/>
              <w:ind w:right="833"/>
              <w:spacing w:after="0"/>
              <w:rPr>
                <w:sz w:val="20"/>
                <w:szCs w:val="20"/>
                <w:color w:val="auto"/>
              </w:rPr>
            </w:pPr>
            <w:r>
              <w:rPr>
                <w:rFonts w:ascii="Arial" w:cs="Arial" w:eastAsia="Arial" w:hAnsi="Arial"/>
                <w:sz w:val="17"/>
                <w:szCs w:val="17"/>
                <w:color w:val="auto"/>
              </w:rPr>
              <w:t>21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1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18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5" w:right="19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26"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auto"/>
        </w:rPr>
        <w:t xml:space="preserve">Schlumberger had total </w:t>
      </w:r>
      <w:r>
        <w:rPr>
          <w:rFonts w:ascii="Arial" w:cs="Arial" w:eastAsia="Arial" w:hAnsi="Arial"/>
          <w:sz w:val="16"/>
          <w:szCs w:val="16"/>
          <w:i w:val="1"/>
          <w:iCs w:val="1"/>
          <w:color w:val="auto"/>
        </w:rPr>
        <w:t>Cash</w:t>
      </w:r>
      <w:r>
        <w:rPr>
          <w:rFonts w:ascii="Arial" w:cs="Arial" w:eastAsia="Arial" w:hAnsi="Arial"/>
          <w:sz w:val="16"/>
          <w:szCs w:val="16"/>
          <w:color w:val="auto"/>
        </w:rPr>
        <w:t xml:space="preserve">,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Fixed income investments, held to maturity</w:t>
      </w:r>
      <w:r>
        <w:rPr>
          <w:rFonts w:ascii="Arial" w:cs="Arial" w:eastAsia="Arial" w:hAnsi="Arial"/>
          <w:sz w:val="16"/>
          <w:szCs w:val="16"/>
          <w:color w:val="auto"/>
        </w:rPr>
        <w:t xml:space="preserve"> of $5.1 billion, $9.5 billion and $13.5 billion at December 31, 2017, 2016 and 2015, respectively. Total debt was $18.2 billion, $19.6 billion and $19.0 billion at December 31, 2017, 2016 and 2015,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Details of the components of liquidity as well as changes in liquidity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2"/>
        </w:trPr>
        <w:tc>
          <w:tcPr>
            <w:tcW w:w="5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Dec. 31,</w:t>
            </w:r>
          </w:p>
        </w:tc>
        <w:tc>
          <w:tcPr>
            <w:tcW w:w="22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7"/>
                <w:szCs w:val="17"/>
                <w:color w:val="auto"/>
              </w:rPr>
              <w:t>Dec. 31,</w:t>
            </w:r>
          </w:p>
        </w:tc>
        <w:tc>
          <w:tcPr>
            <w:tcW w:w="18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color w:val="auto"/>
              </w:rPr>
              <w:t>Dec.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4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Components of Liquidity:</w:t>
            </w: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rPr>
              <w:t>2016</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Cash</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1,799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2,793</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Short-term investments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3,290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10,241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Fixed income investments, held to maturity</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Short-term borrowings and current portion of long-term debt</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(3,324)</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(3,153)</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(4,557)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Long-term debt</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(14,875)</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(16,463)</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(14,442)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7"/>
                <w:szCs w:val="17"/>
                <w:color w:val="auto"/>
              </w:rPr>
              <w:t xml:space="preserve">Net debt </w:t>
            </w:r>
            <w:r>
              <w:rPr>
                <w:rFonts w:ascii="Arial" w:cs="Arial" w:eastAsia="Arial" w:hAnsi="Arial"/>
                <w:sz w:val="14"/>
                <w:szCs w:val="14"/>
                <w:color w:val="auto"/>
              </w:rPr>
              <w:t>(1)</w:t>
            </w:r>
          </w:p>
        </w:tc>
        <w:tc>
          <w:tcPr>
            <w:tcW w:w="11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(13,110)</w:t>
            </w:r>
          </w:p>
        </w:tc>
        <w:tc>
          <w:tcPr>
            <w:tcW w:w="260" w:type="dxa"/>
            <w:vAlign w:val="bottom"/>
            <w:vMerge w:val="continue"/>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(10,121)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(5,547)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4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Changes in Liquidity:</w:t>
            </w:r>
          </w:p>
        </w:tc>
        <w:tc>
          <w:tcPr>
            <w:tcW w:w="11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rPr>
              <w:t>2016</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Income (loss) from continuing operations before noncontrolling interests</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(1,513)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(1,627)</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2,135</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Impairments and other charges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3,764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3,820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2,575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14"/>
                <w:szCs w:val="14"/>
                <w:color w:val="auto"/>
              </w:rPr>
              <w:t>(2)</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3,837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4,078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Earnings of equity method investments, less dividends received</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(56)</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(60)</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benefits expense</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343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benefits funding</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(133)</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(174)</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 xml:space="preserve">Decrease (increase) in working capital </w:t>
            </w:r>
            <w:r>
              <w:rPr>
                <w:rFonts w:ascii="Arial" w:cs="Arial" w:eastAsia="Arial" w:hAnsi="Arial"/>
                <w:sz w:val="14"/>
                <w:szCs w:val="14"/>
                <w:color w:val="auto"/>
              </w:rPr>
              <w:t>(3)</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(823)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(478)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US Federal tax refund</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685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Other</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(545)</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(662)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Cash flow from operations</w:t>
            </w:r>
          </w:p>
        </w:tc>
        <w:tc>
          <w:tcPr>
            <w:tcW w:w="1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5,663</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6,261</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8,805</w:t>
            </w: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40" w:type="dxa"/>
            <w:vAlign w:val="bottom"/>
          </w:tcPr>
          <w:p>
            <w:pPr>
              <w:spacing w:after="0"/>
              <w:rPr>
                <w:sz w:val="20"/>
                <w:szCs w:val="20"/>
                <w:color w:val="auto"/>
              </w:rPr>
            </w:pPr>
            <w:r>
              <w:rPr>
                <w:rFonts w:ascii="Arial" w:cs="Arial" w:eastAsia="Arial" w:hAnsi="Arial"/>
                <w:sz w:val="17"/>
                <w:szCs w:val="17"/>
                <w:color w:val="auto"/>
              </w:rPr>
              <w:t>Capital expenditures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(2,107)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(2,055)</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(2,410)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SPM investments</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(1,609)</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(1,031)</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Multiclient seismic data capitalized</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(276)</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(630)</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(486)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14"/>
                <w:szCs w:val="14"/>
                <w:b w:val="1"/>
                <w:bCs w:val="1"/>
                <w:color w:val="auto"/>
              </w:rPr>
              <w:t>(4)</w:t>
            </w:r>
          </w:p>
        </w:tc>
        <w:tc>
          <w:tcPr>
            <w:tcW w:w="1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1,671</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2,545</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4,956</w:t>
            </w: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40" w:type="dxa"/>
            <w:vAlign w:val="bottom"/>
          </w:tcPr>
          <w:p>
            <w:pPr>
              <w:spacing w:after="0"/>
              <w:rPr>
                <w:sz w:val="20"/>
                <w:szCs w:val="20"/>
                <w:color w:val="auto"/>
              </w:rPr>
            </w:pPr>
            <w:r>
              <w:rPr>
                <w:rFonts w:ascii="Arial" w:cs="Arial" w:eastAsia="Arial" w:hAnsi="Arial"/>
                <w:sz w:val="17"/>
                <w:szCs w:val="17"/>
                <w:color w:val="auto"/>
              </w:rPr>
              <w:t>Dividends paid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(2,778)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(2,647)</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(2,419)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Proceeds from employee stock plans</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(969)</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Stock repurchase program</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297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(778)</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(2,182)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(1,779)</w:t>
            </w:r>
          </w:p>
        </w:tc>
        <w:tc>
          <w:tcPr>
            <w:tcW w:w="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(465)</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7"/>
                <w:szCs w:val="17"/>
                <w:color w:val="auto"/>
                <w:w w:val="91"/>
              </w:rPr>
              <w:t>Business acquisitions and investments, net of cash acquired plus debt assumed</w:t>
            </w:r>
          </w:p>
        </w:tc>
        <w:tc>
          <w:tcPr>
            <w:tcW w:w="1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(847)</w:t>
            </w:r>
          </w:p>
        </w:tc>
        <w:tc>
          <w:tcPr>
            <w:tcW w:w="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(4,022)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Discontinued operations - settlement with U.S. Department of Justice</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Other</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(363)</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(87)</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(252)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Increase in Net Debt</w:t>
            </w:r>
          </w:p>
        </w:tc>
        <w:tc>
          <w:tcPr>
            <w:tcW w:w="1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40" w:type="dxa"/>
            <w:vAlign w:val="bottom"/>
            <w:vMerge w:val="continue"/>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(2,989)</w:t>
            </w:r>
          </w:p>
        </w:tc>
        <w:tc>
          <w:tcPr>
            <w:tcW w:w="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(4,574)</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tcPr>
          <w:p>
            <w:pPr>
              <w:spacing w:after="0"/>
              <w:rPr>
                <w:sz w:val="20"/>
                <w:szCs w:val="20"/>
                <w:color w:val="auto"/>
              </w:rPr>
            </w:pPr>
            <w:r>
              <w:rPr>
                <w:rFonts w:ascii="Arial" w:cs="Arial" w:eastAsia="Arial" w:hAnsi="Arial"/>
                <w:sz w:val="17"/>
                <w:szCs w:val="17"/>
                <w:color w:val="auto"/>
              </w:rPr>
              <w:t>Net Debt, Beginning of period</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(10,121)</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(5,547)</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(5,387)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Debt, End of period</w:t>
            </w:r>
          </w:p>
        </w:tc>
        <w:tc>
          <w:tcPr>
            <w:tcW w:w="11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40" w:type="dxa"/>
            <w:vAlign w:val="bottom"/>
            <w:vMerge w:val="continue"/>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(13,110)</w:t>
            </w:r>
          </w:p>
        </w:tc>
        <w:tc>
          <w:tcPr>
            <w:tcW w:w="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(10,121)</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vMerge w:val="restart"/>
          </w:tcPr>
          <w:p>
            <w:pPr>
              <w:jc w:val="right"/>
              <w:ind w:right="833"/>
              <w:spacing w:after="0"/>
              <w:rPr>
                <w:sz w:val="20"/>
                <w:szCs w:val="20"/>
                <w:color w:val="auto"/>
              </w:rPr>
            </w:pPr>
            <w:r>
              <w:rPr>
                <w:rFonts w:ascii="Arial" w:cs="Arial" w:eastAsia="Arial" w:hAnsi="Arial"/>
                <w:sz w:val="17"/>
                <w:szCs w:val="17"/>
                <w:color w:val="auto"/>
              </w:rPr>
              <w:t>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554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5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433" w:right="199" w:bottom="1440" w:gutter="0" w:footer="0" w:header="0"/>
        </w:sectPr>
      </w:pPr>
    </w:p>
    <w:bookmarkStart w:id="22" w:name="page23"/>
    <w:bookmarkEnd w:id="22"/>
    <w:p>
      <w:pPr>
        <w:jc w:val="both"/>
        <w:ind w:left="520" w:hanging="516"/>
        <w:spacing w:after="0" w:line="208" w:lineRule="auto"/>
        <w:tabs>
          <w:tab w:leader="none" w:pos="520" w:val="left"/>
        </w:tabs>
        <w:numPr>
          <w:ilvl w:val="0"/>
          <w:numId w:val="14"/>
        </w:numPr>
        <w:rPr>
          <w:rFonts w:ascii="Arial" w:cs="Arial" w:eastAsia="Arial" w:hAnsi="Arial"/>
          <w:sz w:val="27"/>
          <w:szCs w:val="27"/>
          <w:color w:val="auto"/>
          <w:vertAlign w:val="superscript"/>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520" w:hanging="516"/>
        <w:spacing w:after="0" w:line="195" w:lineRule="auto"/>
        <w:tabs>
          <w:tab w:leader="none" w:pos="52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62" w:lineRule="exact"/>
        <w:rPr>
          <w:rFonts w:ascii="Arial" w:cs="Arial" w:eastAsia="Arial" w:hAnsi="Arial"/>
          <w:sz w:val="25"/>
          <w:szCs w:val="25"/>
          <w:color w:val="auto"/>
          <w:vertAlign w:val="superscript"/>
        </w:rPr>
      </w:pPr>
    </w:p>
    <w:p>
      <w:pPr>
        <w:ind w:left="520" w:hanging="516"/>
        <w:spacing w:after="0" w:line="183" w:lineRule="auto"/>
        <w:tabs>
          <w:tab w:leader="none" w:pos="520" w:val="left"/>
        </w:tabs>
        <w:numPr>
          <w:ilvl w:val="0"/>
          <w:numId w:val="14"/>
        </w:numPr>
        <w:rPr>
          <w:rFonts w:ascii="Arial" w:cs="Arial" w:eastAsia="Arial" w:hAnsi="Arial"/>
          <w:sz w:val="21"/>
          <w:szCs w:val="21"/>
          <w:color w:val="auto"/>
          <w:vertAlign w:val="superscript"/>
        </w:rPr>
      </w:pPr>
      <w:r>
        <w:rPr>
          <w:rFonts w:ascii="Arial" w:cs="Arial" w:eastAsia="Arial" w:hAnsi="Arial"/>
          <w:sz w:val="13"/>
          <w:szCs w:val="13"/>
          <w:color w:val="auto"/>
        </w:rPr>
        <w:t>Includes severance payments of approximately $455 during 2017, $850 million during 2016 and $810 million during 2015.</w:t>
      </w:r>
    </w:p>
    <w:p>
      <w:pPr>
        <w:spacing w:after="0" w:line="114" w:lineRule="exact"/>
        <w:rPr>
          <w:rFonts w:ascii="Arial" w:cs="Arial" w:eastAsia="Arial" w:hAnsi="Arial"/>
          <w:sz w:val="21"/>
          <w:szCs w:val="21"/>
          <w:color w:val="auto"/>
          <w:vertAlign w:val="superscript"/>
        </w:rPr>
      </w:pPr>
    </w:p>
    <w:p>
      <w:pPr>
        <w:jc w:val="both"/>
        <w:ind w:left="520" w:hanging="516"/>
        <w:spacing w:after="0" w:line="236" w:lineRule="auto"/>
        <w:tabs>
          <w:tab w:leader="none" w:pos="52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the ability of our business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Key liquidity events during 2017, 2016 and 2015 included:</w:t>
      </w:r>
    </w:p>
    <w:p>
      <w:pPr>
        <w:spacing w:after="0" w:line="246" w:lineRule="exact"/>
        <w:rPr>
          <w:sz w:val="20"/>
          <w:szCs w:val="20"/>
          <w:color w:val="auto"/>
        </w:rPr>
      </w:pPr>
    </w:p>
    <w:p>
      <w:pPr>
        <w:ind w:left="760" w:hanging="379"/>
        <w:spacing w:after="0" w:line="318"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Cash flow from operations was $5.7 billion in 2017, $6.3 billion in 2016 and $8.8 billion in 2015. The decrease in operating cash flows for each of the last two years is largely attributable to lower earnings before non-cash charges and credits and depreciation and amortization expense.</w:t>
      </w:r>
    </w:p>
    <w:p>
      <w:pPr>
        <w:spacing w:after="0" w:line="32" w:lineRule="exact"/>
        <w:rPr>
          <w:rFonts w:ascii="Arial" w:cs="Arial" w:eastAsia="Arial" w:hAnsi="Arial"/>
          <w:sz w:val="16"/>
          <w:szCs w:val="16"/>
          <w:color w:val="auto"/>
        </w:rPr>
      </w:pPr>
    </w:p>
    <w:p>
      <w:pPr>
        <w:jc w:val="both"/>
        <w:ind w:left="760" w:hanging="379"/>
        <w:spacing w:after="0" w:line="270"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Schlumberger paid $2.8 billion of cash in connection with its acquisition of Cameron. Additionally, as a result of the acquisition of Cameron, Schlumberger assumed $3.0 billion of debt (including a $244 million adjustment to increase Cameron’s long-term fixed rate debt to its estimated fair value) and acquired $2.2 billion of cash and short-term investments.</w:t>
      </w:r>
    </w:p>
    <w:p>
      <w:pPr>
        <w:spacing w:after="0" w:line="67" w:lineRule="exact"/>
        <w:rPr>
          <w:rFonts w:ascii="Arial" w:cs="Arial" w:eastAsia="Arial" w:hAnsi="Arial"/>
          <w:sz w:val="17"/>
          <w:szCs w:val="17"/>
          <w:color w:val="auto"/>
        </w:rPr>
      </w:pPr>
    </w:p>
    <w:p>
      <w:pPr>
        <w:ind w:left="760" w:hanging="379"/>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the second quarter of 2016, Schlumberger repurchased approximately $1.4 billion of Cameron’s long-term fixed-rate debt.</w:t>
      </w:r>
    </w:p>
    <w:p>
      <w:pPr>
        <w:spacing w:after="0" w:line="220" w:lineRule="exact"/>
        <w:rPr>
          <w:rFonts w:ascii="Arial" w:cs="Arial" w:eastAsia="Arial" w:hAnsi="Arial"/>
          <w:sz w:val="17"/>
          <w:szCs w:val="17"/>
          <w:color w:val="auto"/>
        </w:rPr>
      </w:pPr>
    </w:p>
    <w:p>
      <w:pPr>
        <w:jc w:val="both"/>
        <w:ind w:left="760" w:hanging="379"/>
        <w:spacing w:after="0" w:line="262"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connection with Schlumberger’s acquisition of Cameron, Cameron merged with Schlumberger Holdings Corporation (“SHC”), an indirect wholly-owned United States subsidiary of Schlumberger. Under the terms of the agreement, Cameron shareholders received 0.716 shares of Schlumberger Limited common stock and a cash payment of $14.44 in exchange for each Cameron share of common stock outstanding. In connection with this transaction, SHC acquired approximately 138 million shares of common stock from Schlumberger Limited and transferred those shares to Cameron’s shareholders.</w:t>
      </w:r>
    </w:p>
    <w:p>
      <w:pPr>
        <w:spacing w:after="0" w:line="180" w:lineRule="exact"/>
        <w:rPr>
          <w:rFonts w:ascii="Arial" w:cs="Arial" w:eastAsia="Arial" w:hAnsi="Arial"/>
          <w:sz w:val="17"/>
          <w:szCs w:val="17"/>
          <w:color w:val="auto"/>
        </w:rPr>
      </w:pPr>
    </w:p>
    <w:p>
      <w:pPr>
        <w:ind w:left="760"/>
        <w:spacing w:after="0" w:line="285" w:lineRule="auto"/>
        <w:rPr>
          <w:rFonts w:ascii="Arial" w:cs="Arial" w:eastAsia="Arial" w:hAnsi="Arial"/>
          <w:sz w:val="17"/>
          <w:szCs w:val="17"/>
          <w:color w:val="auto"/>
        </w:rPr>
      </w:pPr>
      <w:r>
        <w:rPr>
          <w:rFonts w:ascii="Arial" w:cs="Arial" w:eastAsia="Arial" w:hAnsi="Arial"/>
          <w:sz w:val="17"/>
          <w:szCs w:val="17"/>
          <w:color w:val="auto"/>
        </w:rPr>
        <w:t>In order to partially fund the purchase of the 138 million shares of common stock from Schlumberger Limited that were transferred to Cameron stockholders, SHC issued $6 billion of notes during the fourth quarter of 2015 consisting of the following:</w:t>
      </w:r>
    </w:p>
    <w:p>
      <w:pPr>
        <w:spacing w:after="0" w:line="55" w:lineRule="exact"/>
        <w:rPr>
          <w:rFonts w:ascii="Arial" w:cs="Arial" w:eastAsia="Arial" w:hAnsi="Arial"/>
          <w:sz w:val="17"/>
          <w:szCs w:val="17"/>
          <w:color w:val="auto"/>
        </w:rPr>
      </w:pPr>
    </w:p>
    <w:p>
      <w:pPr>
        <w:ind w:left="1520" w:hanging="386"/>
        <w:spacing w:after="0"/>
        <w:tabs>
          <w:tab w:leader="none" w:pos="15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$500 million of 1.90% Senior Notes due 2017;</w:t>
      </w:r>
    </w:p>
    <w:p>
      <w:pPr>
        <w:spacing w:after="0" w:line="24" w:lineRule="exact"/>
        <w:rPr>
          <w:rFonts w:ascii="Arial" w:cs="Arial" w:eastAsia="Arial" w:hAnsi="Arial"/>
          <w:sz w:val="17"/>
          <w:szCs w:val="17"/>
          <w:color w:val="auto"/>
        </w:rPr>
      </w:pPr>
    </w:p>
    <w:p>
      <w:pPr>
        <w:ind w:left="1520" w:hanging="386"/>
        <w:spacing w:after="0"/>
        <w:tabs>
          <w:tab w:leader="none" w:pos="15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$1.3 billion of 2.35% Senior Notes due 2018;</w:t>
      </w:r>
    </w:p>
    <w:p>
      <w:pPr>
        <w:spacing w:after="0" w:line="12" w:lineRule="exact"/>
        <w:rPr>
          <w:rFonts w:ascii="Arial" w:cs="Arial" w:eastAsia="Arial" w:hAnsi="Arial"/>
          <w:sz w:val="17"/>
          <w:szCs w:val="17"/>
          <w:color w:val="auto"/>
        </w:rPr>
      </w:pPr>
    </w:p>
    <w:p>
      <w:pPr>
        <w:ind w:left="1520" w:hanging="386"/>
        <w:spacing w:after="0"/>
        <w:tabs>
          <w:tab w:leader="none" w:pos="15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$1.6 billion of 3.00% Senior Notes due 2020;</w:t>
      </w:r>
    </w:p>
    <w:p>
      <w:pPr>
        <w:spacing w:after="0" w:line="12" w:lineRule="exact"/>
        <w:rPr>
          <w:rFonts w:ascii="Arial" w:cs="Arial" w:eastAsia="Arial" w:hAnsi="Arial"/>
          <w:sz w:val="17"/>
          <w:szCs w:val="17"/>
          <w:color w:val="auto"/>
        </w:rPr>
      </w:pPr>
    </w:p>
    <w:p>
      <w:pPr>
        <w:ind w:left="1520" w:hanging="386"/>
        <w:spacing w:after="0"/>
        <w:tabs>
          <w:tab w:leader="none" w:pos="15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$850 million of 3.63% Senior Notes due 2022; and</w:t>
      </w:r>
    </w:p>
    <w:p>
      <w:pPr>
        <w:spacing w:after="0" w:line="12" w:lineRule="exact"/>
        <w:rPr>
          <w:rFonts w:ascii="Arial" w:cs="Arial" w:eastAsia="Arial" w:hAnsi="Arial"/>
          <w:sz w:val="17"/>
          <w:szCs w:val="17"/>
          <w:color w:val="auto"/>
        </w:rPr>
      </w:pPr>
    </w:p>
    <w:p>
      <w:pPr>
        <w:ind w:left="1520" w:hanging="386"/>
        <w:spacing w:after="0"/>
        <w:tabs>
          <w:tab w:leader="none" w:pos="15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$1.75 billion of 4.00% Senior Notes due 2025.</w:t>
      </w:r>
    </w:p>
    <w:p>
      <w:pPr>
        <w:spacing w:after="0" w:line="77" w:lineRule="exact"/>
        <w:rPr>
          <w:rFonts w:ascii="Arial" w:cs="Arial" w:eastAsia="Arial" w:hAnsi="Arial"/>
          <w:sz w:val="17"/>
          <w:szCs w:val="17"/>
          <w:color w:val="auto"/>
        </w:rPr>
      </w:pPr>
    </w:p>
    <w:p>
      <w:pPr>
        <w:jc w:val="both"/>
        <w:ind w:left="760" w:hanging="379"/>
        <w:spacing w:after="0" w:line="270"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July 18, 2013, the Board approved a new $10 billion share repurchase program to be completed at the latest by June 30, 2018. This program was completed during May 2017. On January 21, 2016, the Board approved a new $10 billion share repurchase program for Schlumberger common stock. Schlumberger had repurchased $324 million under the new program as of December 31, 2017.</w:t>
      </w:r>
    </w:p>
    <w:p>
      <w:pPr>
        <w:spacing w:after="0" w:line="158"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The following table summarizes the activity under this share repurchase program during 2017, 2016 and 2015:</w:t>
      </w:r>
    </w:p>
    <w:p>
      <w:pPr>
        <w:spacing w:after="0" w:line="305"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00" w:type="dxa"/>
            <w:vAlign w:val="bottom"/>
            <w:gridSpan w:val="6"/>
          </w:tcPr>
          <w:p>
            <w:pPr>
              <w:ind w:left="140"/>
              <w:spacing w:after="0"/>
              <w:rPr>
                <w:sz w:val="20"/>
                <w:szCs w:val="20"/>
                <w:color w:val="auto"/>
              </w:rPr>
            </w:pPr>
            <w:r>
              <w:rPr>
                <w:rFonts w:ascii="Arial" w:cs="Arial" w:eastAsia="Arial" w:hAnsi="Arial"/>
                <w:sz w:val="14"/>
                <w:szCs w:val="14"/>
                <w:i w:val="1"/>
                <w:iCs w:val="1"/>
                <w:color w:val="auto"/>
                <w:w w:val="90"/>
              </w:rPr>
              <w:t>(Stated in thousands, except per share amounts)</w:t>
            </w:r>
          </w:p>
        </w:tc>
      </w:tr>
      <w:tr>
        <w:trPr>
          <w:trHeight w:val="422"/>
        </w:trPr>
        <w:tc>
          <w:tcPr>
            <w:tcW w:w="5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center"/>
              <w:ind w:right="98"/>
              <w:spacing w:after="0"/>
              <w:rPr>
                <w:sz w:val="20"/>
                <w:szCs w:val="20"/>
                <w:color w:val="auto"/>
              </w:rPr>
            </w:pPr>
            <w:r>
              <w:rPr>
                <w:rFonts w:ascii="Arial" w:cs="Arial" w:eastAsia="Arial" w:hAnsi="Arial"/>
                <w:sz w:val="16"/>
                <w:szCs w:val="16"/>
                <w:color w:val="auto"/>
                <w:w w:val="90"/>
              </w:rPr>
              <w:t>Total Cost</w:t>
            </w:r>
          </w:p>
        </w:tc>
        <w:tc>
          <w:tcPr>
            <w:tcW w:w="22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Total Number</w:t>
            </w: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Average Price</w:t>
            </w:r>
          </w:p>
        </w:tc>
      </w:tr>
      <w:tr>
        <w:trPr>
          <w:trHeight w:val="208"/>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8"/>
              <w:spacing w:after="0"/>
              <w:rPr>
                <w:sz w:val="20"/>
                <w:szCs w:val="20"/>
                <w:color w:val="auto"/>
              </w:rPr>
            </w:pPr>
            <w:r>
              <w:rPr>
                <w:rFonts w:ascii="Arial" w:cs="Arial" w:eastAsia="Arial" w:hAnsi="Arial"/>
                <w:sz w:val="16"/>
                <w:szCs w:val="16"/>
                <w:color w:val="auto"/>
                <w:w w:val="84"/>
              </w:rPr>
              <w:t>of Shares</w:t>
            </w: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of Shares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83"/>
              </w:rPr>
              <w:t>Paid per</w:t>
            </w:r>
          </w:p>
        </w:tc>
      </w:tr>
      <w:tr>
        <w:trPr>
          <w:trHeight w:val="211"/>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8"/>
              <w:spacing w:after="0"/>
              <w:rPr>
                <w:sz w:val="20"/>
                <w:szCs w:val="20"/>
                <w:color w:val="auto"/>
              </w:rPr>
            </w:pPr>
            <w:r>
              <w:rPr>
                <w:rFonts w:ascii="Arial" w:cs="Arial" w:eastAsia="Arial" w:hAnsi="Arial"/>
                <w:sz w:val="16"/>
                <w:szCs w:val="16"/>
                <w:color w:val="auto"/>
                <w:w w:val="86"/>
              </w:rPr>
              <w:t>Purchased</w:t>
            </w:r>
          </w:p>
        </w:tc>
        <w:tc>
          <w:tcPr>
            <w:tcW w:w="2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83"/>
              </w:rPr>
              <w:t>Purchased</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79"/>
              </w:rPr>
              <w:t>Share</w:t>
            </w:r>
          </w:p>
        </w:tc>
      </w:tr>
      <w:tr>
        <w:trPr>
          <w:trHeight w:val="217"/>
        </w:trPr>
        <w:tc>
          <w:tcPr>
            <w:tcW w:w="5780" w:type="dxa"/>
            <w:vAlign w:val="bottom"/>
            <w:tcBorders>
              <w:top w:val="single" w:sz="8" w:color="CFF0FC"/>
            </w:tcBorders>
            <w:shd w:val="clear" w:color="auto" w:fill="CFF0FC"/>
          </w:tcPr>
          <w:p>
            <w:pPr>
              <w:jc w:val="right"/>
              <w:ind w:right="5353"/>
              <w:spacing w:after="0"/>
              <w:rPr>
                <w:sz w:val="20"/>
                <w:szCs w:val="20"/>
                <w:color w:val="auto"/>
              </w:rPr>
            </w:pPr>
            <w:r>
              <w:rPr>
                <w:rFonts w:ascii="Arial" w:cs="Arial" w:eastAsia="Arial" w:hAnsi="Arial"/>
                <w:sz w:val="17"/>
                <w:szCs w:val="17"/>
                <w:b w:val="1"/>
                <w:bCs w:val="1"/>
                <w:color w:val="auto"/>
                <w:w w:val="84"/>
              </w:rPr>
              <w:t>2017</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968,676</w:t>
            </w:r>
          </w:p>
        </w:tc>
        <w:tc>
          <w:tcPr>
            <w:tcW w:w="2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13,249.7</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73.11</w:t>
            </w:r>
          </w:p>
        </w:tc>
        <w:tc>
          <w:tcPr>
            <w:tcW w:w="100" w:type="dxa"/>
            <w:vAlign w:val="bottom"/>
            <w:tcBorders>
              <w:top w:val="single" w:sz="8" w:color="CFF0FC"/>
            </w:tcBorders>
            <w:shd w:val="clear" w:color="auto" w:fill="CFF0FC"/>
          </w:tcPr>
          <w:p>
            <w:pPr>
              <w:spacing w:after="0"/>
              <w:rPr>
                <w:sz w:val="18"/>
                <w:szCs w:val="18"/>
                <w:color w:val="auto"/>
              </w:rPr>
            </w:pPr>
          </w:p>
        </w:tc>
      </w:tr>
      <w:tr>
        <w:trPr>
          <w:trHeight w:val="234"/>
        </w:trPr>
        <w:tc>
          <w:tcPr>
            <w:tcW w:w="5780" w:type="dxa"/>
            <w:vAlign w:val="bottom"/>
          </w:tcPr>
          <w:p>
            <w:pPr>
              <w:jc w:val="right"/>
              <w:ind w:right="5353"/>
              <w:spacing w:after="0"/>
              <w:rPr>
                <w:sz w:val="20"/>
                <w:szCs w:val="20"/>
                <w:color w:val="auto"/>
              </w:rPr>
            </w:pPr>
            <w:r>
              <w:rPr>
                <w:rFonts w:ascii="Arial" w:cs="Arial" w:eastAsia="Arial" w:hAnsi="Arial"/>
                <w:sz w:val="17"/>
                <w:szCs w:val="17"/>
                <w:color w:val="auto"/>
                <w:w w:val="84"/>
              </w:rPr>
              <w:t>2016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778,018</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10,988.5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70.80</w:t>
            </w:r>
          </w:p>
        </w:tc>
        <w:tc>
          <w:tcPr>
            <w:tcW w:w="100" w:type="dxa"/>
            <w:vAlign w:val="bottom"/>
          </w:tcPr>
          <w:p>
            <w:pPr>
              <w:spacing w:after="0"/>
              <w:rPr>
                <w:sz w:val="20"/>
                <w:szCs w:val="20"/>
                <w:color w:val="auto"/>
              </w:rPr>
            </w:pPr>
          </w:p>
        </w:tc>
      </w:tr>
      <w:tr>
        <w:trPr>
          <w:trHeight w:val="260"/>
        </w:trPr>
        <w:tc>
          <w:tcPr>
            <w:tcW w:w="5780" w:type="dxa"/>
            <w:vAlign w:val="bottom"/>
            <w:shd w:val="clear" w:color="auto" w:fill="CFF0FC"/>
          </w:tcPr>
          <w:p>
            <w:pPr>
              <w:jc w:val="right"/>
              <w:ind w:right="5353"/>
              <w:spacing w:after="0"/>
              <w:rPr>
                <w:sz w:val="20"/>
                <w:szCs w:val="20"/>
                <w:color w:val="auto"/>
              </w:rPr>
            </w:pPr>
            <w:r>
              <w:rPr>
                <w:rFonts w:ascii="Arial" w:cs="Arial" w:eastAsia="Arial" w:hAnsi="Arial"/>
                <w:sz w:val="17"/>
                <w:szCs w:val="17"/>
                <w:color w:val="auto"/>
                <w:w w:val="84"/>
              </w:rPr>
              <w:t>2015</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2,182,180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26,751.0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81.57</w:t>
            </w:r>
          </w:p>
        </w:tc>
        <w:tc>
          <w:tcPr>
            <w:tcW w:w="100" w:type="dxa"/>
            <w:vAlign w:val="bottom"/>
            <w:shd w:val="clear" w:color="auto" w:fill="CFF0FC"/>
          </w:tcPr>
          <w:p>
            <w:pPr>
              <w:spacing w:after="0"/>
              <w:rPr>
                <w:sz w:val="22"/>
                <w:szCs w:val="22"/>
                <w:color w:val="auto"/>
              </w:rPr>
            </w:pPr>
          </w:p>
        </w:tc>
      </w:tr>
    </w:tbl>
    <w:p>
      <w:pPr>
        <w:spacing w:after="0" w:line="208" w:lineRule="exact"/>
        <w:rPr>
          <w:sz w:val="20"/>
          <w:szCs w:val="20"/>
          <w:color w:val="auto"/>
        </w:rPr>
      </w:pPr>
    </w:p>
    <w:p>
      <w:pPr>
        <w:ind w:left="5620" w:right="3420" w:hanging="5239"/>
        <w:spacing w:after="0" w:line="540" w:lineRule="auto"/>
        <w:tabs>
          <w:tab w:leader="none" w:pos="75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Dividends paid during 2017, 2016 and 2015 were $2.8 billion, $2.6 billion and $2.4 billion, respectively.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-92710</wp:posOffset>
            </wp:positionV>
            <wp:extent cx="729361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3" w:name="page24"/>
    <w:bookmarkEnd w:id="23"/>
    <w:p>
      <w:pPr>
        <w:ind w:left="760" w:hanging="379"/>
        <w:spacing w:after="0" w:line="285"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Capital expenditures were $2.1 billion in 2017, $2.1 billion in 2016 and $2.4 billion in 2015. Capital expenditures are expected to be approximately $2.1 billion in 2018.</w:t>
      </w:r>
    </w:p>
    <w:p>
      <w:pPr>
        <w:spacing w:after="0" w:line="55" w:lineRule="exact"/>
        <w:rPr>
          <w:rFonts w:ascii="Arial" w:cs="Arial" w:eastAsia="Arial" w:hAnsi="Arial"/>
          <w:sz w:val="17"/>
          <w:szCs w:val="17"/>
          <w:color w:val="auto"/>
        </w:rPr>
      </w:pPr>
    </w:p>
    <w:p>
      <w:pPr>
        <w:ind w:left="760" w:hanging="379"/>
        <w:spacing w:after="0" w:line="285"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During the fourth quarter of 2017, Schlumberger issued $0.5 billion of 2.20% Guaranteed Notes due 2020 and $0.6 billion of 2.65% Guaranteed Notes due 2022.</w:t>
      </w:r>
    </w:p>
    <w:p>
      <w:pPr>
        <w:spacing w:after="0" w:line="55" w:lineRule="exact"/>
        <w:rPr>
          <w:sz w:val="20"/>
          <w:szCs w:val="20"/>
          <w:color w:val="auto"/>
        </w:rPr>
      </w:pPr>
    </w:p>
    <w:p>
      <w:pPr>
        <w:ind w:left="760" w:hanging="379"/>
        <w:spacing w:after="0" w:line="355" w:lineRule="auto"/>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During 2017, 2016 and 2015 Schlumberger made contributions of $133 million, $174 million and $346 million, respectively, to its postretirement benefit plans. The US pension plans were 88% funded at December 31, 2017 and 85% funded at December 31, 2016 based on the projected benefit obligation.</w:t>
      </w:r>
    </w:p>
    <w:p>
      <w:pPr>
        <w:spacing w:after="0" w:line="9" w:lineRule="exact"/>
        <w:rPr>
          <w:rFonts w:ascii="Arial" w:cs="Arial" w:eastAsia="Arial" w:hAnsi="Arial"/>
          <w:sz w:val="15"/>
          <w:szCs w:val="15"/>
          <w:color w:val="auto"/>
        </w:rPr>
      </w:pPr>
    </w:p>
    <w:p>
      <w:pPr>
        <w:ind w:left="760"/>
        <w:spacing w:after="0" w:line="285" w:lineRule="auto"/>
        <w:rPr>
          <w:rFonts w:ascii="Arial" w:cs="Arial" w:eastAsia="Arial" w:hAnsi="Arial"/>
          <w:sz w:val="15"/>
          <w:szCs w:val="15"/>
          <w:color w:val="auto"/>
        </w:rPr>
      </w:pPr>
      <w:r>
        <w:rPr>
          <w:rFonts w:ascii="Arial" w:cs="Arial" w:eastAsia="Arial" w:hAnsi="Arial"/>
          <w:sz w:val="17"/>
          <w:szCs w:val="17"/>
          <w:color w:val="auto"/>
        </w:rPr>
        <w:t>Schlumberger’s international defined benefit pension plans were a combined 97% funded at December 31, 2017 based on the projected benefit obligation. This compares to 92% funded at December 31, 2016.</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Schlumberger expects to contribute approximately $125 million to its postretirement benefit plans in 2018, subject to market and business conditions.</w:t>
      </w:r>
    </w:p>
    <w:p>
      <w:pPr>
        <w:spacing w:after="0" w:line="128" w:lineRule="exact"/>
        <w:rPr>
          <w:sz w:val="20"/>
          <w:szCs w:val="20"/>
          <w:color w:val="auto"/>
        </w:rPr>
      </w:pPr>
    </w:p>
    <w:p>
      <w:pPr>
        <w:ind w:left="760" w:hanging="379"/>
        <w:spacing w:after="0" w:line="285"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The increase in </w:t>
      </w:r>
      <w:r>
        <w:rPr>
          <w:rFonts w:ascii="Arial" w:cs="Arial" w:eastAsia="Arial" w:hAnsi="Arial"/>
          <w:sz w:val="17"/>
          <w:szCs w:val="17"/>
          <w:i w:val="1"/>
          <w:iCs w:val="1"/>
          <w:color w:val="auto"/>
        </w:rPr>
        <w:t>SPM investments</w:t>
      </w:r>
      <w:r>
        <w:rPr>
          <w:rFonts w:ascii="Arial" w:cs="Arial" w:eastAsia="Arial" w:hAnsi="Arial"/>
          <w:sz w:val="17"/>
          <w:szCs w:val="17"/>
          <w:color w:val="auto"/>
        </w:rPr>
        <w:t xml:space="preserve"> in 2017 as compared to 2016 is primarily attributable to the purchase of a majority non-operating interest in the Palliser Block, located in Alberta, Canada, from Cenovous Energy, an integrated Canadian oil company.</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Schlumberger maintains a €5.0 billion Guaranteed Euro Medium Term Note program. This program provides for the issuance of various types of debt instruments such as fixed or floating rate notes in Euro, US dollar or other currencies. Schlumberger has issued €0.5 billion 1.50% Guaranteed Notes due 2019 under this program.</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of December 31, 2017, Schlumberger had $5.1 billion of cash and short-term investments on hand. Schlumberger also has separate committed credit facility agreements aggregating $6.6 billion with commercial banks, of which $3.6 billion was available and unused as of December 31, 2017. The $6.6 billion of committed credit facility agreements included $6.3 billion of committed facilities which support commercial paper programs. Schlumberger believes that these amounts are sufficient to meet future business requirements for at least the next 12 months.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total outstanding commercial paper borrowings were $3.0 billion as of December 31, 2017 and $2.6 billion as of December 31, 2016.</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Contractual Obligations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5"/>
          </w:tcPr>
          <w:p>
            <w:pPr>
              <w:ind w:left="860"/>
              <w:spacing w:after="0"/>
              <w:rPr>
                <w:sz w:val="20"/>
                <w:szCs w:val="20"/>
                <w:color w:val="auto"/>
              </w:rPr>
            </w:pPr>
            <w:r>
              <w:rPr>
                <w:rFonts w:ascii="Arial" w:cs="Arial" w:eastAsia="Arial" w:hAnsi="Arial"/>
                <w:sz w:val="17"/>
                <w:szCs w:val="17"/>
                <w:i w:val="1"/>
                <w:iCs w:val="1"/>
                <w:color w:val="auto"/>
              </w:rPr>
              <w:t>(Stated in millions)</w:t>
            </w:r>
          </w:p>
        </w:tc>
      </w:tr>
      <w:tr>
        <w:trPr>
          <w:trHeight w:val="442"/>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ind w:left="480"/>
              <w:spacing w:after="0"/>
              <w:rPr>
                <w:sz w:val="20"/>
                <w:szCs w:val="20"/>
                <w:color w:val="auto"/>
              </w:rPr>
            </w:pPr>
            <w:r>
              <w:rPr>
                <w:rFonts w:ascii="Arial" w:cs="Arial" w:eastAsia="Arial" w:hAnsi="Arial"/>
                <w:sz w:val="17"/>
                <w:szCs w:val="17"/>
                <w:color w:val="auto"/>
              </w:rPr>
              <w:t>Payment Period</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5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2018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90"/>
              </w:rPr>
              <w:t>2019-2020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93"/>
              </w:rPr>
              <w:t>2021-2022</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99"/>
              </w:rPr>
              <w:t>After 2022</w:t>
            </w:r>
          </w:p>
        </w:tc>
        <w:tc>
          <w:tcPr>
            <w:tcW w:w="120" w:type="dxa"/>
            <w:vAlign w:val="bottom"/>
            <w:tcBorders>
              <w:bottom w:val="single" w:sz="8" w:color="CFF0FC"/>
            </w:tcBorders>
          </w:tcPr>
          <w:p>
            <w:pPr>
              <w:spacing w:after="0"/>
              <w:rPr>
                <w:sz w:val="18"/>
                <w:szCs w:val="18"/>
                <w:color w:val="auto"/>
              </w:rPr>
            </w:pPr>
          </w:p>
        </w:tc>
      </w:tr>
      <w:tr>
        <w:trPr>
          <w:trHeight w:val="214"/>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Debt </w:t>
            </w:r>
            <w:r>
              <w:rPr>
                <w:rFonts w:ascii="Arial" w:cs="Arial" w:eastAsia="Arial" w:hAnsi="Arial"/>
                <w:sz w:val="14"/>
                <w:szCs w:val="14"/>
                <w:color w:val="auto"/>
              </w:rPr>
              <w:t>(1)</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18,199</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3,324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6,814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3,797</w:t>
            </w:r>
          </w:p>
        </w:tc>
        <w:tc>
          <w:tcPr>
            <w:tcW w:w="120" w:type="dxa"/>
            <w:vAlign w:val="bottom"/>
            <w:shd w:val="clear" w:color="auto" w:fill="CFF0FC"/>
          </w:tcPr>
          <w:p>
            <w:pPr>
              <w:spacing w:after="0"/>
              <w:rPr>
                <w:sz w:val="18"/>
                <w:szCs w:val="18"/>
                <w:color w:val="auto"/>
              </w:rPr>
            </w:pPr>
          </w:p>
        </w:tc>
      </w:tr>
      <w:tr>
        <w:trPr>
          <w:trHeight w:val="221"/>
        </w:trPr>
        <w:tc>
          <w:tcPr>
            <w:tcW w:w="5260" w:type="dxa"/>
            <w:vAlign w:val="bottom"/>
          </w:tcPr>
          <w:p>
            <w:pPr>
              <w:spacing w:after="0"/>
              <w:rPr>
                <w:sz w:val="20"/>
                <w:szCs w:val="20"/>
                <w:color w:val="auto"/>
              </w:rPr>
            </w:pPr>
            <w:r>
              <w:rPr>
                <w:rFonts w:ascii="Arial" w:cs="Arial" w:eastAsia="Arial" w:hAnsi="Arial"/>
                <w:sz w:val="17"/>
                <w:szCs w:val="17"/>
                <w:color w:val="auto"/>
              </w:rPr>
              <w:t xml:space="preserve">Interest on fixed rate debt obligations </w:t>
            </w:r>
            <w:r>
              <w:rPr>
                <w:rFonts w:ascii="Arial" w:cs="Arial" w:eastAsia="Arial" w:hAnsi="Arial"/>
                <w:sz w:val="14"/>
                <w:szCs w:val="14"/>
                <w:color w:val="auto"/>
              </w:rPr>
              <w:t>(2)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658</w:t>
            </w:r>
          </w:p>
        </w:tc>
        <w:tc>
          <w:tcPr>
            <w:tcW w:w="120" w:type="dxa"/>
            <w:vAlign w:val="bottom"/>
          </w:tcPr>
          <w:p>
            <w:pPr>
              <w:spacing w:after="0"/>
              <w:rPr>
                <w:sz w:val="19"/>
                <w:szCs w:val="19"/>
                <w:color w:val="auto"/>
              </w:rPr>
            </w:pPr>
          </w:p>
        </w:tc>
      </w:tr>
      <w:tr>
        <w:trPr>
          <w:trHeight w:val="221"/>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w:t>
            </w:r>
          </w:p>
        </w:tc>
        <w:tc>
          <w:tcPr>
            <w:tcW w:w="120" w:type="dxa"/>
            <w:vAlign w:val="bottom"/>
            <w:shd w:val="clear" w:color="auto" w:fill="CFF0FC"/>
          </w:tcPr>
          <w:p>
            <w:pPr>
              <w:spacing w:after="0"/>
              <w:rPr>
                <w:sz w:val="19"/>
                <w:szCs w:val="19"/>
                <w:color w:val="auto"/>
              </w:rPr>
            </w:pPr>
          </w:p>
        </w:tc>
      </w:tr>
      <w:tr>
        <w:trPr>
          <w:trHeight w:val="221"/>
        </w:trPr>
        <w:tc>
          <w:tcPr>
            <w:tcW w:w="52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14"/>
                <w:szCs w:val="14"/>
                <w:color w:val="auto"/>
              </w:rPr>
              <w:t>(3)</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FF0FC"/>
            </w:tcBorders>
          </w:tcPr>
          <w:p>
            <w:pPr>
              <w:spacing w:after="0"/>
              <w:rPr>
                <w:sz w:val="19"/>
                <w:szCs w:val="19"/>
                <w:color w:val="auto"/>
              </w:rPr>
            </w:pPr>
          </w:p>
        </w:tc>
      </w:tr>
      <w:tr>
        <w:trPr>
          <w:trHeight w:val="214"/>
        </w:trPr>
        <w:tc>
          <w:tcPr>
            <w:tcW w:w="5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25,545</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7,398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5,683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7,584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4,880</w:t>
            </w:r>
          </w:p>
        </w:tc>
        <w:tc>
          <w:tcPr>
            <w:tcW w:w="120" w:type="dxa"/>
            <w:vAlign w:val="bottom"/>
            <w:shd w:val="clear" w:color="auto" w:fill="CFF0FC"/>
          </w:tcPr>
          <w:p>
            <w:pPr>
              <w:spacing w:after="0"/>
              <w:rPr>
                <w:sz w:val="18"/>
                <w:szCs w:val="18"/>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09" w:lineRule="exact"/>
        <w:rPr>
          <w:sz w:val="20"/>
          <w:szCs w:val="20"/>
          <w:color w:val="auto"/>
        </w:rPr>
      </w:pPr>
    </w:p>
    <w:p>
      <w:pPr>
        <w:ind w:left="380" w:hanging="376"/>
        <w:spacing w:after="0"/>
        <w:tabs>
          <w:tab w:leader="none" w:pos="38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Excludes future payments for interest.</w:t>
      </w:r>
    </w:p>
    <w:p>
      <w:pPr>
        <w:spacing w:after="0" w:line="113" w:lineRule="exact"/>
        <w:rPr>
          <w:rFonts w:ascii="Arial" w:cs="Arial" w:eastAsia="Arial" w:hAnsi="Arial"/>
          <w:sz w:val="25"/>
          <w:szCs w:val="25"/>
          <w:color w:val="auto"/>
          <w:vertAlign w:val="superscript"/>
        </w:rPr>
      </w:pPr>
    </w:p>
    <w:p>
      <w:pPr>
        <w:ind w:left="380" w:hanging="376"/>
        <w:spacing w:after="0" w:line="183" w:lineRule="auto"/>
        <w:tabs>
          <w:tab w:leader="none" w:pos="380" w:val="left"/>
        </w:tabs>
        <w:numPr>
          <w:ilvl w:val="0"/>
          <w:numId w:val="20"/>
        </w:numPr>
        <w:rPr>
          <w:rFonts w:ascii="Arial" w:cs="Arial" w:eastAsia="Arial" w:hAnsi="Arial"/>
          <w:sz w:val="21"/>
          <w:szCs w:val="21"/>
          <w:color w:val="auto"/>
          <w:vertAlign w:val="superscript"/>
        </w:rPr>
      </w:pPr>
      <w:r>
        <w:rPr>
          <w:rFonts w:ascii="Arial" w:cs="Arial" w:eastAsia="Arial" w:hAnsi="Arial"/>
          <w:sz w:val="13"/>
          <w:szCs w:val="13"/>
          <w:color w:val="auto"/>
        </w:rPr>
        <w:t>Excludes interest on $4.0 billion of variable rate debt, which had a weighted average interest rate of 2.3% as of December 31, 2017.</w:t>
      </w:r>
    </w:p>
    <w:p>
      <w:pPr>
        <w:spacing w:after="0" w:line="114" w:lineRule="exact"/>
        <w:rPr>
          <w:rFonts w:ascii="Arial" w:cs="Arial" w:eastAsia="Arial" w:hAnsi="Arial"/>
          <w:sz w:val="21"/>
          <w:szCs w:val="21"/>
          <w:color w:val="auto"/>
          <w:vertAlign w:val="superscript"/>
        </w:rPr>
      </w:pPr>
    </w:p>
    <w:p>
      <w:pPr>
        <w:ind w:left="380" w:hanging="376"/>
        <w:spacing w:after="0" w:line="198" w:lineRule="auto"/>
        <w:tabs>
          <w:tab w:leader="none" w:pos="380"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Represents an estimate of contractual obligations in the ordinary course of business. Although these contractual obligations are considered enforceable and legally binding, the terms generally allow Schlumberger the option to reschedule and adjust its requirements based on business needs prior to the delivery of goods.</w:t>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Refer to Note 18, </w:t>
      </w:r>
      <w:r>
        <w:rPr>
          <w:rFonts w:ascii="Arial" w:cs="Arial" w:eastAsia="Arial" w:hAnsi="Arial"/>
          <w:sz w:val="17"/>
          <w:szCs w:val="17"/>
          <w:i w:val="1"/>
          <w:iCs w:val="1"/>
          <w:color w:val="auto"/>
        </w:rPr>
        <w:t>Pension and Other Benefit Plans,</w:t>
      </w:r>
      <w:r>
        <w:rPr>
          <w:rFonts w:ascii="Arial" w:cs="Arial" w:eastAsia="Arial" w:hAnsi="Arial"/>
          <w:sz w:val="17"/>
          <w:szCs w:val="17"/>
          <w:color w:val="auto"/>
        </w:rPr>
        <w:t xml:space="preserve"> of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for details regarding Schlumberger’s pension and other postretirement benefit obligations.</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As discussed in Note 14,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included in the Schlumberger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at December 31, 2017 is approximately $1.4 billion of liabilities associated with uncertain tax positions in the over 100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jc w:val="both"/>
        <w:spacing w:after="0" w:line="318" w:lineRule="auto"/>
        <w:rPr>
          <w:sz w:val="20"/>
          <w:szCs w:val="20"/>
          <w:color w:val="auto"/>
        </w:rPr>
      </w:pPr>
      <w:r>
        <w:rPr>
          <w:rFonts w:ascii="Arial" w:cs="Arial" w:eastAsia="Arial" w:hAnsi="Arial"/>
          <w:sz w:val="16"/>
          <w:szCs w:val="16"/>
          <w:color w:val="auto"/>
        </w:rPr>
        <w:t>Schlumberger has outstanding letters of credit/guarantees that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 and Estimates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Multiclient Seismic Data</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Schlumberger capitalizes the costs associated with obtaining multiclient seismic data. The carrying value of the multiclient seismic data library at December 31, 2017 and 2016 was $727 million and $1.07 billion, respectively. Such costs are charged to </w:t>
      </w:r>
      <w:r>
        <w:rPr>
          <w:rFonts w:ascii="Arial" w:cs="Arial" w:eastAsia="Arial" w:hAnsi="Arial"/>
          <w:sz w:val="17"/>
          <w:szCs w:val="17"/>
          <w:i w:val="1"/>
          <w:iCs w:val="1"/>
          <w:color w:val="auto"/>
        </w:rPr>
        <w:t>Cost of services</w:t>
      </w:r>
      <w:r>
        <w:rPr>
          <w:rFonts w:ascii="Arial" w:cs="Arial" w:eastAsia="Arial" w:hAnsi="Arial"/>
          <w:sz w:val="17"/>
          <w:szCs w:val="17"/>
          <w:color w:val="auto"/>
        </w:rPr>
        <w:t xml:space="preserve"> based on the percentage of the total costs to the estimated total revenue that Schlumberger expects to receive from the sales of such data. However, under no circumstances will an individual survey carry a net book value greater than a 4-year, straight-line amortized value.</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surveys are primarily analyzed for impairment on a survey-by-survey basis.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Allowance for Doubtful Accounts</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Schlumberger’s customers were to deteriorate resulting in an impairment of their ability to make payments.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a large multinational company with a long history of operating in a cyclical industry, Schlumberger has extensive experience in working with its customers during difficult times to manage its accounts receivable. During weak economic environments or when there is an extended period of weakness in oil and gas prices, Schlumberger typically experiences delays in the payment of its receivables. However, except as described below, Schlumberger has not had material write-offs due to uncollectible accounts receivable over the recent industry downturn. Schlumberger operates in more than 85 countries. As of December 31, 2017, only five of those countries individually accounted for greater than 5% of Schlumberger’s net receivables balance, of which only one (the United States) accounted for greater than 10% of such receivables.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the second quarter of 2017, Schlumberger entered into a financing agreement with its primary customer in Venezuela. This agreement resulted in the exchange of $700 million of outstanding accounts receivable for promissory notes with a three-year term that bear interest at the rate of 6.50% per annum. Schlumberger recorded these notes at their estimated fair value on the date of the exchange, which resulted in a pretax and after-tax charge of $460 million. As a result, the cost basis of the promissory note was $240 million as of June 30, 2017.</w:t>
      </w:r>
    </w:p>
    <w:p>
      <w:pPr>
        <w:spacing w:after="0" w:line="17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April 2016, Schlumberger announced that it was reducing its activity in Venezuela to align operations with cash collections as a result of insufficient payments on outstanding receivables. Schlumberger also previously disclosed that its judgment regarding the collectibility of its receivables and promissory notes in Venezuela is sensitive to the political and economic conditions in the country and that, if conditions in Venezuela worsen, Schlumberger may be required to record adjustments to the carrying value of these assets. During the fourth quarter of 2017, conditions in Venezuela further deteriorated such that Schlumberger determined it was appropriate to write-off the remaining outstanding receivable balance of approximately $469 million and record an impairment charge of $105 million related to the aforementioned promissory notes, in order to write-down the cost basis of such notes to their estimated fair value as of December 31,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i w:val="1"/>
          <w:iCs w:val="1"/>
          <w:color w:val="auto"/>
        </w:rPr>
        <w:t>Goodwill, Intangible Assets and Long-Lived Assets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Schlumberger records the excess of purchase price over the fair value of the tangible and identifiable intangible assets acquired and liabilities assumed as goodwill. The goodwill relating to each of Schlumberger’s reporting units is tested for impairment annually as well as when an event, or change in circumstances, indicates an impairment may have occurred.</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of its reporting units is greater than its carrying amount. If, after assessing the totality of events or circumstances, Schlumberger determines it is more likely than not that the fair value of a reporting unit is greater than its carrying amount, there is no need to perform any further testing. However, if Schlumberger concludes otherwise, then it is required to perform a quantitative impairment test by calculating the fair value of the reporting unit and comparing the fair value with the carrying amount of the reporting unit. If the fair value of the reporting unit is less than its carrying value, an impairment loss is recorded based on that difference.</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Schlumberger has the option to bypass the qualitative assessment for any reporting unit in any period and proceed directly to performing the quantitative goodwill impairment test.</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purposes of performing the impairment test for goodwill, Schlumberger’s reporting units are its four Groups: Reservoir Characterization, Drilling, Production and Cameron. Schlumberger elected to perform the qualitative assessment described above for purposes of its annual goodwill impairment test in 2017. Based on this assessment, Schlumberger concluded that it was more likely than not that the fair value of each of its reporting units was greater than its carrying amount. Accordingly, no further testing was required.</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Long-lived assets, including fixed assets, intangible assets and investments in SPM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1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Schlumberger conducts business in more than 100 tax jurisdictions, a number of which have tax laws that are not fully defined and are evolving. Schlumberger’s tax filings are subject to regular audits by the tax authorities. These audits may result in assessments for additional taxes that are resolved 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the ultimate resolution of audits may result in liabilities that could be materially different from these estimates. In such an event, Schlumberger will record additional tax expense or tax benefit in the period in which such resolution occurs.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Percentage-of-Completion Revenue Recognition</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Schlumberger uses the percentage-of-completion method to account for certain long-term construction-type contracts. These contracts involve significant design and engineering efforts in order to satisfy custom designs for customer-specific applications. Under the percentage-of-completion method, revenue is recognized as work progresses on each contract. Progress is measured by the ratio of actual costs incurred to date on the project in relation to total estimated project costs.</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estimate of total project costs has a significant impact on both the amount of revenue recognized as well as the related profit on a project. Revenue and profits on contracts can also be significantly affected by change orders and claims. Profits are recognized based on the estimated project profit multiplied by the percentage complete. Due to the nature of these projects, adjustments to estimates of contract revenue and total contract costs are often required as work progresses. Any expected losses on a project are recorded in full in the period in which they become probable.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Approximately 7% of Schlumberger’s revenue in 2017 was recognized under the percentage-of-completion method.</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and Postretirement Benefits</w:t>
      </w:r>
    </w:p>
    <w:p>
      <w:pPr>
        <w:spacing w:after="0" w:line="116"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 xml:space="preserve">Schlumberger’s pension and postretirement benefit obligations are described in detail in Note 18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The obligations and related costs are calculated using actuarial concepts, which include critical assumptions related to the discount rate, expected rate of return on plan assets and medical cost trend rates. These assumptions are important elements of expense and/or liability measurement and are updated on an annual basis, or upon the occurrence of significant events.</w:t>
      </w:r>
    </w:p>
    <w:p>
      <w:pPr>
        <w:spacing w:after="0" w:line="176"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The discount rate that Schlumberger uses reflects the prevailing market rate of a portfolio of high-quality debt instruments with maturities matching the expected timing of payment of the related benefit obligations. The following summarizes the discount rates utilized by Schlumberger for its various pension and postretirement benefit plans:</w:t>
      </w:r>
    </w:p>
    <w:p>
      <w:pPr>
        <w:spacing w:after="0" w:line="68" w:lineRule="exact"/>
        <w:rPr>
          <w:sz w:val="20"/>
          <w:szCs w:val="20"/>
          <w:color w:val="auto"/>
        </w:rPr>
      </w:pPr>
    </w:p>
    <w:p>
      <w:pPr>
        <w:ind w:left="1020" w:right="40" w:hanging="379"/>
        <w:spacing w:after="0" w:line="285"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discount rate utilized to determine the liability for Schlumberger’s United States pension plans and postretirement medical plan was 3.70% at December 31, 2017 and 4.20% at December 31, 2016.</w:t>
      </w:r>
    </w:p>
    <w:p>
      <w:pPr>
        <w:spacing w:after="0" w:line="55" w:lineRule="exact"/>
        <w:rPr>
          <w:rFonts w:ascii="Arial" w:cs="Arial" w:eastAsia="Arial" w:hAnsi="Arial"/>
          <w:sz w:val="17"/>
          <w:szCs w:val="17"/>
          <w:color w:val="auto"/>
        </w:rPr>
      </w:pPr>
    </w:p>
    <w:p>
      <w:pPr>
        <w:ind w:left="1020" w:right="40" w:hanging="379"/>
        <w:spacing w:after="0" w:line="285"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weighted-average discount rate utilized to determine the liability for Schlumberger’s international pension plans was 3.55% at December 31, 2017 and 4.13% at December 31, 2016.</w:t>
      </w:r>
    </w:p>
    <w:p>
      <w:pPr>
        <w:spacing w:after="0" w:line="55" w:lineRule="exact"/>
        <w:rPr>
          <w:rFonts w:ascii="Arial" w:cs="Arial" w:eastAsia="Arial" w:hAnsi="Arial"/>
          <w:sz w:val="17"/>
          <w:szCs w:val="17"/>
          <w:color w:val="auto"/>
        </w:rPr>
      </w:pPr>
    </w:p>
    <w:p>
      <w:pPr>
        <w:ind w:left="1020" w:right="40" w:hanging="379"/>
        <w:spacing w:after="0" w:line="285"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weighted-average discount rate utilized to determine expense for Schlumberger’s United States pension plans and postretirement medical plan decreased from 4.50% in 2016 to 4.20% in 2017.</w:t>
      </w:r>
    </w:p>
    <w:p>
      <w:pPr>
        <w:spacing w:after="0" w:line="55" w:lineRule="exact"/>
        <w:rPr>
          <w:rFonts w:ascii="Arial" w:cs="Arial" w:eastAsia="Arial" w:hAnsi="Arial"/>
          <w:sz w:val="17"/>
          <w:szCs w:val="17"/>
          <w:color w:val="auto"/>
        </w:rPr>
      </w:pPr>
    </w:p>
    <w:p>
      <w:pPr>
        <w:ind w:left="1020" w:right="40" w:hanging="379"/>
        <w:spacing w:after="0" w:line="285"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weighted-average discount rate utilized to determine expense for Schlumberger’s international pension plans decreased from 4.36% in 2016 to 4.13% in 2017.</w:t>
      </w:r>
    </w:p>
    <w:p>
      <w:pPr>
        <w:spacing w:after="0" w:line="159" w:lineRule="exact"/>
        <w:rPr>
          <w:sz w:val="20"/>
          <w:szCs w:val="20"/>
          <w:color w:val="auto"/>
        </w:rPr>
      </w:pPr>
    </w:p>
    <w:p>
      <w:pPr>
        <w:jc w:val="both"/>
        <w:ind w:right="40"/>
        <w:spacing w:after="0" w:line="261" w:lineRule="auto"/>
        <w:rPr>
          <w:sz w:val="20"/>
          <w:szCs w:val="20"/>
          <w:color w:val="auto"/>
        </w:rPr>
      </w:pPr>
      <w:r>
        <w:rPr>
          <w:rFonts w:ascii="Arial" w:cs="Arial" w:eastAsia="Arial" w:hAnsi="Arial"/>
          <w:sz w:val="17"/>
          <w:szCs w:val="17"/>
          <w:color w:val="auto"/>
        </w:rPr>
        <w:t>The expected rate of return for Schlumberger’s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expected rates of return for the investment portfolio, with consideration given to the distribution of investments by asset class and historical rates of return for each individual asset class. The weighted average expected rate of return on plan assets for the United States pension plans was 7.25% in both 2017 and 2016. The weighted average expected rate of return on plan assets for the international pension plans was 7.40% in both 2017 and 2016. A lower expected rate of return would increase pension expense.</w:t>
      </w:r>
    </w:p>
    <w:p>
      <w:pPr>
        <w:spacing w:after="0" w:line="180"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Schlumberger’s medical cost trend rate assumptions are developed based on historical cost data, the near-term outlook and an assessment of likely long-term trends. The overall medical cost trend rate assumption utilized to determine the 2017 postretirement medical expense was 7.25% graded to 5.0% over the next nine years. The overall medical trend rate assumption utilized to determine the postretirement medical liability at December 31, 2017 was 7.25% graded to 5.0% over the next nine years.</w:t>
      </w:r>
    </w:p>
    <w:p>
      <w:pPr>
        <w:spacing w:after="0" w:line="176"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The following illustrates the sensitivity to changes in certain assumptions, holding all other assumptions constant, for Schlumberger’s United States and international pension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ind w:left="54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1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Effect on 2017</w:t>
            </w:r>
          </w:p>
        </w:tc>
        <w:tc>
          <w:tcPr>
            <w:tcW w:w="17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Effect 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7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Change in Assumption</w:t>
            </w:r>
          </w:p>
        </w:tc>
        <w:tc>
          <w:tcPr>
            <w:tcW w:w="3060" w:type="dxa"/>
            <w:vAlign w:val="bottom"/>
          </w:tcPr>
          <w:p>
            <w:pPr>
              <w:spacing w:after="0"/>
              <w:rPr>
                <w:sz w:val="19"/>
                <w:szCs w:val="19"/>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Pretax Pension</w:t>
            </w:r>
          </w:p>
        </w:tc>
        <w:tc>
          <w:tcPr>
            <w:tcW w:w="17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Dec. 31, 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760" w:type="dxa"/>
            <w:vAlign w:val="bottom"/>
            <w:gridSpan w:val="2"/>
            <w:vMerge w:val="continue"/>
          </w:tcPr>
          <w:p>
            <w:pPr>
              <w:spacing w:after="0"/>
              <w:rPr>
                <w:sz w:val="15"/>
                <w:szCs w:val="15"/>
                <w:color w:val="auto"/>
              </w:rPr>
            </w:pPr>
          </w:p>
        </w:tc>
        <w:tc>
          <w:tcPr>
            <w:tcW w:w="3060" w:type="dxa"/>
            <w:vAlign w:val="bottom"/>
          </w:tcPr>
          <w:p>
            <w:pPr>
              <w:spacing w:after="0"/>
              <w:rPr>
                <w:sz w:val="15"/>
                <w:szCs w:val="15"/>
                <w:color w:val="auto"/>
              </w:rPr>
            </w:pPr>
          </w:p>
        </w:tc>
        <w:tc>
          <w:tcPr>
            <w:tcW w:w="1880" w:type="dxa"/>
            <w:vAlign w:val="bottom"/>
            <w:gridSpan w:val="2"/>
          </w:tcPr>
          <w:p>
            <w:pPr>
              <w:jc w:val="center"/>
              <w:ind w:right="200"/>
              <w:spacing w:after="0" w:line="182" w:lineRule="exact"/>
              <w:rPr>
                <w:sz w:val="20"/>
                <w:szCs w:val="20"/>
                <w:color w:val="auto"/>
              </w:rPr>
            </w:pPr>
            <w:r>
              <w:rPr>
                <w:rFonts w:ascii="Arial" w:cs="Arial" w:eastAsia="Arial" w:hAnsi="Arial"/>
                <w:sz w:val="17"/>
                <w:szCs w:val="17"/>
                <w:color w:val="auto"/>
                <w:w w:val="90"/>
              </w:rPr>
              <w:t>Expense</w:t>
            </w:r>
          </w:p>
        </w:tc>
        <w:tc>
          <w:tcPr>
            <w:tcW w:w="1720" w:type="dxa"/>
            <w:vAlign w:val="bottom"/>
            <w:gridSpan w:val="2"/>
          </w:tcPr>
          <w:p>
            <w:pPr>
              <w:jc w:val="center"/>
              <w:ind w:right="100"/>
              <w:spacing w:after="0" w:line="182" w:lineRule="exact"/>
              <w:rPr>
                <w:sz w:val="20"/>
                <w:szCs w:val="20"/>
                <w:color w:val="auto"/>
              </w:rPr>
            </w:pPr>
            <w:r>
              <w:rPr>
                <w:rFonts w:ascii="Arial" w:cs="Arial" w:eastAsia="Arial" w:hAnsi="Arial"/>
                <w:sz w:val="17"/>
                <w:szCs w:val="17"/>
                <w:color w:val="auto"/>
              </w:rPr>
              <w:t>Liability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auto"/>
              <w:bottom w:val="single" w:sz="8" w:color="CFF0FC"/>
            </w:tcBorders>
          </w:tcPr>
          <w:p>
            <w:pPr>
              <w:spacing w:after="0" w:line="20" w:lineRule="exact"/>
              <w:rPr>
                <w:sz w:val="1"/>
                <w:szCs w:val="1"/>
                <w:color w:val="auto"/>
              </w:rPr>
            </w:pPr>
          </w:p>
        </w:tc>
        <w:tc>
          <w:tcPr>
            <w:tcW w:w="3080" w:type="dxa"/>
            <w:vAlign w:val="bottom"/>
            <w:tcBorders>
              <w:bottom w:val="single" w:sz="8" w:color="CFF0FC"/>
            </w:tcBorders>
          </w:tcPr>
          <w:p>
            <w:pPr>
              <w:spacing w:after="0" w:line="20" w:lineRule="exact"/>
              <w:rPr>
                <w:sz w:val="1"/>
                <w:szCs w:val="1"/>
                <w:color w:val="auto"/>
              </w:rPr>
            </w:pPr>
          </w:p>
        </w:tc>
        <w:tc>
          <w:tcPr>
            <w:tcW w:w="3060" w:type="dxa"/>
            <w:vAlign w:val="bottom"/>
            <w:tcBorders>
              <w:bottom w:val="single" w:sz="8" w:color="CFF0FC"/>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25 basis point decrease in discount rate</w:t>
            </w:r>
          </w:p>
        </w:tc>
        <w:tc>
          <w:tcPr>
            <w:tcW w:w="47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60" w:type="dxa"/>
            <w:vAlign w:val="bottom"/>
            <w:gridSpan w:val="2"/>
          </w:tcPr>
          <w:p>
            <w:pPr>
              <w:spacing w:after="0"/>
              <w:rPr>
                <w:sz w:val="20"/>
                <w:szCs w:val="20"/>
                <w:color w:val="auto"/>
              </w:rPr>
            </w:pPr>
            <w:r>
              <w:rPr>
                <w:rFonts w:ascii="Arial" w:cs="Arial" w:eastAsia="Arial" w:hAnsi="Arial"/>
                <w:sz w:val="17"/>
                <w:szCs w:val="17"/>
                <w:color w:val="auto"/>
              </w:rPr>
              <w:t>25 basis point increase in discount rate</w:t>
            </w: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-$37</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25 basis point decrease in expected return on plan assets</w:t>
            </w:r>
          </w:p>
        </w:tc>
        <w:tc>
          <w:tcPr>
            <w:tcW w:w="47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60" w:type="dxa"/>
            <w:vAlign w:val="bottom"/>
            <w:gridSpan w:val="2"/>
          </w:tcPr>
          <w:p>
            <w:pPr>
              <w:spacing w:after="0"/>
              <w:rPr>
                <w:sz w:val="20"/>
                <w:szCs w:val="20"/>
                <w:color w:val="auto"/>
              </w:rPr>
            </w:pPr>
            <w:r>
              <w:rPr>
                <w:rFonts w:ascii="Arial" w:cs="Arial" w:eastAsia="Arial" w:hAnsi="Arial"/>
                <w:sz w:val="17"/>
                <w:szCs w:val="17"/>
                <w:color w:val="auto"/>
              </w:rPr>
              <w:t>25 basis point increase in expected return on plan assets</w:t>
            </w: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4"/>
        </w:trPr>
        <w:tc>
          <w:tcPr>
            <w:tcW w:w="1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60" w:type="dxa"/>
            <w:vAlign w:val="bottom"/>
          </w:tcPr>
          <w:p>
            <w:pPr>
              <w:jc w:val="right"/>
              <w:ind w:right="1933"/>
              <w:spacing w:after="0"/>
              <w:rPr>
                <w:sz w:val="20"/>
                <w:szCs w:val="20"/>
                <w:color w:val="auto"/>
              </w:rPr>
            </w:pPr>
            <w:r>
              <w:rPr>
                <w:rFonts w:ascii="Arial" w:cs="Arial" w:eastAsia="Arial" w:hAnsi="Arial"/>
                <w:sz w:val="17"/>
                <w:szCs w:val="17"/>
                <w:color w:val="auto"/>
              </w:rPr>
              <w:t>27</w:t>
            </w: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6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5" w:right="199" w:bottom="1440" w:gutter="0" w:footer="0" w:header="0"/>
        </w:sectPr>
      </w:pPr>
    </w:p>
    <w:bookmarkStart w:id="27" w:name="page28"/>
    <w:bookmarkEnd w:id="27"/>
    <w:p>
      <w:pPr>
        <w:jc w:val="both"/>
        <w:spacing w:after="0" w:line="285" w:lineRule="auto"/>
        <w:rPr>
          <w:sz w:val="20"/>
          <w:szCs w:val="20"/>
          <w:color w:val="auto"/>
        </w:rPr>
      </w:pPr>
      <w:r>
        <w:rPr>
          <w:rFonts w:ascii="Arial" w:cs="Arial" w:eastAsia="Arial" w:hAnsi="Arial"/>
          <w:sz w:val="17"/>
          <w:szCs w:val="17"/>
          <w:color w:val="auto"/>
        </w:rPr>
        <w:t>The following illustrates the sensitivity to changes in certain assumptions, holding all other assumptions constant, for Schlumberger’s United States postretirement medical plans: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8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8"/>
        </w:trPr>
        <w:tc>
          <w:tcPr>
            <w:tcW w:w="16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400" w:type="dxa"/>
            <w:vAlign w:val="bottom"/>
          </w:tcPr>
          <w:p>
            <w:pPr>
              <w:jc w:val="center"/>
              <w:ind w:left="213"/>
              <w:spacing w:after="0"/>
              <w:rPr>
                <w:sz w:val="20"/>
                <w:szCs w:val="20"/>
                <w:color w:val="auto"/>
              </w:rPr>
            </w:pPr>
            <w:r>
              <w:rPr>
                <w:rFonts w:ascii="Arial" w:cs="Arial" w:eastAsia="Arial" w:hAnsi="Arial"/>
                <w:sz w:val="17"/>
                <w:szCs w:val="17"/>
                <w:color w:val="auto"/>
                <w:w w:val="92"/>
              </w:rPr>
              <w:t>Effect on 2017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5"/>
              </w:rPr>
              <w:t>Effect on</w:t>
            </w:r>
          </w:p>
        </w:tc>
        <w:tc>
          <w:tcPr>
            <w:tcW w:w="0" w:type="dxa"/>
            <w:vAlign w:val="bottom"/>
          </w:tcPr>
          <w:p>
            <w:pPr>
              <w:spacing w:after="0"/>
              <w:rPr>
                <w:sz w:val="1"/>
                <w:szCs w:val="1"/>
                <w:color w:val="auto"/>
              </w:rPr>
            </w:pPr>
          </w:p>
        </w:tc>
      </w:tr>
      <w:tr>
        <w:trPr>
          <w:trHeight w:val="221"/>
        </w:trPr>
        <w:tc>
          <w:tcPr>
            <w:tcW w:w="78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Change in Assumption</w:t>
            </w:r>
          </w:p>
        </w:tc>
        <w:tc>
          <w:tcPr>
            <w:tcW w:w="1400" w:type="dxa"/>
            <w:vAlign w:val="bottom"/>
          </w:tcPr>
          <w:p>
            <w:pPr>
              <w:jc w:val="center"/>
              <w:ind w:left="193"/>
              <w:spacing w:after="0"/>
              <w:rPr>
                <w:sz w:val="20"/>
                <w:szCs w:val="20"/>
                <w:color w:val="auto"/>
              </w:rPr>
            </w:pPr>
            <w:r>
              <w:rPr>
                <w:rFonts w:ascii="Arial" w:cs="Arial" w:eastAsia="Arial" w:hAnsi="Arial"/>
                <w:sz w:val="17"/>
                <w:szCs w:val="17"/>
                <w:color w:val="auto"/>
                <w:w w:val="90"/>
              </w:rPr>
              <w:t>Pretax Pension</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0"/>
              </w:rPr>
              <w:t>Dec. 31, 2017</w:t>
            </w:r>
          </w:p>
        </w:tc>
        <w:tc>
          <w:tcPr>
            <w:tcW w:w="0" w:type="dxa"/>
            <w:vAlign w:val="bottom"/>
          </w:tcPr>
          <w:p>
            <w:pPr>
              <w:spacing w:after="0"/>
              <w:rPr>
                <w:sz w:val="1"/>
                <w:szCs w:val="1"/>
                <w:color w:val="auto"/>
              </w:rPr>
            </w:pPr>
          </w:p>
        </w:tc>
      </w:tr>
      <w:tr>
        <w:trPr>
          <w:trHeight w:val="182"/>
        </w:trPr>
        <w:tc>
          <w:tcPr>
            <w:tcW w:w="7820" w:type="dxa"/>
            <w:vAlign w:val="bottom"/>
            <w:gridSpan w:val="2"/>
            <w:vMerge w:val="continue"/>
          </w:tcPr>
          <w:p>
            <w:pPr>
              <w:spacing w:after="0"/>
              <w:rPr>
                <w:sz w:val="15"/>
                <w:szCs w:val="15"/>
                <w:color w:val="auto"/>
              </w:rPr>
            </w:pPr>
          </w:p>
        </w:tc>
        <w:tc>
          <w:tcPr>
            <w:tcW w:w="1400" w:type="dxa"/>
            <w:vAlign w:val="bottom"/>
          </w:tcPr>
          <w:p>
            <w:pPr>
              <w:jc w:val="center"/>
              <w:ind w:left="193"/>
              <w:spacing w:after="0" w:line="182" w:lineRule="exact"/>
              <w:rPr>
                <w:sz w:val="20"/>
                <w:szCs w:val="20"/>
                <w:color w:val="auto"/>
              </w:rPr>
            </w:pPr>
            <w:r>
              <w:rPr>
                <w:rFonts w:ascii="Arial" w:cs="Arial" w:eastAsia="Arial" w:hAnsi="Arial"/>
                <w:sz w:val="17"/>
                <w:szCs w:val="17"/>
                <w:color w:val="auto"/>
                <w:w w:val="90"/>
              </w:rPr>
              <w:t>Expense</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center"/>
              <w:spacing w:after="0" w:line="182" w:lineRule="exact"/>
              <w:rPr>
                <w:sz w:val="20"/>
                <w:szCs w:val="20"/>
                <w:color w:val="auto"/>
              </w:rPr>
            </w:pPr>
            <w:r>
              <w:rPr>
                <w:rFonts w:ascii="Arial" w:cs="Arial" w:eastAsia="Arial" w:hAnsi="Arial"/>
                <w:sz w:val="17"/>
                <w:szCs w:val="17"/>
                <w:color w:val="auto"/>
              </w:rPr>
              <w:t>Liability</w:t>
            </w:r>
          </w:p>
        </w:tc>
        <w:tc>
          <w:tcPr>
            <w:tcW w:w="0" w:type="dxa"/>
            <w:vAlign w:val="bottom"/>
          </w:tcPr>
          <w:p>
            <w:pPr>
              <w:spacing w:after="0"/>
              <w:rPr>
                <w:sz w:val="1"/>
                <w:szCs w:val="1"/>
                <w:color w:val="auto"/>
              </w:rPr>
            </w:pPr>
          </w:p>
        </w:tc>
      </w:tr>
      <w:tr>
        <w:trPr>
          <w:trHeight w:val="20"/>
        </w:trPr>
        <w:tc>
          <w:tcPr>
            <w:tcW w:w="1680" w:type="dxa"/>
            <w:vAlign w:val="bottom"/>
            <w:tcBorders>
              <w:top w:val="single" w:sz="8" w:color="auto"/>
              <w:bottom w:val="single" w:sz="8" w:color="CFF0FC"/>
            </w:tcBorders>
          </w:tcPr>
          <w:p>
            <w:pPr>
              <w:spacing w:after="0" w:line="20" w:lineRule="exact"/>
              <w:rPr>
                <w:sz w:val="1"/>
                <w:szCs w:val="1"/>
                <w:color w:val="auto"/>
              </w:rPr>
            </w:pPr>
          </w:p>
        </w:tc>
        <w:tc>
          <w:tcPr>
            <w:tcW w:w="6140" w:type="dxa"/>
            <w:vAlign w:val="bottom"/>
            <w:tcBorders>
              <w:bottom w:val="single" w:sz="8" w:color="CFF0FC"/>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25 basis point decrease in discount rate</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1"/>
        </w:trPr>
        <w:tc>
          <w:tcPr>
            <w:tcW w:w="7820" w:type="dxa"/>
            <w:vAlign w:val="bottom"/>
            <w:gridSpan w:val="2"/>
          </w:tcPr>
          <w:p>
            <w:pPr>
              <w:spacing w:after="0"/>
              <w:rPr>
                <w:sz w:val="20"/>
                <w:szCs w:val="20"/>
                <w:color w:val="auto"/>
              </w:rPr>
            </w:pPr>
            <w:r>
              <w:rPr>
                <w:rFonts w:ascii="Arial" w:cs="Arial" w:eastAsia="Arial" w:hAnsi="Arial"/>
                <w:sz w:val="17"/>
                <w:szCs w:val="17"/>
                <w:color w:val="auto"/>
              </w:rPr>
              <w:t>25 basis point increase in discount rate</w:t>
            </w:r>
          </w:p>
        </w:tc>
        <w:tc>
          <w:tcPr>
            <w:tcW w:w="14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1"/>
        </w:trPr>
        <w:tc>
          <w:tcPr>
            <w:tcW w:w="7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100 basis point decrease per annum in medical cost trend rate</w:t>
            </w: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1"/>
        </w:trPr>
        <w:tc>
          <w:tcPr>
            <w:tcW w:w="7820" w:type="dxa"/>
            <w:vAlign w:val="bottom"/>
            <w:gridSpan w:val="2"/>
          </w:tcPr>
          <w:p>
            <w:pPr>
              <w:spacing w:after="0"/>
              <w:rPr>
                <w:sz w:val="20"/>
                <w:szCs w:val="20"/>
                <w:color w:val="auto"/>
              </w:rPr>
            </w:pPr>
            <w:r>
              <w:rPr>
                <w:rFonts w:ascii="Arial" w:cs="Arial" w:eastAsia="Arial" w:hAnsi="Arial"/>
                <w:sz w:val="17"/>
                <w:szCs w:val="17"/>
                <w:color w:val="auto"/>
              </w:rPr>
              <w:t>100 basis point increase per annum in medical cost trend rate</w:t>
            </w:r>
          </w:p>
        </w:tc>
        <w:tc>
          <w:tcPr>
            <w:tcW w:w="14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6"/>
              </w:rPr>
              <w:t>+$3</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7A. Quantitative and Qualitative Disclosures About Market Risk.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Schlumberger is subject to market risks primarily associated with changes in foreign currency exchange rates and interest rates.</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a multinational company, Schlumberger operates in more than 85 countries. Schlumberger’s functional currency is primarily the US dollar. Approximately 78% of Schlumberger’s revenue in 2017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Schlumberger maintains a foreign-currency risk management strategy that uses derivative instruments to manage the impact of changes in foreign exchange rates on its earnings. Schlumberger enters into foreign currency forward contracts to provide a hedge against currency fluctuations on certain monetary assets and liabilities, and certain expenses denominated in currencies other than the functional currency.</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 10% appreciation in the US dollar from the December 31, 2017 market rates would increase the unrealized value of Schlumberger’s forward contracts by $123 million. Conversely, a 10% depreciation in the US dollar from the December 31, 2017 market rates would decrease the unrealized value of Schlumberger’s forward contracts by $74 million. In either scenario, the gain or loss on the forward contract would be offset by the gain or loss on the underlying transaction, and therefore, would have no impact on future earnings.</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At December 31, 2017, contracts were outstanding for the US dollar equivalent of $5.0 billion in various foreign currencies of which $1.8 billion related to hedges of debt balances denominated in currencies other than the functional currency.</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 At December 31, 2017, Schlumberger had fixed rate debt aggregating approximately $14.2 billion and variable rate debt aggregating approximately $4.0 billion, before considering the effects of cross currency swaps.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Schlumberger’s exposure to interest rate risk associated with its debt is also partially mitigated by its investment portfolio. </w:t>
      </w:r>
      <w:r>
        <w:rPr>
          <w:rFonts w:ascii="Arial" w:cs="Arial" w:eastAsia="Arial" w:hAnsi="Arial"/>
          <w:sz w:val="17"/>
          <w:szCs w:val="17"/>
          <w:i w:val="1"/>
          <w:iCs w:val="1"/>
          <w:color w:val="auto"/>
        </w:rPr>
        <w:t>Short-term investments,</w:t>
      </w:r>
      <w:r>
        <w:rPr>
          <w:rFonts w:ascii="Arial" w:cs="Arial" w:eastAsia="Arial" w:hAnsi="Arial"/>
          <w:sz w:val="17"/>
          <w:szCs w:val="17"/>
          <w:color w:val="auto"/>
        </w:rPr>
        <w:t xml:space="preserve"> which totaled approximately $3.3 billion at December 31, 2017, is comprised primarily of money market funds, time deposits, certificates of deposit, commercial paper, bonds and notes, substantially all of which are denominated in US dollars. The average return on investments was 1.3% in 2017.</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 following table reflects the carrying amounts of Schlumberger’s debt at December 31, 2017 by year of maturity:</w:t>
      </w:r>
    </w:p>
    <w:p>
      <w:pPr>
        <w:spacing w:after="0" w:line="292" w:lineRule="exact"/>
        <w:rPr>
          <w:sz w:val="20"/>
          <w:szCs w:val="20"/>
          <w:color w:val="auto"/>
        </w:rPr>
      </w:pPr>
    </w:p>
    <w:p>
      <w:pPr>
        <w:ind w:left="10240"/>
        <w:spacing w:after="0"/>
        <w:rPr>
          <w:sz w:val="20"/>
          <w:szCs w:val="20"/>
          <w:color w:val="auto"/>
        </w:rPr>
      </w:pPr>
      <w:r>
        <w:rPr>
          <w:rFonts w:ascii="Arial" w:cs="Arial" w:eastAsia="Arial" w:hAnsi="Arial"/>
          <w:sz w:val="14"/>
          <w:szCs w:val="14"/>
          <w:i w:val="1"/>
          <w:i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280670</wp:posOffset>
            </wp:positionV>
            <wp:extent cx="54946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5"/>
              <w:spacing w:after="0"/>
              <w:rPr>
                <w:sz w:val="20"/>
                <w:szCs w:val="20"/>
                <w:color w:val="auto"/>
              </w:rPr>
            </w:pPr>
            <w:r>
              <w:rPr>
                <w:rFonts w:ascii="Arial" w:cs="Arial" w:eastAsia="Arial" w:hAnsi="Arial"/>
                <w:sz w:val="16"/>
                <w:szCs w:val="16"/>
                <w:color w:val="auto"/>
                <w:w w:val="95"/>
              </w:rPr>
              <w:t>2018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5"/>
              <w:spacing w:after="0"/>
              <w:rPr>
                <w:sz w:val="20"/>
                <w:szCs w:val="20"/>
                <w:color w:val="auto"/>
              </w:rPr>
            </w:pPr>
            <w:r>
              <w:rPr>
                <w:rFonts w:ascii="Arial" w:cs="Arial" w:eastAsia="Arial" w:hAnsi="Arial"/>
                <w:sz w:val="16"/>
                <w:szCs w:val="16"/>
                <w:color w:val="auto"/>
                <w:w w:val="95"/>
              </w:rPr>
              <w:t>2019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5"/>
              <w:spacing w:after="0"/>
              <w:rPr>
                <w:sz w:val="20"/>
                <w:szCs w:val="20"/>
                <w:color w:val="auto"/>
              </w:rPr>
            </w:pPr>
            <w:r>
              <w:rPr>
                <w:rFonts w:ascii="Arial" w:cs="Arial" w:eastAsia="Arial" w:hAnsi="Arial"/>
                <w:sz w:val="16"/>
                <w:szCs w:val="16"/>
                <w:color w:val="auto"/>
                <w:w w:val="95"/>
              </w:rPr>
              <w:t>2020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5"/>
              <w:spacing w:after="0"/>
              <w:rPr>
                <w:sz w:val="20"/>
                <w:szCs w:val="20"/>
                <w:color w:val="auto"/>
              </w:rPr>
            </w:pPr>
            <w:r>
              <w:rPr>
                <w:rFonts w:ascii="Arial" w:cs="Arial" w:eastAsia="Arial" w:hAnsi="Arial"/>
                <w:sz w:val="16"/>
                <w:szCs w:val="16"/>
                <w:color w:val="auto"/>
                <w:w w:val="95"/>
              </w:rPr>
              <w:t>2021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4"/>
              <w:spacing w:after="0"/>
              <w:rPr>
                <w:sz w:val="20"/>
                <w:szCs w:val="20"/>
                <w:color w:val="auto"/>
              </w:rPr>
            </w:pPr>
            <w:r>
              <w:rPr>
                <w:rFonts w:ascii="Arial" w:cs="Arial" w:eastAsia="Arial" w:hAnsi="Arial"/>
                <w:sz w:val="16"/>
                <w:szCs w:val="16"/>
                <w:color w:val="auto"/>
                <w:w w:val="95"/>
              </w:rPr>
              <w:t>2022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115"/>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5"/>
              <w:spacing w:after="0"/>
              <w:rPr>
                <w:sz w:val="20"/>
                <w:szCs w:val="20"/>
                <w:color w:val="auto"/>
              </w:rPr>
            </w:pPr>
            <w:r>
              <w:rPr>
                <w:rFonts w:ascii="Arial" w:cs="Arial" w:eastAsia="Arial" w:hAnsi="Arial"/>
                <w:sz w:val="16"/>
                <w:szCs w:val="16"/>
                <w:color w:val="auto"/>
                <w:w w:val="95"/>
              </w:rPr>
              <w:t>2024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5"/>
              <w:spacing w:after="0"/>
              <w:rPr>
                <w:sz w:val="20"/>
                <w:szCs w:val="20"/>
                <w:color w:val="auto"/>
              </w:rPr>
            </w:pPr>
            <w:r>
              <w:rPr>
                <w:rFonts w:ascii="Arial" w:cs="Arial" w:eastAsia="Arial" w:hAnsi="Arial"/>
                <w:sz w:val="16"/>
                <w:szCs w:val="16"/>
                <w:color w:val="auto"/>
                <w:w w:val="95"/>
              </w:rPr>
              <w:t>2025</w:t>
            </w:r>
          </w:p>
        </w:tc>
        <w:tc>
          <w:tcPr>
            <w:tcW w:w="18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Total</w:t>
            </w:r>
          </w:p>
        </w:tc>
      </w:tr>
      <w:tr>
        <w:trPr>
          <w:trHeight w:val="220"/>
        </w:trPr>
        <w:tc>
          <w:tcPr>
            <w:tcW w:w="2660" w:type="dxa"/>
            <w:vAlign w:val="bottom"/>
            <w:gridSpan w:val="2"/>
          </w:tcPr>
          <w:p>
            <w:pPr>
              <w:spacing w:after="0"/>
              <w:rPr>
                <w:sz w:val="20"/>
                <w:szCs w:val="20"/>
                <w:color w:val="auto"/>
              </w:rPr>
            </w:pPr>
            <w:r>
              <w:rPr>
                <w:rFonts w:ascii="Arial" w:cs="Arial" w:eastAsia="Arial" w:hAnsi="Arial"/>
                <w:sz w:val="17"/>
                <w:szCs w:val="17"/>
                <w:b w:val="1"/>
                <w:bCs w:val="1"/>
                <w:color w:val="auto"/>
              </w:rPr>
              <w:t>Fixed rate debt</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2.35%</w:t>
            </w:r>
          </w:p>
        </w:tc>
        <w:tc>
          <w:tcPr>
            <w:tcW w:w="2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Senior Notes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1,298</w:t>
            </w:r>
          </w:p>
        </w:tc>
        <w:tc>
          <w:tcPr>
            <w:tcW w:w="12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6.38%</w:t>
            </w:r>
          </w:p>
        </w:tc>
        <w:tc>
          <w:tcPr>
            <w:tcW w:w="2180" w:type="dxa"/>
            <w:vAlign w:val="bottom"/>
          </w:tcPr>
          <w:p>
            <w:pPr>
              <w:ind w:left="20"/>
              <w:spacing w:after="0"/>
              <w:rPr>
                <w:sz w:val="20"/>
                <w:szCs w:val="20"/>
                <w:color w:val="auto"/>
              </w:rPr>
            </w:pPr>
            <w:r>
              <w:rPr>
                <w:rFonts w:ascii="Arial" w:cs="Arial" w:eastAsia="Arial" w:hAnsi="Arial"/>
                <w:sz w:val="17"/>
                <w:szCs w:val="17"/>
                <w:color w:val="auto"/>
              </w:rPr>
              <w:t>Notes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0.63%</w:t>
            </w:r>
          </w:p>
        </w:tc>
        <w:tc>
          <w:tcPr>
            <w:tcW w:w="2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Guaranteed Notes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712</w:t>
            </w:r>
          </w:p>
        </w:tc>
        <w:tc>
          <w:tcPr>
            <w:tcW w:w="12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1.50%</w:t>
            </w:r>
          </w:p>
        </w:tc>
        <w:tc>
          <w:tcPr>
            <w:tcW w:w="2180" w:type="dxa"/>
            <w:vAlign w:val="bottom"/>
          </w:tcPr>
          <w:p>
            <w:pPr>
              <w:ind w:left="20"/>
              <w:spacing w:after="0"/>
              <w:rPr>
                <w:sz w:val="20"/>
                <w:szCs w:val="20"/>
                <w:color w:val="auto"/>
              </w:rPr>
            </w:pPr>
            <w:r>
              <w:rPr>
                <w:rFonts w:ascii="Arial" w:cs="Arial" w:eastAsia="Arial" w:hAnsi="Arial"/>
                <w:sz w:val="17"/>
                <w:szCs w:val="17"/>
                <w:color w:val="auto"/>
              </w:rPr>
              <w:t>Guaranteed Notes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603</w:t>
            </w:r>
          </w:p>
        </w:tc>
        <w:tc>
          <w:tcPr>
            <w:tcW w:w="12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3.00%</w:t>
            </w:r>
          </w:p>
        </w:tc>
        <w:tc>
          <w:tcPr>
            <w:tcW w:w="2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Senior Notes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1,593</w:t>
            </w:r>
          </w:p>
        </w:tc>
        <w:tc>
          <w:tcPr>
            <w:tcW w:w="12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2.20%</w:t>
            </w:r>
          </w:p>
        </w:tc>
        <w:tc>
          <w:tcPr>
            <w:tcW w:w="2180" w:type="dxa"/>
            <w:vAlign w:val="bottom"/>
          </w:tcPr>
          <w:p>
            <w:pPr>
              <w:ind w:left="20"/>
              <w:spacing w:after="0"/>
              <w:rPr>
                <w:sz w:val="20"/>
                <w:szCs w:val="20"/>
                <w:color w:val="auto"/>
              </w:rPr>
            </w:pPr>
            <w:r>
              <w:rPr>
                <w:rFonts w:ascii="Arial" w:cs="Arial" w:eastAsia="Arial" w:hAnsi="Arial"/>
                <w:sz w:val="17"/>
                <w:szCs w:val="17"/>
                <w:color w:val="auto"/>
              </w:rPr>
              <w:t>Senior Notes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498</w:t>
            </w:r>
          </w:p>
        </w:tc>
        <w:tc>
          <w:tcPr>
            <w:tcW w:w="12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3.30%</w:t>
            </w:r>
          </w:p>
        </w:tc>
        <w:tc>
          <w:tcPr>
            <w:tcW w:w="2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Senior Notes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1,595</w:t>
            </w:r>
          </w:p>
        </w:tc>
        <w:tc>
          <w:tcPr>
            <w:tcW w:w="12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4.20%</w:t>
            </w:r>
          </w:p>
        </w:tc>
        <w:tc>
          <w:tcPr>
            <w:tcW w:w="2180" w:type="dxa"/>
            <w:vAlign w:val="bottom"/>
          </w:tcPr>
          <w:p>
            <w:pPr>
              <w:ind w:left="20"/>
              <w:spacing w:after="0"/>
              <w:rPr>
                <w:sz w:val="20"/>
                <w:szCs w:val="20"/>
                <w:color w:val="auto"/>
              </w:rPr>
            </w:pPr>
            <w:r>
              <w:rPr>
                <w:rFonts w:ascii="Arial" w:cs="Arial" w:eastAsia="Arial" w:hAnsi="Arial"/>
                <w:sz w:val="17"/>
                <w:szCs w:val="17"/>
                <w:color w:val="auto"/>
              </w:rPr>
              <w:t>Senior Notes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1,100</w:t>
            </w:r>
          </w:p>
        </w:tc>
        <w:tc>
          <w:tcPr>
            <w:tcW w:w="12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4.50%</w:t>
            </w:r>
          </w:p>
        </w:tc>
        <w:tc>
          <w:tcPr>
            <w:tcW w:w="2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Notes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12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2.40%</w:t>
            </w:r>
          </w:p>
        </w:tc>
        <w:tc>
          <w:tcPr>
            <w:tcW w:w="2180" w:type="dxa"/>
            <w:vAlign w:val="bottom"/>
          </w:tcPr>
          <w:p>
            <w:pPr>
              <w:ind w:left="20"/>
              <w:spacing w:after="0"/>
              <w:rPr>
                <w:sz w:val="20"/>
                <w:szCs w:val="20"/>
                <w:color w:val="auto"/>
              </w:rPr>
            </w:pPr>
            <w:r>
              <w:rPr>
                <w:rFonts w:ascii="Arial" w:cs="Arial" w:eastAsia="Arial" w:hAnsi="Arial"/>
                <w:sz w:val="17"/>
                <w:szCs w:val="17"/>
                <w:color w:val="auto"/>
              </w:rPr>
              <w:t>Senior Notes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996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996</w:t>
            </w:r>
          </w:p>
        </w:tc>
        <w:tc>
          <w:tcPr>
            <w:tcW w:w="12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3.63%</w:t>
            </w:r>
          </w:p>
        </w:tc>
        <w:tc>
          <w:tcPr>
            <w:tcW w:w="2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Senior Notes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846</w:t>
            </w:r>
          </w:p>
        </w:tc>
        <w:tc>
          <w:tcPr>
            <w:tcW w:w="12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2.65%</w:t>
            </w:r>
          </w:p>
        </w:tc>
        <w:tc>
          <w:tcPr>
            <w:tcW w:w="2180" w:type="dxa"/>
            <w:vAlign w:val="bottom"/>
          </w:tcPr>
          <w:p>
            <w:pPr>
              <w:ind w:left="20"/>
              <w:spacing w:after="0"/>
              <w:rPr>
                <w:sz w:val="20"/>
                <w:szCs w:val="20"/>
                <w:color w:val="auto"/>
              </w:rPr>
            </w:pPr>
            <w:r>
              <w:rPr>
                <w:rFonts w:ascii="Arial" w:cs="Arial" w:eastAsia="Arial" w:hAnsi="Arial"/>
                <w:sz w:val="17"/>
                <w:szCs w:val="17"/>
                <w:color w:val="auto"/>
              </w:rPr>
              <w:t>Senior Notes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598</w:t>
            </w:r>
          </w:p>
        </w:tc>
        <w:tc>
          <w:tcPr>
            <w:tcW w:w="12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3.60%</w:t>
            </w:r>
          </w:p>
        </w:tc>
        <w:tc>
          <w:tcPr>
            <w:tcW w:w="2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Notes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3.65%</w:t>
            </w:r>
          </w:p>
        </w:tc>
        <w:tc>
          <w:tcPr>
            <w:tcW w:w="2180" w:type="dxa"/>
            <w:vAlign w:val="bottom"/>
          </w:tcPr>
          <w:p>
            <w:pPr>
              <w:ind w:left="20"/>
              <w:spacing w:after="0"/>
              <w:rPr>
                <w:sz w:val="20"/>
                <w:szCs w:val="20"/>
                <w:color w:val="auto"/>
              </w:rPr>
            </w:pPr>
            <w:r>
              <w:rPr>
                <w:rFonts w:ascii="Arial" w:cs="Arial" w:eastAsia="Arial" w:hAnsi="Arial"/>
                <w:sz w:val="17"/>
                <w:szCs w:val="17"/>
                <w:color w:val="auto"/>
              </w:rPr>
              <w:t>Senior Notes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1,492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1,492</w:t>
            </w:r>
          </w:p>
        </w:tc>
        <w:tc>
          <w:tcPr>
            <w:tcW w:w="12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4.00%</w:t>
            </w:r>
          </w:p>
        </w:tc>
        <w:tc>
          <w:tcPr>
            <w:tcW w:w="2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Notes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3.70%</w:t>
            </w:r>
          </w:p>
        </w:tc>
        <w:tc>
          <w:tcPr>
            <w:tcW w:w="2180" w:type="dxa"/>
            <w:vAlign w:val="bottom"/>
          </w:tcPr>
          <w:p>
            <w:pPr>
              <w:ind w:left="20"/>
              <w:spacing w:after="0"/>
              <w:rPr>
                <w:sz w:val="20"/>
                <w:szCs w:val="20"/>
                <w:color w:val="auto"/>
              </w:rPr>
            </w:pPr>
            <w:r>
              <w:rPr>
                <w:rFonts w:ascii="Arial" w:cs="Arial" w:eastAsia="Arial" w:hAnsi="Arial"/>
                <w:sz w:val="17"/>
                <w:szCs w:val="17"/>
                <w:color w:val="auto"/>
              </w:rPr>
              <w:t>Notes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4.00%</w:t>
            </w:r>
          </w:p>
        </w:tc>
        <w:tc>
          <w:tcPr>
            <w:tcW w:w="2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Senior Notes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1,741</w:t>
            </w:r>
          </w:p>
        </w:tc>
        <w:tc>
          <w:tcPr>
            <w:tcW w:w="12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7.00%</w:t>
            </w:r>
          </w:p>
        </w:tc>
        <w:tc>
          <w:tcPr>
            <w:tcW w:w="2180" w:type="dxa"/>
            <w:vAlign w:val="bottom"/>
          </w:tcPr>
          <w:p>
            <w:pPr>
              <w:ind w:left="20"/>
              <w:spacing w:after="0"/>
              <w:rPr>
                <w:sz w:val="20"/>
                <w:szCs w:val="20"/>
                <w:color w:val="auto"/>
              </w:rPr>
            </w:pPr>
            <w:r>
              <w:rPr>
                <w:rFonts w:ascii="Arial" w:cs="Arial" w:eastAsia="Arial" w:hAnsi="Arial"/>
                <w:sz w:val="17"/>
                <w:szCs w:val="17"/>
                <w:color w:val="auto"/>
              </w:rPr>
              <w:t>Notes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212</w:t>
            </w:r>
          </w:p>
        </w:tc>
        <w:tc>
          <w:tcPr>
            <w:tcW w:w="12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5.95%</w:t>
            </w:r>
          </w:p>
        </w:tc>
        <w:tc>
          <w:tcPr>
            <w:tcW w:w="2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Notes</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FF0FC"/>
          </w:tcPr>
          <w:p>
            <w:pPr>
              <w:spacing w:after="0"/>
              <w:rPr>
                <w:sz w:val="19"/>
                <w:szCs w:val="19"/>
                <w:color w:val="auto"/>
              </w:rPr>
            </w:pPr>
          </w:p>
        </w:tc>
      </w:tr>
      <w:tr>
        <w:trPr>
          <w:trHeight w:val="221"/>
        </w:trPr>
        <w:tc>
          <w:tcPr>
            <w:tcW w:w="4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w w:val="95"/>
              </w:rPr>
              <w:t>5.13%</w:t>
            </w:r>
          </w:p>
        </w:tc>
        <w:tc>
          <w:tcPr>
            <w:tcW w:w="218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Notes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FF0FC"/>
            </w:tcBorders>
          </w:tcPr>
          <w:p>
            <w:pPr>
              <w:spacing w:after="0"/>
              <w:rPr>
                <w:sz w:val="19"/>
                <w:szCs w:val="19"/>
                <w:color w:val="auto"/>
              </w:rPr>
            </w:pPr>
          </w:p>
        </w:tc>
      </w:tr>
      <w:tr>
        <w:trPr>
          <w:trHeight w:val="214"/>
        </w:trPr>
        <w:tc>
          <w:tcPr>
            <w:tcW w:w="26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fixed rate debt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1,582</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1,315</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2,830</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14,165</w:t>
            </w:r>
          </w:p>
        </w:tc>
        <w:tc>
          <w:tcPr>
            <w:tcW w:w="120" w:type="dxa"/>
            <w:vAlign w:val="bottom"/>
            <w:shd w:val="clear" w:color="auto" w:fill="CFF0FC"/>
          </w:tcPr>
          <w:p>
            <w:pPr>
              <w:spacing w:after="0"/>
              <w:rPr>
                <w:sz w:val="18"/>
                <w:szCs w:val="18"/>
                <w:color w:val="auto"/>
              </w:rPr>
            </w:pPr>
          </w:p>
        </w:tc>
      </w:tr>
      <w:tr>
        <w:trPr>
          <w:trHeight w:val="221"/>
        </w:trPr>
        <w:tc>
          <w:tcPr>
            <w:tcW w:w="26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b w:val="1"/>
                <w:bCs w:val="1"/>
                <w:color w:val="auto"/>
              </w:rPr>
              <w:t>Variable rate debt</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1,742</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4,034</w:t>
            </w:r>
          </w:p>
        </w:tc>
        <w:tc>
          <w:tcPr>
            <w:tcW w:w="120" w:type="dxa"/>
            <w:vAlign w:val="bottom"/>
            <w:tcBorders>
              <w:bottom w:val="single" w:sz="8" w:color="CFF0FC"/>
            </w:tcBorders>
          </w:tcPr>
          <w:p>
            <w:pPr>
              <w:spacing w:after="0"/>
              <w:rPr>
                <w:sz w:val="19"/>
                <w:szCs w:val="19"/>
                <w:color w:val="auto"/>
              </w:rPr>
            </w:pPr>
          </w:p>
        </w:tc>
      </w:tr>
      <w:tr>
        <w:trPr>
          <w:trHeight w:val="214"/>
        </w:trPr>
        <w:tc>
          <w:tcPr>
            <w:tcW w:w="4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Total</w:t>
            </w:r>
          </w:p>
        </w:tc>
        <w:tc>
          <w:tcPr>
            <w:tcW w:w="2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3,324</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1,462</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2,802</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4,264</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18,199</w:t>
            </w:r>
          </w:p>
        </w:tc>
        <w:tc>
          <w:tcPr>
            <w:tcW w:w="120" w:type="dxa"/>
            <w:vAlign w:val="bottom"/>
            <w:shd w:val="clear" w:color="auto" w:fill="CFF0FC"/>
          </w:tcPr>
          <w:p>
            <w:pPr>
              <w:spacing w:after="0"/>
              <w:rPr>
                <w:sz w:val="18"/>
                <w:szCs w:val="18"/>
                <w:color w:val="auto"/>
              </w:rPr>
            </w:pPr>
          </w:p>
        </w:tc>
      </w:tr>
      <w:tr>
        <w:trPr>
          <w:trHeight w:val="20"/>
        </w:trPr>
        <w:tc>
          <w:tcPr>
            <w:tcW w:w="48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fair market value of the outstanding fixed rate debt was approximately $14.5 billion as of December 31, 2017. The weighted average interest rate on the variable rate debt as of December 31, 2017 was 2.3%.</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Schlumberger does not enter into derivatives for speculative purposes.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2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This Form 10-K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effects of U.S. tax reform; our effective tax rate; the success of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retain key employees; and other risks and uncertainties detailed in the Risk Factors section of this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auto"/>
        </w:rPr>
        <w:t>Item 8. Financial Statements and Supplementary Data.</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SCHLUMBERGER LIMITED AND SUBSIDIARIES</w:t>
      </w:r>
    </w:p>
    <w:p>
      <w:pPr>
        <w:spacing w:after="0" w:line="11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 OF INCOME (LOSS)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jc w:val="center"/>
              <w:ind w:left="114"/>
              <w:spacing w:after="0"/>
              <w:rPr>
                <w:sz w:val="20"/>
                <w:szCs w:val="20"/>
                <w:color w:val="auto"/>
              </w:rPr>
            </w:pPr>
            <w:r>
              <w:rPr>
                <w:rFonts w:ascii="Arial" w:cs="Arial" w:eastAsia="Arial" w:hAnsi="Arial"/>
                <w:sz w:val="14"/>
                <w:szCs w:val="14"/>
                <w:i w:val="1"/>
                <w:iCs w:val="1"/>
                <w:color w:val="auto"/>
                <w:w w:val="89"/>
              </w:rPr>
              <w:t>(Stated in millions, except per share amoun</w:t>
            </w:r>
          </w:p>
        </w:tc>
        <w:tc>
          <w:tcPr>
            <w:tcW w:w="0" w:type="dxa"/>
            <w:vAlign w:val="bottom"/>
          </w:tcPr>
          <w:p>
            <w:pPr>
              <w:spacing w:after="0"/>
              <w:rPr>
                <w:sz w:val="1"/>
                <w:szCs w:val="1"/>
                <w:color w:val="auto"/>
              </w:rPr>
            </w:pPr>
          </w:p>
        </w:tc>
      </w:tr>
      <w:tr>
        <w:trPr>
          <w:trHeight w:val="428"/>
        </w:trPr>
        <w:tc>
          <w:tcPr>
            <w:tcW w:w="688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2016</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14"/>
        </w:trPr>
        <w:tc>
          <w:tcPr>
            <w:tcW w:w="68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Revenue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80" w:type="dxa"/>
            <w:vAlign w:val="bottom"/>
          </w:tcPr>
          <w:p>
            <w:pPr>
              <w:ind w:left="240"/>
              <w:spacing w:after="0"/>
              <w:rPr>
                <w:sz w:val="20"/>
                <w:szCs w:val="20"/>
                <w:color w:val="auto"/>
              </w:rPr>
            </w:pPr>
            <w:r>
              <w:rPr>
                <w:rFonts w:ascii="Arial" w:cs="Arial" w:eastAsia="Arial" w:hAnsi="Arial"/>
                <w:sz w:val="17"/>
                <w:szCs w:val="17"/>
                <w:color w:val="auto"/>
              </w:rPr>
              <w:t>Services</w:t>
            </w: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21,927</w:t>
            </w:r>
          </w:p>
        </w:tc>
        <w:tc>
          <w:tcPr>
            <w:tcW w:w="2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20,259</w:t>
            </w:r>
          </w:p>
        </w:tc>
        <w:tc>
          <w:tcPr>
            <w:tcW w:w="280" w:type="dxa"/>
            <w:vAlign w:val="bottom"/>
          </w:tcPr>
          <w:p>
            <w:pPr>
              <w:spacing w:after="0"/>
              <w:rPr>
                <w:sz w:val="19"/>
                <w:szCs w:val="19"/>
                <w:color w:val="auto"/>
              </w:rPr>
            </w:pPr>
          </w:p>
        </w:tc>
        <w:tc>
          <w:tcPr>
            <w:tcW w:w="300" w:type="dxa"/>
            <w:vAlign w:val="bottom"/>
          </w:tcPr>
          <w:p>
            <w:pPr>
              <w:jc w:val="center"/>
              <w:ind w:right="13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31,65</w:t>
            </w:r>
          </w:p>
        </w:tc>
        <w:tc>
          <w:tcPr>
            <w:tcW w:w="0" w:type="dxa"/>
            <w:vAlign w:val="bottom"/>
          </w:tcPr>
          <w:p>
            <w:pPr>
              <w:spacing w:after="0"/>
              <w:rPr>
                <w:sz w:val="1"/>
                <w:szCs w:val="1"/>
                <w:color w:val="auto"/>
              </w:rPr>
            </w:pPr>
          </w:p>
        </w:tc>
      </w:tr>
      <w:tr>
        <w:trPr>
          <w:trHeight w:val="221"/>
        </w:trPr>
        <w:tc>
          <w:tcPr>
            <w:tcW w:w="6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Product sales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8,513</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7,551</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14"/>
        </w:trPr>
        <w:tc>
          <w:tcPr>
            <w:tcW w:w="6880" w:type="dxa"/>
            <w:vAlign w:val="bottom"/>
          </w:tcPr>
          <w:p>
            <w:pPr>
              <w:spacing w:after="0"/>
              <w:rPr>
                <w:sz w:val="20"/>
                <w:szCs w:val="20"/>
                <w:color w:val="auto"/>
              </w:rPr>
            </w:pPr>
            <w:r>
              <w:rPr>
                <w:rFonts w:ascii="Arial" w:cs="Arial" w:eastAsia="Arial" w:hAnsi="Arial"/>
                <w:sz w:val="17"/>
                <w:szCs w:val="17"/>
                <w:i w:val="1"/>
                <w:iCs w:val="1"/>
                <w:color w:val="auto"/>
              </w:rPr>
              <w:t>Total Revenue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30,440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27,810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35,47</w:t>
            </w:r>
          </w:p>
        </w:tc>
        <w:tc>
          <w:tcPr>
            <w:tcW w:w="0" w:type="dxa"/>
            <w:vAlign w:val="bottom"/>
          </w:tcPr>
          <w:p>
            <w:pPr>
              <w:spacing w:after="0"/>
              <w:rPr>
                <w:sz w:val="1"/>
                <w:szCs w:val="1"/>
                <w:color w:val="auto"/>
              </w:rPr>
            </w:pPr>
          </w:p>
        </w:tc>
      </w:tr>
      <w:tr>
        <w:trPr>
          <w:trHeight w:val="221"/>
        </w:trPr>
        <w:tc>
          <w:tcPr>
            <w:tcW w:w="68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Interest &amp; other income</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224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1"/>
        </w:trPr>
        <w:tc>
          <w:tcPr>
            <w:tcW w:w="6880" w:type="dxa"/>
            <w:vAlign w:val="bottom"/>
          </w:tcPr>
          <w:p>
            <w:pPr>
              <w:spacing w:after="0"/>
              <w:rPr>
                <w:sz w:val="20"/>
                <w:szCs w:val="20"/>
                <w:color w:val="auto"/>
              </w:rPr>
            </w:pPr>
            <w:r>
              <w:rPr>
                <w:rFonts w:ascii="Arial" w:cs="Arial" w:eastAsia="Arial" w:hAnsi="Arial"/>
                <w:sz w:val="17"/>
                <w:szCs w:val="17"/>
                <w:i w:val="1"/>
                <w:iCs w:val="1"/>
                <w:color w:val="auto"/>
              </w:rPr>
              <w:t>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Cost of services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18,206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17,352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25,17</w:t>
            </w:r>
          </w:p>
        </w:tc>
        <w:tc>
          <w:tcPr>
            <w:tcW w:w="0" w:type="dxa"/>
            <w:vAlign w:val="bottom"/>
          </w:tcPr>
          <w:p>
            <w:pPr>
              <w:spacing w:after="0"/>
              <w:rPr>
                <w:sz w:val="1"/>
                <w:szCs w:val="1"/>
                <w:color w:val="auto"/>
              </w:rPr>
            </w:pPr>
          </w:p>
        </w:tc>
      </w:tr>
      <w:tr>
        <w:trPr>
          <w:trHeight w:val="221"/>
        </w:trPr>
        <w:tc>
          <w:tcPr>
            <w:tcW w:w="6880" w:type="dxa"/>
            <w:vAlign w:val="bottom"/>
          </w:tcPr>
          <w:p>
            <w:pPr>
              <w:ind w:left="240"/>
              <w:spacing w:after="0"/>
              <w:rPr>
                <w:sz w:val="20"/>
                <w:szCs w:val="20"/>
                <w:color w:val="auto"/>
              </w:rPr>
            </w:pPr>
            <w:r>
              <w:rPr>
                <w:rFonts w:ascii="Arial" w:cs="Arial" w:eastAsia="Arial" w:hAnsi="Arial"/>
                <w:sz w:val="17"/>
                <w:szCs w:val="17"/>
                <w:color w:val="auto"/>
              </w:rPr>
              <w:t>Cost of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8,337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7,057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21"/>
        </w:trPr>
        <w:tc>
          <w:tcPr>
            <w:tcW w:w="6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&amp; engineering</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787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21"/>
        </w:trPr>
        <w:tc>
          <w:tcPr>
            <w:tcW w:w="6880" w:type="dxa"/>
            <w:vAlign w:val="bottom"/>
          </w:tcPr>
          <w:p>
            <w:pPr>
              <w:ind w:left="240"/>
              <w:spacing w:after="0"/>
              <w:rPr>
                <w:sz w:val="20"/>
                <w:szCs w:val="20"/>
                <w:color w:val="auto"/>
              </w:rPr>
            </w:pPr>
            <w:r>
              <w:rPr>
                <w:rFonts w:ascii="Arial" w:cs="Arial" w:eastAsia="Arial" w:hAnsi="Arial"/>
                <w:sz w:val="17"/>
                <w:szCs w:val="17"/>
                <w:color w:val="auto"/>
              </w:rPr>
              <w:t>General &amp;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432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1"/>
        </w:trPr>
        <w:tc>
          <w:tcPr>
            <w:tcW w:w="6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Impairments &amp; other</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3,211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21"/>
        </w:trPr>
        <w:tc>
          <w:tcPr>
            <w:tcW w:w="6880" w:type="dxa"/>
            <w:vAlign w:val="bottom"/>
          </w:tcPr>
          <w:p>
            <w:pPr>
              <w:ind w:left="240"/>
              <w:spacing w:after="0"/>
              <w:rPr>
                <w:sz w:val="20"/>
                <w:szCs w:val="20"/>
                <w:color w:val="auto"/>
              </w:rPr>
            </w:pPr>
            <w:r>
              <w:rPr>
                <w:rFonts w:ascii="Arial" w:cs="Arial" w:eastAsia="Arial" w:hAnsi="Arial"/>
                <w:sz w:val="17"/>
                <w:szCs w:val="17"/>
                <w:color w:val="auto"/>
              </w:rPr>
              <w:t>Merger &amp; integration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308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566</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570</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4"/>
        </w:trPr>
        <w:tc>
          <w:tcPr>
            <w:tcW w:w="6880" w:type="dxa"/>
            <w:vAlign w:val="bottom"/>
          </w:tcPr>
          <w:p>
            <w:pPr>
              <w:spacing w:after="0"/>
              <w:rPr>
                <w:sz w:val="20"/>
                <w:szCs w:val="20"/>
                <w:color w:val="auto"/>
              </w:rPr>
            </w:pPr>
            <w:r>
              <w:rPr>
                <w:rFonts w:ascii="Arial" w:cs="Arial" w:eastAsia="Arial" w:hAnsi="Arial"/>
                <w:sz w:val="17"/>
                <w:szCs w:val="17"/>
                <w:i w:val="1"/>
                <w:iCs w:val="1"/>
                <w:color w:val="auto"/>
              </w:rPr>
              <w:t>Income (loss) before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(1,183)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(1,905)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21"/>
        </w:trPr>
        <w:tc>
          <w:tcPr>
            <w:tcW w:w="6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Tax expense (benefit)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330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(278)</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7"/>
                <w:szCs w:val="17"/>
                <w:i w:val="1"/>
                <w:iCs w:val="1"/>
                <w:color w:val="auto"/>
              </w:rPr>
              <w:t>Net income (loss)</w:t>
            </w: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8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(1,513)</w:t>
            </w:r>
          </w:p>
        </w:tc>
        <w:tc>
          <w:tcPr>
            <w:tcW w:w="2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(1,627)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21"/>
        </w:trPr>
        <w:tc>
          <w:tcPr>
            <w:tcW w:w="6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 attributable to noncontrolling interests</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b w:val="1"/>
                <w:bCs w:val="1"/>
                <w:color w:val="auto"/>
              </w:rPr>
              <w:t>(8)</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7"/>
                <w:szCs w:val="17"/>
                <w:i w:val="1"/>
                <w:iCs w:val="1"/>
                <w:color w:val="auto"/>
              </w:rPr>
              <w:t>Net income (loss) attributable to Schlumberger</w:t>
            </w: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880" w:type="dxa"/>
            <w:vAlign w:val="bottom"/>
            <w:vMerge w:val="continue"/>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(1,505)</w:t>
            </w:r>
          </w:p>
        </w:tc>
        <w:tc>
          <w:tcPr>
            <w:tcW w:w="260" w:type="dxa"/>
            <w:vAlign w:val="bottom"/>
            <w:vMerge w:val="continue"/>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(1,687)</w:t>
            </w:r>
          </w:p>
        </w:tc>
        <w:tc>
          <w:tcPr>
            <w:tcW w:w="300" w:type="dxa"/>
            <w:vAlign w:val="bottom"/>
          </w:tcPr>
          <w:p>
            <w:pPr>
              <w:jc w:val="center"/>
              <w:ind w:right="13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Basic earnings per share of Schlumberger</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b w:val="1"/>
                <w:bCs w:val="1"/>
                <w:color w:val="auto"/>
              </w:rPr>
              <w:t>(1.08)</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(1.24)</w:t>
            </w:r>
          </w:p>
        </w:tc>
        <w:tc>
          <w:tcPr>
            <w:tcW w:w="300" w:type="dxa"/>
            <w:vAlign w:val="bottom"/>
            <w:shd w:val="clear" w:color="auto" w:fill="CFF0FC"/>
          </w:tcPr>
          <w:p>
            <w:pPr>
              <w:jc w:val="center"/>
              <w:ind w:right="13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68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Diluted earnings per share of Schlumberger</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b w:val="1"/>
                <w:bCs w:val="1"/>
                <w:color w:val="auto"/>
              </w:rPr>
              <w:t>(1.08)</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(1.24)</w:t>
            </w:r>
          </w:p>
        </w:tc>
        <w:tc>
          <w:tcPr>
            <w:tcW w:w="300" w:type="dxa"/>
            <w:vAlign w:val="bottom"/>
            <w:shd w:val="clear" w:color="auto" w:fill="CFF0FC"/>
          </w:tcPr>
          <w:p>
            <w:pPr>
              <w:jc w:val="center"/>
              <w:ind w:right="13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68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Average shares outstanding:</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880" w:type="dxa"/>
            <w:vAlign w:val="bottom"/>
          </w:tcPr>
          <w:p>
            <w:pPr>
              <w:ind w:left="240"/>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1,388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1,357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21"/>
        </w:trPr>
        <w:tc>
          <w:tcPr>
            <w:tcW w:w="6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Assuming dilution</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1,388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SCHLUMBERGER LIMITED AND SUBSIDIARIES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COMPREHENSIVE INCOME (LOSS)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28"/>
        </w:trPr>
        <w:tc>
          <w:tcPr>
            <w:tcW w:w="586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8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rPr>
              <w:t>2016</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Net income (loss)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(1,513)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(1,627)</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tcPr>
          <w:p>
            <w:pPr>
              <w:spacing w:after="0"/>
              <w:rPr>
                <w:sz w:val="20"/>
                <w:szCs w:val="20"/>
                <w:color w:val="auto"/>
              </w:rPr>
            </w:pPr>
            <w:r>
              <w:rPr>
                <w:rFonts w:ascii="Arial" w:cs="Arial" w:eastAsia="Arial" w:hAnsi="Arial"/>
                <w:sz w:val="17"/>
                <w:szCs w:val="17"/>
                <w:i w:val="1"/>
                <w:iCs w:val="1"/>
                <w:color w:val="auto"/>
              </w:rPr>
              <w:t>Currency translation adjustments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Unrealized net change arising during the period</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(3)</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(83)</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221"/>
        </w:trPr>
        <w:tc>
          <w:tcPr>
            <w:tcW w:w="5860" w:type="dxa"/>
            <w:vAlign w:val="bottom"/>
          </w:tcPr>
          <w:p>
            <w:pPr>
              <w:spacing w:after="0"/>
              <w:rPr>
                <w:sz w:val="20"/>
                <w:szCs w:val="20"/>
                <w:color w:val="auto"/>
              </w:rPr>
            </w:pPr>
            <w:r>
              <w:rPr>
                <w:rFonts w:ascii="Arial" w:cs="Arial" w:eastAsia="Arial" w:hAnsi="Arial"/>
                <w:sz w:val="17"/>
                <w:szCs w:val="17"/>
                <w:i w:val="1"/>
                <w:iCs w:val="1"/>
                <w:color w:val="auto"/>
              </w:rPr>
              <w:t>Marketable securities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Unrealized gain (loss) arising during the period</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(8)</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1"/>
        </w:trPr>
        <w:tc>
          <w:tcPr>
            <w:tcW w:w="5860" w:type="dxa"/>
            <w:vAlign w:val="bottom"/>
          </w:tcPr>
          <w:p>
            <w:pPr>
              <w:ind w:left="240"/>
              <w:spacing w:after="0"/>
              <w:rPr>
                <w:sz w:val="20"/>
                <w:szCs w:val="20"/>
                <w:color w:val="auto"/>
              </w:rPr>
            </w:pPr>
            <w:r>
              <w:rPr>
                <w:rFonts w:ascii="Arial" w:cs="Arial" w:eastAsia="Arial" w:hAnsi="Arial"/>
                <w:sz w:val="17"/>
                <w:szCs w:val="17"/>
                <w:color w:val="auto"/>
              </w:rPr>
              <w:t>Reclassification to net income - impairment charge</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Cash flow hedges</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tcPr>
          <w:p>
            <w:pPr>
              <w:ind w:left="240"/>
              <w:spacing w:after="0"/>
              <w:rPr>
                <w:sz w:val="20"/>
                <w:szCs w:val="20"/>
                <w:color w:val="auto"/>
              </w:rPr>
            </w:pPr>
            <w:r>
              <w:rPr>
                <w:rFonts w:ascii="Arial" w:cs="Arial" w:eastAsia="Arial" w:hAnsi="Arial"/>
                <w:sz w:val="17"/>
                <w:szCs w:val="17"/>
                <w:color w:val="auto"/>
              </w:rPr>
              <w:t>Net gain (loss) on cash flow hedges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(101)</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Reclassification to net income (loss) of net realized loss</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tcPr>
          <w:p>
            <w:pPr>
              <w:spacing w:after="0"/>
              <w:rPr>
                <w:sz w:val="20"/>
                <w:szCs w:val="20"/>
                <w:color w:val="auto"/>
              </w:rPr>
            </w:pPr>
            <w:r>
              <w:rPr>
                <w:rFonts w:ascii="Arial" w:cs="Arial" w:eastAsia="Arial" w:hAnsi="Arial"/>
                <w:sz w:val="17"/>
                <w:szCs w:val="17"/>
                <w:i w:val="1"/>
                <w:iCs w:val="1"/>
                <w:color w:val="auto"/>
              </w:rPr>
              <w:t>Pension and other postretirement benefit plans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Actuarial gain (loss)</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tcPr>
          <w:p>
            <w:pPr>
              <w:ind w:left="480"/>
              <w:spacing w:after="0"/>
              <w:rPr>
                <w:sz w:val="20"/>
                <w:szCs w:val="20"/>
                <w:color w:val="auto"/>
              </w:rPr>
            </w:pPr>
            <w:r>
              <w:rPr>
                <w:rFonts w:ascii="Arial" w:cs="Arial" w:eastAsia="Arial" w:hAnsi="Arial"/>
                <w:sz w:val="17"/>
                <w:szCs w:val="17"/>
                <w:color w:val="auto"/>
              </w:rPr>
              <w:t>Actuarial gain (loss) arising during the period</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134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(289)</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Amortization to net income (loss) of net actuarial loss</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tcPr>
          <w:p>
            <w:pPr>
              <w:ind w:left="240"/>
              <w:spacing w:after="0"/>
              <w:rPr>
                <w:sz w:val="20"/>
                <w:szCs w:val="20"/>
                <w:color w:val="auto"/>
              </w:rPr>
            </w:pPr>
            <w:r>
              <w:rPr>
                <w:rFonts w:ascii="Arial" w:cs="Arial" w:eastAsia="Arial" w:hAnsi="Arial"/>
                <w:sz w:val="17"/>
                <w:szCs w:val="17"/>
                <w:color w:val="auto"/>
              </w:rPr>
              <w:t>Prior service cost</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Amortization to net income (loss) of net prior service cost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tcPr>
          <w:p>
            <w:pPr>
              <w:ind w:left="240"/>
              <w:spacing w:after="0"/>
              <w:rPr>
                <w:sz w:val="20"/>
                <w:szCs w:val="20"/>
                <w:color w:val="auto"/>
              </w:rPr>
            </w:pPr>
            <w:r>
              <w:rPr>
                <w:rFonts w:ascii="Arial" w:cs="Arial" w:eastAsia="Arial" w:hAnsi="Arial"/>
                <w:sz w:val="17"/>
                <w:szCs w:val="17"/>
                <w:color w:val="auto"/>
              </w:rPr>
              <w:t>Income taxes on pension and other postretirement benefit plans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(15)</w:t>
            </w: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7"/>
                <w:szCs w:val="17"/>
                <w:i w:val="1"/>
                <w:iCs w:val="1"/>
                <w:color w:val="auto"/>
              </w:rPr>
              <w:t>Comprehensive income (loss)</w:t>
            </w:r>
          </w:p>
        </w:tc>
        <w:tc>
          <w:tcPr>
            <w:tcW w:w="8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6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(1,144)</w:t>
            </w:r>
          </w:p>
        </w:tc>
        <w:tc>
          <w:tcPr>
            <w:tcW w:w="2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(1,712)</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tcPr>
          <w:p>
            <w:pPr>
              <w:ind w:left="240"/>
              <w:spacing w:after="0"/>
              <w:rPr>
                <w:sz w:val="20"/>
                <w:szCs w:val="20"/>
                <w:color w:val="auto"/>
              </w:rPr>
            </w:pPr>
            <w:r>
              <w:rPr>
                <w:rFonts w:ascii="Arial" w:cs="Arial" w:eastAsia="Arial" w:hAnsi="Arial"/>
                <w:sz w:val="17"/>
                <w:szCs w:val="17"/>
                <w:color w:val="auto"/>
              </w:rPr>
              <w:t>Comprehensive income (loss) attributable to noncontrolling interests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(8)</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7"/>
                <w:szCs w:val="17"/>
                <w:i w:val="1"/>
                <w:iCs w:val="1"/>
                <w:color w:val="auto"/>
              </w:rPr>
              <w:t>Comprehensive income (loss) attributable to Schlumberger</w:t>
            </w:r>
          </w:p>
        </w:tc>
        <w:tc>
          <w:tcPr>
            <w:tcW w:w="86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60" w:type="dxa"/>
            <w:vAlign w:val="bottom"/>
            <w:vMerge w:val="continue"/>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(1,136)</w:t>
            </w:r>
          </w:p>
        </w:tc>
        <w:tc>
          <w:tcPr>
            <w:tcW w:w="2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(1,772)</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t>SCHLUMBERGER LIMITED AND SUBSIDIARIES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8"/>
        </w:trPr>
        <w:tc>
          <w:tcPr>
            <w:tcW w:w="670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December 31,</w:t>
            </w:r>
          </w:p>
        </w:tc>
        <w:tc>
          <w:tcPr>
            <w:tcW w:w="112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2017</w:t>
            </w: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2016</w:t>
            </w:r>
          </w:p>
        </w:tc>
        <w:tc>
          <w:tcPr>
            <w:tcW w:w="100" w:type="dxa"/>
            <w:vAlign w:val="bottom"/>
            <w:tcBorders>
              <w:bottom w:val="single" w:sz="8" w:color="CFF0FC"/>
            </w:tcBorders>
          </w:tcPr>
          <w:p>
            <w:pPr>
              <w:spacing w:after="0"/>
              <w:rPr>
                <w:sz w:val="24"/>
                <w:szCs w:val="24"/>
                <w:color w:val="auto"/>
              </w:rPr>
            </w:pPr>
          </w:p>
        </w:tc>
      </w:tr>
      <w:tr>
        <w:trPr>
          <w:trHeight w:val="214"/>
        </w:trPr>
        <w:tc>
          <w:tcPr>
            <w:tcW w:w="6700" w:type="dxa"/>
            <w:vAlign w:val="bottom"/>
            <w:shd w:val="clear" w:color="auto" w:fill="CFF0FC"/>
          </w:tcPr>
          <w:p>
            <w:pPr>
              <w:spacing w:after="0"/>
              <w:rPr>
                <w:sz w:val="20"/>
                <w:szCs w:val="20"/>
                <w:color w:val="auto"/>
              </w:rPr>
            </w:pPr>
            <w:r>
              <w:rPr>
                <w:rFonts w:ascii="Arial" w:cs="Arial" w:eastAsia="Arial" w:hAnsi="Arial"/>
                <w:sz w:val="17"/>
                <w:szCs w:val="17"/>
                <w:b w:val="1"/>
                <w:bCs w:val="1"/>
                <w:i w:val="1"/>
                <w:iCs w:val="1"/>
                <w:color w:val="auto"/>
              </w:rPr>
              <w:t>ASSETS</w:t>
            </w: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700" w:type="dxa"/>
            <w:vAlign w:val="bottom"/>
          </w:tcPr>
          <w:p>
            <w:pPr>
              <w:spacing w:after="0"/>
              <w:rPr>
                <w:sz w:val="20"/>
                <w:szCs w:val="20"/>
                <w:color w:val="auto"/>
              </w:rPr>
            </w:pPr>
            <w:r>
              <w:rPr>
                <w:rFonts w:ascii="Arial" w:cs="Arial" w:eastAsia="Arial" w:hAnsi="Arial"/>
                <w:sz w:val="17"/>
                <w:szCs w:val="17"/>
                <w:i w:val="1"/>
                <w:iCs w:val="1"/>
                <w:color w:val="auto"/>
              </w:rPr>
              <w:t>Current Assets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w:t>
            </w:r>
          </w:p>
        </w:tc>
        <w:tc>
          <w:tcPr>
            <w:tcW w:w="1480" w:type="dxa"/>
            <w:vAlign w:val="bottom"/>
            <w:gridSpan w:val="2"/>
            <w:shd w:val="clear" w:color="auto" w:fill="CFF0FC"/>
          </w:tcPr>
          <w:p>
            <w:pPr>
              <w:jc w:val="right"/>
              <w:ind w:right="173"/>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1,799</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2,929</w:t>
            </w:r>
          </w:p>
        </w:tc>
        <w:tc>
          <w:tcPr>
            <w:tcW w:w="100" w:type="dxa"/>
            <w:vAlign w:val="bottom"/>
            <w:shd w:val="clear" w:color="auto" w:fill="CFF0FC"/>
          </w:tcPr>
          <w:p>
            <w:pPr>
              <w:spacing w:after="0"/>
              <w:rPr>
                <w:sz w:val="19"/>
                <w:szCs w:val="19"/>
                <w:color w:val="auto"/>
              </w:rPr>
            </w:pPr>
          </w:p>
        </w:tc>
      </w:tr>
      <w:tr>
        <w:trPr>
          <w:trHeight w:val="221"/>
        </w:trPr>
        <w:tc>
          <w:tcPr>
            <w:tcW w:w="6700" w:type="dxa"/>
            <w:vAlign w:val="bottom"/>
          </w:tcPr>
          <w:p>
            <w:pPr>
              <w:ind w:left="240"/>
              <w:spacing w:after="0"/>
              <w:rPr>
                <w:sz w:val="20"/>
                <w:szCs w:val="20"/>
                <w:color w:val="auto"/>
              </w:rPr>
            </w:pPr>
            <w:r>
              <w:rPr>
                <w:rFonts w:ascii="Arial" w:cs="Arial" w:eastAsia="Arial" w:hAnsi="Arial"/>
                <w:sz w:val="17"/>
                <w:szCs w:val="17"/>
                <w:color w:val="auto"/>
              </w:rPr>
              <w:t>Short-term investments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3,290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6,328</w:t>
            </w:r>
          </w:p>
        </w:tc>
        <w:tc>
          <w:tcPr>
            <w:tcW w:w="100" w:type="dxa"/>
            <w:vAlign w:val="bottom"/>
          </w:tcPr>
          <w:p>
            <w:pPr>
              <w:spacing w:after="0"/>
              <w:rPr>
                <w:sz w:val="19"/>
                <w:szCs w:val="19"/>
                <w:color w:val="auto"/>
              </w:rPr>
            </w:pPr>
          </w:p>
        </w:tc>
      </w:tr>
      <w:tr>
        <w:trPr>
          <w:trHeight w:val="221"/>
        </w:trPr>
        <w:tc>
          <w:tcPr>
            <w:tcW w:w="6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Receivables less allowance for doubtful accounts (2017 - $241; 2016 - $397)</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8,084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9,387</w:t>
            </w:r>
          </w:p>
        </w:tc>
        <w:tc>
          <w:tcPr>
            <w:tcW w:w="100" w:type="dxa"/>
            <w:vAlign w:val="bottom"/>
            <w:shd w:val="clear" w:color="auto" w:fill="CFF0FC"/>
          </w:tcPr>
          <w:p>
            <w:pPr>
              <w:spacing w:after="0"/>
              <w:rPr>
                <w:sz w:val="19"/>
                <w:szCs w:val="19"/>
                <w:color w:val="auto"/>
              </w:rPr>
            </w:pPr>
          </w:p>
        </w:tc>
      </w:tr>
      <w:tr>
        <w:trPr>
          <w:trHeight w:val="221"/>
        </w:trPr>
        <w:tc>
          <w:tcPr>
            <w:tcW w:w="6700" w:type="dxa"/>
            <w:vAlign w:val="bottom"/>
          </w:tcPr>
          <w:p>
            <w:pPr>
              <w:ind w:left="240"/>
              <w:spacing w:after="0"/>
              <w:rPr>
                <w:sz w:val="20"/>
                <w:szCs w:val="20"/>
                <w:color w:val="auto"/>
              </w:rPr>
            </w:pPr>
            <w:r>
              <w:rPr>
                <w:rFonts w:ascii="Arial" w:cs="Arial" w:eastAsia="Arial" w:hAnsi="Arial"/>
                <w:sz w:val="17"/>
                <w:szCs w:val="17"/>
                <w:color w:val="auto"/>
              </w:rPr>
              <w:t>Inventories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4,046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4,225</w:t>
            </w:r>
          </w:p>
        </w:tc>
        <w:tc>
          <w:tcPr>
            <w:tcW w:w="100" w:type="dxa"/>
            <w:vAlign w:val="bottom"/>
          </w:tcPr>
          <w:p>
            <w:pPr>
              <w:spacing w:after="0"/>
              <w:rPr>
                <w:sz w:val="19"/>
                <w:szCs w:val="19"/>
                <w:color w:val="auto"/>
              </w:rPr>
            </w:pPr>
          </w:p>
        </w:tc>
      </w:tr>
      <w:tr>
        <w:trPr>
          <w:trHeight w:val="221"/>
        </w:trPr>
        <w:tc>
          <w:tcPr>
            <w:tcW w:w="6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current assets</w:t>
            </w:r>
          </w:p>
        </w:tc>
        <w:tc>
          <w:tcPr>
            <w:tcW w:w="1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1,058</w:t>
            </w:r>
          </w:p>
        </w:tc>
        <w:tc>
          <w:tcPr>
            <w:tcW w:w="100" w:type="dxa"/>
            <w:vAlign w:val="bottom"/>
            <w:shd w:val="clear" w:color="auto" w:fill="CFF0FC"/>
          </w:tcPr>
          <w:p>
            <w:pPr>
              <w:spacing w:after="0"/>
              <w:rPr>
                <w:sz w:val="19"/>
                <w:szCs w:val="19"/>
                <w:color w:val="auto"/>
              </w:rPr>
            </w:pPr>
          </w:p>
        </w:tc>
      </w:tr>
      <w:tr>
        <w:trPr>
          <w:trHeight w:val="214"/>
        </w:trPr>
        <w:tc>
          <w:tcPr>
            <w:tcW w:w="6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18,497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23,927</w:t>
            </w:r>
          </w:p>
        </w:tc>
        <w:tc>
          <w:tcPr>
            <w:tcW w:w="100" w:type="dxa"/>
            <w:vAlign w:val="bottom"/>
          </w:tcPr>
          <w:p>
            <w:pPr>
              <w:spacing w:after="0"/>
              <w:rPr>
                <w:sz w:val="18"/>
                <w:szCs w:val="18"/>
                <w:color w:val="auto"/>
              </w:rPr>
            </w:pPr>
          </w:p>
        </w:tc>
      </w:tr>
      <w:tr>
        <w:trPr>
          <w:trHeight w:val="221"/>
        </w:trPr>
        <w:tc>
          <w:tcPr>
            <w:tcW w:w="670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Fixed Income Investments, held to maturity</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FF0FC"/>
          </w:tcPr>
          <w:p>
            <w:pPr>
              <w:spacing w:after="0"/>
              <w:rPr>
                <w:sz w:val="19"/>
                <w:szCs w:val="19"/>
                <w:color w:val="auto"/>
              </w:rPr>
            </w:pPr>
          </w:p>
        </w:tc>
      </w:tr>
      <w:tr>
        <w:trPr>
          <w:trHeight w:val="221"/>
        </w:trPr>
        <w:tc>
          <w:tcPr>
            <w:tcW w:w="6700" w:type="dxa"/>
            <w:vAlign w:val="bottom"/>
          </w:tcPr>
          <w:p>
            <w:pPr>
              <w:spacing w:after="0"/>
              <w:rPr>
                <w:sz w:val="20"/>
                <w:szCs w:val="20"/>
                <w:color w:val="auto"/>
              </w:rPr>
            </w:pPr>
            <w:r>
              <w:rPr>
                <w:rFonts w:ascii="Arial" w:cs="Arial" w:eastAsia="Arial" w:hAnsi="Arial"/>
                <w:sz w:val="17"/>
                <w:szCs w:val="17"/>
                <w:i w:val="1"/>
                <w:iCs w:val="1"/>
                <w:color w:val="auto"/>
              </w:rPr>
              <w:t>Investments in Affiliated Companies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1,519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1,243</w:t>
            </w:r>
          </w:p>
        </w:tc>
        <w:tc>
          <w:tcPr>
            <w:tcW w:w="100" w:type="dxa"/>
            <w:vAlign w:val="bottom"/>
          </w:tcPr>
          <w:p>
            <w:pPr>
              <w:spacing w:after="0"/>
              <w:rPr>
                <w:sz w:val="19"/>
                <w:szCs w:val="19"/>
                <w:color w:val="auto"/>
              </w:rPr>
            </w:pPr>
          </w:p>
        </w:tc>
      </w:tr>
      <w:tr>
        <w:trPr>
          <w:trHeight w:val="221"/>
        </w:trPr>
        <w:tc>
          <w:tcPr>
            <w:tcW w:w="670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Fixed Assets less accumulated depreciation</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11,576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12,821</w:t>
            </w:r>
          </w:p>
        </w:tc>
        <w:tc>
          <w:tcPr>
            <w:tcW w:w="100" w:type="dxa"/>
            <w:vAlign w:val="bottom"/>
            <w:shd w:val="clear" w:color="auto" w:fill="CFF0FC"/>
          </w:tcPr>
          <w:p>
            <w:pPr>
              <w:spacing w:after="0"/>
              <w:rPr>
                <w:sz w:val="19"/>
                <w:szCs w:val="19"/>
                <w:color w:val="auto"/>
              </w:rPr>
            </w:pPr>
          </w:p>
        </w:tc>
      </w:tr>
      <w:tr>
        <w:trPr>
          <w:trHeight w:val="221"/>
        </w:trPr>
        <w:tc>
          <w:tcPr>
            <w:tcW w:w="6700" w:type="dxa"/>
            <w:vAlign w:val="bottom"/>
          </w:tcPr>
          <w:p>
            <w:pPr>
              <w:spacing w:after="0"/>
              <w:rPr>
                <w:sz w:val="20"/>
                <w:szCs w:val="20"/>
                <w:color w:val="auto"/>
              </w:rPr>
            </w:pPr>
            <w:r>
              <w:rPr>
                <w:rFonts w:ascii="Arial" w:cs="Arial" w:eastAsia="Arial" w:hAnsi="Arial"/>
                <w:sz w:val="17"/>
                <w:szCs w:val="17"/>
                <w:i w:val="1"/>
                <w:iCs w:val="1"/>
                <w:color w:val="auto"/>
              </w:rPr>
              <w:t>Multiclient Seismic Data</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727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1,073</w:t>
            </w:r>
          </w:p>
        </w:tc>
        <w:tc>
          <w:tcPr>
            <w:tcW w:w="100" w:type="dxa"/>
            <w:vAlign w:val="bottom"/>
          </w:tcPr>
          <w:p>
            <w:pPr>
              <w:spacing w:after="0"/>
              <w:rPr>
                <w:sz w:val="19"/>
                <w:szCs w:val="19"/>
                <w:color w:val="auto"/>
              </w:rPr>
            </w:pPr>
          </w:p>
        </w:tc>
      </w:tr>
      <w:tr>
        <w:trPr>
          <w:trHeight w:val="221"/>
        </w:trPr>
        <w:tc>
          <w:tcPr>
            <w:tcW w:w="670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Goodwill</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25,118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24,990</w:t>
            </w:r>
          </w:p>
        </w:tc>
        <w:tc>
          <w:tcPr>
            <w:tcW w:w="100" w:type="dxa"/>
            <w:vAlign w:val="bottom"/>
            <w:shd w:val="clear" w:color="auto" w:fill="CFF0FC"/>
          </w:tcPr>
          <w:p>
            <w:pPr>
              <w:spacing w:after="0"/>
              <w:rPr>
                <w:sz w:val="19"/>
                <w:szCs w:val="19"/>
                <w:color w:val="auto"/>
              </w:rPr>
            </w:pPr>
          </w:p>
        </w:tc>
      </w:tr>
      <w:tr>
        <w:trPr>
          <w:trHeight w:val="221"/>
        </w:trPr>
        <w:tc>
          <w:tcPr>
            <w:tcW w:w="6700" w:type="dxa"/>
            <w:vAlign w:val="bottom"/>
          </w:tcPr>
          <w:p>
            <w:pPr>
              <w:spacing w:after="0"/>
              <w:rPr>
                <w:sz w:val="20"/>
                <w:szCs w:val="20"/>
                <w:color w:val="auto"/>
              </w:rPr>
            </w:pPr>
            <w:r>
              <w:rPr>
                <w:rFonts w:ascii="Arial" w:cs="Arial" w:eastAsia="Arial" w:hAnsi="Arial"/>
                <w:sz w:val="17"/>
                <w:szCs w:val="17"/>
                <w:i w:val="1"/>
                <w:iCs w:val="1"/>
                <w:color w:val="auto"/>
              </w:rPr>
              <w:t>Intangible Assets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9,354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9,855</w:t>
            </w:r>
          </w:p>
        </w:tc>
        <w:tc>
          <w:tcPr>
            <w:tcW w:w="100" w:type="dxa"/>
            <w:vAlign w:val="bottom"/>
          </w:tcPr>
          <w:p>
            <w:pPr>
              <w:spacing w:after="0"/>
              <w:rPr>
                <w:sz w:val="19"/>
                <w:szCs w:val="19"/>
                <w:color w:val="auto"/>
              </w:rPr>
            </w:pPr>
          </w:p>
        </w:tc>
      </w:tr>
      <w:tr>
        <w:trPr>
          <w:trHeight w:val="221"/>
        </w:trPr>
        <w:tc>
          <w:tcPr>
            <w:tcW w:w="670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Other Assets</w:t>
            </w:r>
          </w:p>
        </w:tc>
        <w:tc>
          <w:tcPr>
            <w:tcW w:w="1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5,196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3,809</w:t>
            </w:r>
          </w:p>
        </w:tc>
        <w:tc>
          <w:tcPr>
            <w:tcW w:w="100" w:type="dxa"/>
            <w:vAlign w:val="bottom"/>
            <w:shd w:val="clear" w:color="auto" w:fill="CFF0FC"/>
          </w:tcPr>
          <w:p>
            <w:pPr>
              <w:spacing w:after="0"/>
              <w:rPr>
                <w:sz w:val="19"/>
                <w:szCs w:val="19"/>
                <w:color w:val="auto"/>
              </w:rPr>
            </w:pPr>
          </w:p>
        </w:tc>
      </w:tr>
      <w:tr>
        <w:trPr>
          <w:trHeight w:val="254"/>
        </w:trPr>
        <w:tc>
          <w:tcPr>
            <w:tcW w:w="6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71,987</w:t>
            </w:r>
          </w:p>
        </w:tc>
        <w:tc>
          <w:tcPr>
            <w:tcW w:w="18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77,956</w:t>
            </w:r>
          </w:p>
        </w:tc>
        <w:tc>
          <w:tcPr>
            <w:tcW w:w="100" w:type="dxa"/>
            <w:vAlign w:val="bottom"/>
          </w:tcPr>
          <w:p>
            <w:pPr>
              <w:spacing w:after="0"/>
              <w:rPr>
                <w:sz w:val="22"/>
                <w:szCs w:val="22"/>
                <w:color w:val="auto"/>
              </w:rPr>
            </w:pPr>
          </w:p>
        </w:tc>
      </w:tr>
      <w:tr>
        <w:trPr>
          <w:trHeight w:val="200"/>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i w:val="1"/>
                <w:iCs w:val="1"/>
                <w:color w:val="auto"/>
              </w:rPr>
              <w:t>LIABILITIES AND EQUITY</w:t>
            </w:r>
          </w:p>
        </w:tc>
        <w:tc>
          <w:tcPr>
            <w:tcW w:w="1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1"/>
        </w:trPr>
        <w:tc>
          <w:tcPr>
            <w:tcW w:w="6700" w:type="dxa"/>
            <w:vAlign w:val="bottom"/>
          </w:tcPr>
          <w:p>
            <w:pPr>
              <w:spacing w:after="0"/>
              <w:rPr>
                <w:sz w:val="20"/>
                <w:szCs w:val="20"/>
                <w:color w:val="auto"/>
              </w:rPr>
            </w:pPr>
            <w:r>
              <w:rPr>
                <w:rFonts w:ascii="Arial" w:cs="Arial" w:eastAsia="Arial" w:hAnsi="Arial"/>
                <w:sz w:val="17"/>
                <w:szCs w:val="17"/>
                <w:i w:val="1"/>
                <w:iCs w:val="1"/>
                <w:color w:val="auto"/>
              </w:rPr>
              <w:t>Current Liabilities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Accounts payable and accrued liabilities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10,036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10,016</w:t>
            </w:r>
          </w:p>
        </w:tc>
        <w:tc>
          <w:tcPr>
            <w:tcW w:w="100" w:type="dxa"/>
            <w:vAlign w:val="bottom"/>
            <w:shd w:val="clear" w:color="auto" w:fill="CFF0FC"/>
          </w:tcPr>
          <w:p>
            <w:pPr>
              <w:spacing w:after="0"/>
              <w:rPr>
                <w:sz w:val="19"/>
                <w:szCs w:val="19"/>
                <w:color w:val="auto"/>
              </w:rPr>
            </w:pPr>
          </w:p>
        </w:tc>
      </w:tr>
      <w:tr>
        <w:trPr>
          <w:trHeight w:val="221"/>
        </w:trPr>
        <w:tc>
          <w:tcPr>
            <w:tcW w:w="6700" w:type="dxa"/>
            <w:vAlign w:val="bottom"/>
          </w:tcPr>
          <w:p>
            <w:pPr>
              <w:ind w:left="240"/>
              <w:spacing w:after="0"/>
              <w:rPr>
                <w:sz w:val="20"/>
                <w:szCs w:val="20"/>
                <w:color w:val="auto"/>
              </w:rPr>
            </w:pPr>
            <w:r>
              <w:rPr>
                <w:rFonts w:ascii="Arial" w:cs="Arial" w:eastAsia="Arial" w:hAnsi="Arial"/>
                <w:sz w:val="17"/>
                <w:szCs w:val="17"/>
                <w:color w:val="auto"/>
              </w:rPr>
              <w:t>Estimated liability for taxes on income</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1,223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1,188</w:t>
            </w:r>
          </w:p>
        </w:tc>
        <w:tc>
          <w:tcPr>
            <w:tcW w:w="100" w:type="dxa"/>
            <w:vAlign w:val="bottom"/>
          </w:tcPr>
          <w:p>
            <w:pPr>
              <w:spacing w:after="0"/>
              <w:rPr>
                <w:sz w:val="19"/>
                <w:szCs w:val="19"/>
                <w:color w:val="auto"/>
              </w:rPr>
            </w:pPr>
          </w:p>
        </w:tc>
      </w:tr>
      <w:tr>
        <w:trPr>
          <w:trHeight w:val="221"/>
        </w:trPr>
        <w:tc>
          <w:tcPr>
            <w:tcW w:w="6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Short-term borrowings and current portion of long-term debt</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3,324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3,153</w:t>
            </w:r>
          </w:p>
        </w:tc>
        <w:tc>
          <w:tcPr>
            <w:tcW w:w="100" w:type="dxa"/>
            <w:vAlign w:val="bottom"/>
            <w:shd w:val="clear" w:color="auto" w:fill="CFF0FC"/>
          </w:tcPr>
          <w:p>
            <w:pPr>
              <w:spacing w:after="0"/>
              <w:rPr>
                <w:sz w:val="19"/>
                <w:szCs w:val="19"/>
                <w:color w:val="auto"/>
              </w:rPr>
            </w:pPr>
          </w:p>
        </w:tc>
      </w:tr>
      <w:tr>
        <w:trPr>
          <w:trHeight w:val="221"/>
        </w:trPr>
        <w:tc>
          <w:tcPr>
            <w:tcW w:w="67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Dividends payable</w:t>
            </w:r>
          </w:p>
        </w:tc>
        <w:tc>
          <w:tcPr>
            <w:tcW w:w="1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Borders>
              <w:bottom w:val="single" w:sz="8" w:color="CFF0FC"/>
            </w:tcBorders>
          </w:tcPr>
          <w:p>
            <w:pPr>
              <w:spacing w:after="0"/>
              <w:rPr>
                <w:sz w:val="19"/>
                <w:szCs w:val="19"/>
                <w:color w:val="auto"/>
              </w:rPr>
            </w:pPr>
          </w:p>
        </w:tc>
      </w:tr>
      <w:tr>
        <w:trPr>
          <w:trHeight w:val="214"/>
        </w:trPr>
        <w:tc>
          <w:tcPr>
            <w:tcW w:w="67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15,282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15,059</w:t>
            </w:r>
          </w:p>
        </w:tc>
        <w:tc>
          <w:tcPr>
            <w:tcW w:w="100" w:type="dxa"/>
            <w:vAlign w:val="bottom"/>
            <w:shd w:val="clear" w:color="auto" w:fill="CFF0FC"/>
          </w:tcPr>
          <w:p>
            <w:pPr>
              <w:spacing w:after="0"/>
              <w:rPr>
                <w:sz w:val="18"/>
                <w:szCs w:val="18"/>
                <w:color w:val="auto"/>
              </w:rPr>
            </w:pPr>
          </w:p>
        </w:tc>
      </w:tr>
      <w:tr>
        <w:trPr>
          <w:trHeight w:val="221"/>
        </w:trPr>
        <w:tc>
          <w:tcPr>
            <w:tcW w:w="6700" w:type="dxa"/>
            <w:vAlign w:val="bottom"/>
          </w:tcPr>
          <w:p>
            <w:pPr>
              <w:spacing w:after="0"/>
              <w:rPr>
                <w:sz w:val="20"/>
                <w:szCs w:val="20"/>
                <w:color w:val="auto"/>
              </w:rPr>
            </w:pPr>
            <w:r>
              <w:rPr>
                <w:rFonts w:ascii="Arial" w:cs="Arial" w:eastAsia="Arial" w:hAnsi="Arial"/>
                <w:sz w:val="17"/>
                <w:szCs w:val="17"/>
                <w:i w:val="1"/>
                <w:iCs w:val="1"/>
                <w:color w:val="auto"/>
              </w:rPr>
              <w:t>Long-term Debt</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14,875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16,463</w:t>
            </w:r>
          </w:p>
        </w:tc>
        <w:tc>
          <w:tcPr>
            <w:tcW w:w="100" w:type="dxa"/>
            <w:vAlign w:val="bottom"/>
          </w:tcPr>
          <w:p>
            <w:pPr>
              <w:spacing w:after="0"/>
              <w:rPr>
                <w:sz w:val="19"/>
                <w:szCs w:val="19"/>
                <w:color w:val="auto"/>
              </w:rPr>
            </w:pPr>
          </w:p>
        </w:tc>
      </w:tr>
      <w:tr>
        <w:trPr>
          <w:trHeight w:val="221"/>
        </w:trPr>
        <w:tc>
          <w:tcPr>
            <w:tcW w:w="670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Postretirement Benefits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1,082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1,495</w:t>
            </w:r>
          </w:p>
        </w:tc>
        <w:tc>
          <w:tcPr>
            <w:tcW w:w="100" w:type="dxa"/>
            <w:vAlign w:val="bottom"/>
            <w:shd w:val="clear" w:color="auto" w:fill="CFF0FC"/>
          </w:tcPr>
          <w:p>
            <w:pPr>
              <w:spacing w:after="0"/>
              <w:rPr>
                <w:sz w:val="19"/>
                <w:szCs w:val="19"/>
                <w:color w:val="auto"/>
              </w:rPr>
            </w:pPr>
          </w:p>
        </w:tc>
      </w:tr>
      <w:tr>
        <w:trPr>
          <w:trHeight w:val="221"/>
        </w:trPr>
        <w:tc>
          <w:tcPr>
            <w:tcW w:w="6700" w:type="dxa"/>
            <w:vAlign w:val="bottom"/>
          </w:tcPr>
          <w:p>
            <w:pPr>
              <w:spacing w:after="0"/>
              <w:rPr>
                <w:sz w:val="20"/>
                <w:szCs w:val="20"/>
                <w:color w:val="auto"/>
              </w:rPr>
            </w:pPr>
            <w:r>
              <w:rPr>
                <w:rFonts w:ascii="Arial" w:cs="Arial" w:eastAsia="Arial" w:hAnsi="Arial"/>
                <w:sz w:val="17"/>
                <w:szCs w:val="17"/>
                <w:i w:val="1"/>
                <w:iCs w:val="1"/>
                <w:color w:val="auto"/>
              </w:rPr>
              <w:t>Deferred Taxes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1,650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1,880</w:t>
            </w:r>
          </w:p>
        </w:tc>
        <w:tc>
          <w:tcPr>
            <w:tcW w:w="100" w:type="dxa"/>
            <w:vAlign w:val="bottom"/>
          </w:tcPr>
          <w:p>
            <w:pPr>
              <w:spacing w:after="0"/>
              <w:rPr>
                <w:sz w:val="19"/>
                <w:szCs w:val="19"/>
                <w:color w:val="auto"/>
              </w:rPr>
            </w:pPr>
          </w:p>
        </w:tc>
      </w:tr>
      <w:tr>
        <w:trPr>
          <w:trHeight w:val="221"/>
        </w:trPr>
        <w:tc>
          <w:tcPr>
            <w:tcW w:w="670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Other Liabilities</w:t>
            </w:r>
          </w:p>
        </w:tc>
        <w:tc>
          <w:tcPr>
            <w:tcW w:w="1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1,837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1,530</w:t>
            </w:r>
          </w:p>
        </w:tc>
        <w:tc>
          <w:tcPr>
            <w:tcW w:w="100" w:type="dxa"/>
            <w:vAlign w:val="bottom"/>
            <w:shd w:val="clear" w:color="auto" w:fill="CFF0FC"/>
          </w:tcPr>
          <w:p>
            <w:pPr>
              <w:spacing w:after="0"/>
              <w:rPr>
                <w:sz w:val="19"/>
                <w:szCs w:val="19"/>
                <w:color w:val="auto"/>
              </w:rPr>
            </w:pPr>
          </w:p>
        </w:tc>
      </w:tr>
      <w:tr>
        <w:trPr>
          <w:trHeight w:val="214"/>
        </w:trPr>
        <w:tc>
          <w:tcPr>
            <w:tcW w:w="670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34,726</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36,427</w:t>
            </w:r>
          </w:p>
        </w:tc>
        <w:tc>
          <w:tcPr>
            <w:tcW w:w="100" w:type="dxa"/>
            <w:vAlign w:val="bottom"/>
            <w:tcBorders>
              <w:bottom w:val="single" w:sz="8" w:color="CFF0FC"/>
            </w:tcBorders>
          </w:tcPr>
          <w:p>
            <w:pPr>
              <w:spacing w:after="0"/>
              <w:rPr>
                <w:sz w:val="18"/>
                <w:szCs w:val="18"/>
                <w:color w:val="auto"/>
              </w:rPr>
            </w:pPr>
          </w:p>
        </w:tc>
      </w:tr>
      <w:tr>
        <w:trPr>
          <w:trHeight w:val="214"/>
        </w:trPr>
        <w:tc>
          <w:tcPr>
            <w:tcW w:w="670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Equity</w:t>
            </w: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700" w:type="dxa"/>
            <w:vAlign w:val="bottom"/>
          </w:tcPr>
          <w:p>
            <w:pPr>
              <w:ind w:left="240"/>
              <w:spacing w:after="0"/>
              <w:rPr>
                <w:sz w:val="20"/>
                <w:szCs w:val="20"/>
                <w:color w:val="auto"/>
              </w:rPr>
            </w:pPr>
            <w:r>
              <w:rPr>
                <w:rFonts w:ascii="Arial" w:cs="Arial" w:eastAsia="Arial" w:hAnsi="Arial"/>
                <w:sz w:val="17"/>
                <w:szCs w:val="17"/>
                <w:color w:val="auto"/>
              </w:rPr>
              <w:t>Common stock</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12,975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12,801</w:t>
            </w:r>
          </w:p>
        </w:tc>
        <w:tc>
          <w:tcPr>
            <w:tcW w:w="100" w:type="dxa"/>
            <w:vAlign w:val="bottom"/>
          </w:tcPr>
          <w:p>
            <w:pPr>
              <w:spacing w:after="0"/>
              <w:rPr>
                <w:sz w:val="19"/>
                <w:szCs w:val="19"/>
                <w:color w:val="auto"/>
              </w:rPr>
            </w:pPr>
          </w:p>
        </w:tc>
      </w:tr>
      <w:tr>
        <w:trPr>
          <w:trHeight w:val="221"/>
        </w:trPr>
        <w:tc>
          <w:tcPr>
            <w:tcW w:w="6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Treasury stock</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(4,049)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(3,550)</w:t>
            </w:r>
          </w:p>
        </w:tc>
      </w:tr>
      <w:tr>
        <w:trPr>
          <w:trHeight w:val="221"/>
        </w:trPr>
        <w:tc>
          <w:tcPr>
            <w:tcW w:w="6700" w:type="dxa"/>
            <w:vAlign w:val="bottom"/>
          </w:tcPr>
          <w:p>
            <w:pPr>
              <w:ind w:left="240"/>
              <w:spacing w:after="0"/>
              <w:rPr>
                <w:sz w:val="20"/>
                <w:szCs w:val="20"/>
                <w:color w:val="auto"/>
              </w:rPr>
            </w:pPr>
            <w:r>
              <w:rPr>
                <w:rFonts w:ascii="Arial" w:cs="Arial" w:eastAsia="Arial" w:hAnsi="Arial"/>
                <w:sz w:val="17"/>
                <w:szCs w:val="17"/>
                <w:color w:val="auto"/>
              </w:rPr>
              <w:t>Retained earnings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32,190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36,470</w:t>
            </w:r>
          </w:p>
        </w:tc>
        <w:tc>
          <w:tcPr>
            <w:tcW w:w="100" w:type="dxa"/>
            <w:vAlign w:val="bottom"/>
          </w:tcPr>
          <w:p>
            <w:pPr>
              <w:spacing w:after="0"/>
              <w:rPr>
                <w:sz w:val="19"/>
                <w:szCs w:val="19"/>
                <w:color w:val="auto"/>
              </w:rPr>
            </w:pPr>
          </w:p>
        </w:tc>
      </w:tr>
      <w:tr>
        <w:trPr>
          <w:trHeight w:val="221"/>
        </w:trPr>
        <w:tc>
          <w:tcPr>
            <w:tcW w:w="6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other comprehensive loss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(4,274)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(4,643)</w:t>
            </w:r>
          </w:p>
        </w:tc>
      </w:tr>
      <w:tr>
        <w:trPr>
          <w:trHeight w:val="214"/>
        </w:trPr>
        <w:tc>
          <w:tcPr>
            <w:tcW w:w="6700" w:type="dxa"/>
            <w:vAlign w:val="bottom"/>
          </w:tcPr>
          <w:p>
            <w:pPr>
              <w:ind w:left="240"/>
              <w:spacing w:after="0"/>
              <w:rPr>
                <w:sz w:val="20"/>
                <w:szCs w:val="20"/>
                <w:color w:val="auto"/>
              </w:rPr>
            </w:pPr>
            <w:r>
              <w:rPr>
                <w:rFonts w:ascii="Arial" w:cs="Arial" w:eastAsia="Arial" w:hAnsi="Arial"/>
                <w:sz w:val="17"/>
                <w:szCs w:val="17"/>
                <w:color w:val="auto"/>
              </w:rPr>
              <w:t>Schlumberger stockholders' equity</w:t>
            </w:r>
          </w:p>
        </w:tc>
        <w:tc>
          <w:tcPr>
            <w:tcW w:w="1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36,842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41,078</w:t>
            </w:r>
          </w:p>
        </w:tc>
        <w:tc>
          <w:tcPr>
            <w:tcW w:w="100" w:type="dxa"/>
            <w:vAlign w:val="bottom"/>
          </w:tcPr>
          <w:p>
            <w:pPr>
              <w:spacing w:after="0"/>
              <w:rPr>
                <w:sz w:val="18"/>
                <w:szCs w:val="18"/>
                <w:color w:val="auto"/>
              </w:rPr>
            </w:pPr>
          </w:p>
        </w:tc>
      </w:tr>
      <w:tr>
        <w:trPr>
          <w:trHeight w:val="221"/>
        </w:trPr>
        <w:tc>
          <w:tcPr>
            <w:tcW w:w="6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Noncontrolling interests</w:t>
            </w:r>
          </w:p>
        </w:tc>
        <w:tc>
          <w:tcPr>
            <w:tcW w:w="1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419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451</w:t>
            </w:r>
          </w:p>
        </w:tc>
        <w:tc>
          <w:tcPr>
            <w:tcW w:w="100" w:type="dxa"/>
            <w:vAlign w:val="bottom"/>
            <w:shd w:val="clear" w:color="auto" w:fill="CFF0FC"/>
          </w:tcPr>
          <w:p>
            <w:pPr>
              <w:spacing w:after="0"/>
              <w:rPr>
                <w:sz w:val="19"/>
                <w:szCs w:val="19"/>
                <w:color w:val="auto"/>
              </w:rPr>
            </w:pPr>
          </w:p>
        </w:tc>
      </w:tr>
      <w:tr>
        <w:trPr>
          <w:trHeight w:val="214"/>
        </w:trPr>
        <w:tc>
          <w:tcPr>
            <w:tcW w:w="670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37,261</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41,529</w:t>
            </w:r>
          </w:p>
        </w:tc>
        <w:tc>
          <w:tcPr>
            <w:tcW w:w="100" w:type="dxa"/>
            <w:vAlign w:val="bottom"/>
            <w:tcBorders>
              <w:bottom w:val="single" w:sz="8" w:color="CFF0FC"/>
            </w:tcBorders>
          </w:tcPr>
          <w:p>
            <w:pPr>
              <w:spacing w:after="0"/>
              <w:rPr>
                <w:sz w:val="18"/>
                <w:szCs w:val="18"/>
                <w:color w:val="auto"/>
              </w:rPr>
            </w:pPr>
          </w:p>
        </w:tc>
      </w:tr>
      <w:tr>
        <w:trPr>
          <w:trHeight w:val="214"/>
        </w:trPr>
        <w:tc>
          <w:tcPr>
            <w:tcW w:w="67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71,987</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77,956</w:t>
            </w:r>
          </w:p>
        </w:tc>
        <w:tc>
          <w:tcPr>
            <w:tcW w:w="100" w:type="dxa"/>
            <w:vAlign w:val="bottom"/>
            <w:shd w:val="clear" w:color="auto" w:fill="CFF0FC"/>
          </w:tcPr>
          <w:p>
            <w:pPr>
              <w:spacing w:after="0"/>
              <w:rPr>
                <w:sz w:val="18"/>
                <w:szCs w:val="18"/>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3720"/>
        <w:spacing w:after="0"/>
        <w:rPr>
          <w:sz w:val="20"/>
          <w:szCs w:val="20"/>
          <w:color w:val="auto"/>
        </w:rPr>
      </w:pPr>
      <w:r>
        <w:rPr>
          <w:rFonts w:ascii="Arial" w:cs="Arial" w:eastAsia="Arial" w:hAnsi="Arial"/>
          <w:sz w:val="17"/>
          <w:szCs w:val="17"/>
          <w:b w:val="1"/>
          <w:bCs w:val="1"/>
          <w:color w:val="auto"/>
        </w:rPr>
        <w:t>SCHLUMBERGER LIMITED AND SUBSIDIARIES</w:t>
      </w:r>
    </w:p>
    <w:p>
      <w:pPr>
        <w:spacing w:after="0" w:line="116"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CONSOLIDATED STATEMENT OF CASH FLOWS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298"/>
        </w:trPr>
        <w:tc>
          <w:tcPr>
            <w:tcW w:w="60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2017</w:t>
            </w:r>
          </w:p>
        </w:tc>
        <w:tc>
          <w:tcPr>
            <w:tcW w:w="2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color w:val="auto"/>
              </w:rPr>
              <w:t>2016</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color w:val="auto"/>
              </w:rPr>
              <w:t>2015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940" w:type="dxa"/>
            <w:vAlign w:val="bottom"/>
            <w:gridSpan w:val="2"/>
          </w:tcPr>
          <w:p>
            <w:pPr>
              <w:jc w:val="right"/>
              <w:ind w:right="148"/>
              <w:spacing w:after="0"/>
              <w:rPr>
                <w:sz w:val="20"/>
                <w:szCs w:val="20"/>
                <w:color w:val="auto"/>
              </w:rPr>
            </w:pPr>
            <w:r>
              <w:rPr>
                <w:rFonts w:ascii="Arial" w:cs="Arial" w:eastAsia="Arial" w:hAnsi="Arial"/>
                <w:sz w:val="16"/>
                <w:szCs w:val="16"/>
                <w:b w:val="1"/>
                <w:bCs w:val="1"/>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(1,513)</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(1,627)</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9"/>
              </w:rPr>
              <w:t>Adjustments to reconcile net income (loss) to cash provided by operating activities:</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600"/>
              <w:spacing w:after="0"/>
              <w:rPr>
                <w:sz w:val="20"/>
                <w:szCs w:val="20"/>
                <w:color w:val="auto"/>
              </w:rPr>
            </w:pPr>
            <w:r>
              <w:rPr>
                <w:rFonts w:ascii="Arial" w:cs="Arial" w:eastAsia="Arial" w:hAnsi="Arial"/>
                <w:sz w:val="16"/>
                <w:szCs w:val="16"/>
                <w:color w:val="auto"/>
              </w:rPr>
              <w:t>Impairments and other charges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3,764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3,820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600"/>
              <w:spacing w:after="0" w:line="210"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4"/>
                <w:szCs w:val="24"/>
                <w:color w:val="auto"/>
                <w:vertAlign w:val="superscript"/>
              </w:rPr>
              <w:t>(1)</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3,837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600"/>
              <w:spacing w:after="0"/>
              <w:rPr>
                <w:sz w:val="20"/>
                <w:szCs w:val="20"/>
                <w:color w:val="auto"/>
              </w:rPr>
            </w:pPr>
            <w:r>
              <w:rPr>
                <w:rFonts w:ascii="Arial" w:cs="Arial" w:eastAsia="Arial" w:hAnsi="Arial"/>
                <w:sz w:val="16"/>
                <w:szCs w:val="16"/>
                <w:color w:val="auto"/>
              </w:rPr>
              <w:t>Pension and other postretirement benefits expense</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Stock-based compensation expense</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600"/>
              <w:spacing w:after="0"/>
              <w:rPr>
                <w:sz w:val="20"/>
                <w:szCs w:val="20"/>
                <w:color w:val="auto"/>
              </w:rPr>
            </w:pPr>
            <w:r>
              <w:rPr>
                <w:rFonts w:ascii="Arial" w:cs="Arial" w:eastAsia="Arial" w:hAnsi="Arial"/>
                <w:sz w:val="16"/>
                <w:szCs w:val="16"/>
                <w:color w:val="auto"/>
              </w:rPr>
              <w:t>Pension and other postretirement benefits funding</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(133)</w:t>
            </w: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(174)</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Earnings of equity method investments, less dividends received</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(56)</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8"/>
        </w:trPr>
        <w:tc>
          <w:tcPr>
            <w:tcW w:w="6080" w:type="dxa"/>
            <w:vAlign w:val="bottom"/>
          </w:tcPr>
          <w:p>
            <w:pPr>
              <w:ind w:left="240"/>
              <w:spacing w:after="0" w:line="207"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4"/>
                <w:szCs w:val="24"/>
                <w:color w:val="auto"/>
                <w:vertAlign w:val="superscript"/>
              </w:rPr>
              <w:t>(2)</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decrease in receivables</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(124)</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600"/>
              <w:spacing w:after="0"/>
              <w:rPr>
                <w:sz w:val="20"/>
                <w:szCs w:val="20"/>
                <w:color w:val="auto"/>
              </w:rPr>
            </w:pPr>
            <w:r>
              <w:rPr>
                <w:rFonts w:ascii="Arial" w:cs="Arial" w:eastAsia="Arial" w:hAnsi="Arial"/>
                <w:sz w:val="16"/>
                <w:szCs w:val="16"/>
                <w:color w:val="auto"/>
              </w:rPr>
              <w:t>Decrease in inventories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decrease in other current assets</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(174)</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600"/>
              <w:spacing w:after="0"/>
              <w:rPr>
                <w:sz w:val="20"/>
                <w:szCs w:val="20"/>
                <w:color w:val="auto"/>
              </w:rPr>
            </w:pPr>
            <w:r>
              <w:rPr>
                <w:rFonts w:ascii="Arial" w:cs="Arial" w:eastAsia="Arial" w:hAnsi="Arial"/>
                <w:sz w:val="16"/>
                <w:szCs w:val="16"/>
                <w:color w:val="auto"/>
              </w:rPr>
              <w:t>Decrease (increase) in other assets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(488)</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 accounts payable and accrued liabilities</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(737)</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(1,680)</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(2,656)</w:t>
            </w:r>
          </w:p>
        </w:tc>
        <w:tc>
          <w:tcPr>
            <w:tcW w:w="0" w:type="dxa"/>
            <w:vAlign w:val="bottom"/>
          </w:tcPr>
          <w:p>
            <w:pPr>
              <w:spacing w:after="0"/>
              <w:rPr>
                <w:sz w:val="1"/>
                <w:szCs w:val="1"/>
                <w:color w:val="auto"/>
              </w:rPr>
            </w:pPr>
          </w:p>
        </w:tc>
      </w:tr>
      <w:tr>
        <w:trPr>
          <w:trHeight w:val="205"/>
        </w:trPr>
        <w:tc>
          <w:tcPr>
            <w:tcW w:w="6080" w:type="dxa"/>
            <w:vAlign w:val="bottom"/>
          </w:tcPr>
          <w:p>
            <w:pPr>
              <w:ind w:left="600"/>
              <w:spacing w:after="0"/>
              <w:rPr>
                <w:sz w:val="20"/>
                <w:szCs w:val="20"/>
                <w:color w:val="auto"/>
              </w:rPr>
            </w:pPr>
            <w:r>
              <w:rPr>
                <w:rFonts w:ascii="Arial" w:cs="Arial" w:eastAsia="Arial" w:hAnsi="Arial"/>
                <w:sz w:val="16"/>
                <w:szCs w:val="16"/>
                <w:color w:val="auto"/>
              </w:rPr>
              <w:t>Increase (decrease) in estimated liability for taxes on income</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(110)</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increase in other liabilities</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(28)</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600"/>
              <w:spacing w:after="0"/>
              <w:rPr>
                <w:sz w:val="20"/>
                <w:szCs w:val="20"/>
                <w:color w:val="auto"/>
              </w:rPr>
            </w:pPr>
            <w:r>
              <w:rPr>
                <w:rFonts w:ascii="Arial" w:cs="Arial" w:eastAsia="Arial" w:hAnsi="Arial"/>
                <w:sz w:val="16"/>
                <w:szCs w:val="16"/>
                <w:color w:val="auto"/>
              </w:rPr>
              <w:t>Other</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(234)</w:t>
            </w: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(251)</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6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5,663</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6,261</w:t>
            </w:r>
          </w:p>
        </w:tc>
        <w:tc>
          <w:tcPr>
            <w:tcW w:w="2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8,805</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Capital expenditures</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(2,107)</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(2,055)</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(2,410)</w:t>
            </w:r>
          </w:p>
        </w:tc>
        <w:tc>
          <w:tcPr>
            <w:tcW w:w="0" w:type="dxa"/>
            <w:vAlign w:val="bottom"/>
          </w:tcPr>
          <w:p>
            <w:pPr>
              <w:spacing w:after="0"/>
              <w:rPr>
                <w:sz w:val="1"/>
                <w:szCs w:val="1"/>
                <w:color w:val="auto"/>
              </w:rPr>
            </w:pPr>
          </w:p>
        </w:tc>
      </w:tr>
      <w:tr>
        <w:trPr>
          <w:trHeight w:val="205"/>
        </w:trPr>
        <w:tc>
          <w:tcPr>
            <w:tcW w:w="6080" w:type="dxa"/>
            <w:vAlign w:val="bottom"/>
          </w:tcPr>
          <w:p>
            <w:pPr>
              <w:ind w:left="360"/>
              <w:spacing w:after="0"/>
              <w:rPr>
                <w:sz w:val="20"/>
                <w:szCs w:val="20"/>
                <w:color w:val="auto"/>
              </w:rPr>
            </w:pPr>
            <w:r>
              <w:rPr>
                <w:rFonts w:ascii="Arial" w:cs="Arial" w:eastAsia="Arial" w:hAnsi="Arial"/>
                <w:sz w:val="16"/>
                <w:szCs w:val="16"/>
                <w:color w:val="auto"/>
              </w:rPr>
              <w:t>SPM investments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(1,609)</w:t>
            </w: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(1,031)</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Multiclient seismic data capitalized</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(276)</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(630)</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5"/>
        </w:trPr>
        <w:tc>
          <w:tcPr>
            <w:tcW w:w="6080" w:type="dxa"/>
            <w:vAlign w:val="bottom"/>
          </w:tcPr>
          <w:p>
            <w:pPr>
              <w:ind w:left="360"/>
              <w:spacing w:after="0"/>
              <w:rPr>
                <w:sz w:val="20"/>
                <w:szCs w:val="20"/>
                <w:color w:val="auto"/>
              </w:rPr>
            </w:pPr>
            <w:r>
              <w:rPr>
                <w:rFonts w:ascii="Arial" w:cs="Arial" w:eastAsia="Arial" w:hAnsi="Arial"/>
                <w:sz w:val="16"/>
                <w:szCs w:val="16"/>
                <w:color w:val="auto"/>
              </w:rPr>
              <w:t>Business acquisitions and investments, net of cash acquired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(847)</w:t>
            </w: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(2,398)</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Sale (purchase) of investments, net</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3,277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(5,848)</w:t>
            </w:r>
          </w:p>
        </w:tc>
        <w:tc>
          <w:tcPr>
            <w:tcW w:w="0" w:type="dxa"/>
            <w:vAlign w:val="bottom"/>
          </w:tcPr>
          <w:p>
            <w:pPr>
              <w:spacing w:after="0"/>
              <w:rPr>
                <w:sz w:val="1"/>
                <w:szCs w:val="1"/>
                <w:color w:val="auto"/>
              </w:rPr>
            </w:pPr>
          </w:p>
        </w:tc>
      </w:tr>
      <w:tr>
        <w:trPr>
          <w:trHeight w:val="205"/>
        </w:trPr>
        <w:tc>
          <w:tcPr>
            <w:tcW w:w="6080" w:type="dxa"/>
            <w:vAlign w:val="bottom"/>
          </w:tcPr>
          <w:p>
            <w:pPr>
              <w:ind w:left="360"/>
              <w:spacing w:after="0"/>
              <w:rPr>
                <w:sz w:val="20"/>
                <w:szCs w:val="20"/>
                <w:color w:val="auto"/>
              </w:rPr>
            </w:pPr>
            <w:r>
              <w:rPr>
                <w:rFonts w:ascii="Arial" w:cs="Arial" w:eastAsia="Arial" w:hAnsi="Arial"/>
                <w:sz w:val="16"/>
                <w:szCs w:val="16"/>
                <w:color w:val="auto"/>
              </w:rPr>
              <w:t>Other</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(217)</w:t>
            </w: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(1,779)</w:t>
            </w:r>
          </w:p>
        </w:tc>
        <w:tc>
          <w:tcPr>
            <w:tcW w:w="260" w:type="dxa"/>
            <w:vAlign w:val="bottom"/>
            <w:vMerge w:val="continue"/>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(624)</w:t>
            </w: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(10,252)</w:t>
            </w:r>
          </w:p>
        </w:tc>
        <w:tc>
          <w:tcPr>
            <w:tcW w:w="0" w:type="dxa"/>
            <w:vAlign w:val="bottom"/>
          </w:tcPr>
          <w:p>
            <w:pPr>
              <w:spacing w:after="0"/>
              <w:rPr>
                <w:sz w:val="1"/>
                <w:szCs w:val="1"/>
                <w:color w:val="auto"/>
              </w:rPr>
            </w:pPr>
          </w:p>
        </w:tc>
      </w:tr>
      <w:tr>
        <w:trPr>
          <w:trHeight w:val="198"/>
        </w:trPr>
        <w:tc>
          <w:tcPr>
            <w:tcW w:w="60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6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Dividends paid</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(2,778)</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(2,647)</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(2,419)</w:t>
            </w:r>
          </w:p>
        </w:tc>
        <w:tc>
          <w:tcPr>
            <w:tcW w:w="0" w:type="dxa"/>
            <w:vAlign w:val="bottom"/>
          </w:tcPr>
          <w:p>
            <w:pPr>
              <w:spacing w:after="0"/>
              <w:rPr>
                <w:sz w:val="1"/>
                <w:szCs w:val="1"/>
                <w:color w:val="auto"/>
              </w:rPr>
            </w:pPr>
          </w:p>
        </w:tc>
      </w:tr>
      <w:tr>
        <w:trPr>
          <w:trHeight w:val="205"/>
        </w:trPr>
        <w:tc>
          <w:tcPr>
            <w:tcW w:w="6080" w:type="dxa"/>
            <w:vAlign w:val="bottom"/>
          </w:tcPr>
          <w:p>
            <w:pPr>
              <w:ind w:left="360"/>
              <w:spacing w:after="0"/>
              <w:rPr>
                <w:sz w:val="20"/>
                <w:szCs w:val="20"/>
                <w:color w:val="auto"/>
              </w:rPr>
            </w:pPr>
            <w:r>
              <w:rPr>
                <w:rFonts w:ascii="Arial" w:cs="Arial" w:eastAsia="Arial" w:hAnsi="Arial"/>
                <w:sz w:val="16"/>
                <w:szCs w:val="16"/>
                <w:color w:val="auto"/>
              </w:rPr>
              <w:t>Proceeds from employee stock purchase plan</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212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360"/>
              <w:spacing w:after="0"/>
              <w:rPr>
                <w:sz w:val="20"/>
                <w:szCs w:val="20"/>
                <w:color w:val="auto"/>
              </w:rPr>
            </w:pPr>
            <w:r>
              <w:rPr>
                <w:rFonts w:ascii="Arial" w:cs="Arial" w:eastAsia="Arial" w:hAnsi="Arial"/>
                <w:sz w:val="16"/>
                <w:szCs w:val="16"/>
                <w:color w:val="auto"/>
              </w:rPr>
              <w:t>Stock repurchase program</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(969)</w:t>
            </w: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(778)</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2,371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80" w:type="dxa"/>
            <w:vAlign w:val="bottom"/>
          </w:tcPr>
          <w:p>
            <w:pPr>
              <w:ind w:left="360"/>
              <w:spacing w:after="0"/>
              <w:rPr>
                <w:sz w:val="20"/>
                <w:szCs w:val="20"/>
                <w:color w:val="auto"/>
              </w:rPr>
            </w:pPr>
            <w:r>
              <w:rPr>
                <w:rFonts w:ascii="Arial" w:cs="Arial" w:eastAsia="Arial" w:hAnsi="Arial"/>
                <w:sz w:val="16"/>
                <w:szCs w:val="16"/>
                <w:color w:val="auto"/>
              </w:rPr>
              <w:t>Repayment of long-term debt</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(2,961)</w:t>
            </w: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(5,630)</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Net decrease in short-term borrowings</w:t>
            </w: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(1,022)</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(387)</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5"/>
        </w:trPr>
        <w:tc>
          <w:tcPr>
            <w:tcW w:w="6080" w:type="dxa"/>
            <w:vAlign w:val="bottom"/>
          </w:tcPr>
          <w:p>
            <w:pPr>
              <w:ind w:left="360"/>
              <w:spacing w:after="0"/>
              <w:rPr>
                <w:sz w:val="20"/>
                <w:szCs w:val="20"/>
                <w:color w:val="auto"/>
              </w:rPr>
            </w:pPr>
            <w:r>
              <w:rPr>
                <w:rFonts w:ascii="Arial" w:cs="Arial" w:eastAsia="Arial" w:hAnsi="Arial"/>
                <w:sz w:val="16"/>
                <w:szCs w:val="16"/>
                <w:color w:val="auto"/>
              </w:rPr>
              <w:t>Other</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PROVIDED BY FINANCING ACTIVITIES</w:t>
            </w:r>
          </w:p>
        </w:tc>
        <w:tc>
          <w:tcPr>
            <w:tcW w:w="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(5,033)</w:t>
            </w:r>
          </w:p>
        </w:tc>
        <w:tc>
          <w:tcPr>
            <w:tcW w:w="260" w:type="dxa"/>
            <w:vAlign w:val="bottom"/>
            <w:vMerge w:val="continue"/>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(5,428)</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color w:val="auto"/>
              </w:rPr>
              <w:t>Cash flow used in discontinued operations - operating activities</w:t>
            </w: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increase in cash before translation effect</w:t>
            </w:r>
          </w:p>
        </w:tc>
        <w:tc>
          <w:tcPr>
            <w:tcW w:w="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(1,149)</w:t>
            </w:r>
          </w:p>
        </w:tc>
        <w:tc>
          <w:tcPr>
            <w:tcW w:w="260" w:type="dxa"/>
            <w:vAlign w:val="bottom"/>
            <w:vMerge w:val="continue"/>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6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2,929</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2,793</w:t>
            </w: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tcPr>
          <w:p>
            <w:pPr>
              <w:spacing w:after="0"/>
              <w:rPr>
                <w:sz w:val="20"/>
                <w:szCs w:val="20"/>
                <w:color w:val="auto"/>
              </w:rPr>
            </w:pPr>
            <w:r>
              <w:rPr>
                <w:rFonts w:ascii="Arial" w:cs="Arial" w:eastAsia="Arial" w:hAnsi="Arial"/>
                <w:sz w:val="16"/>
                <w:szCs w:val="16"/>
                <w:color w:val="auto"/>
              </w:rPr>
              <w:t>Cash, end of period</w:t>
            </w:r>
          </w:p>
        </w:tc>
        <w:tc>
          <w:tcPr>
            <w:tcW w:w="64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1,799</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2,929</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516"/>
        <w:spacing w:after="0"/>
        <w:tabs>
          <w:tab w:leader="none" w:pos="520"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22" w:lineRule="exact"/>
        <w:rPr>
          <w:rFonts w:ascii="Arial" w:cs="Arial" w:eastAsia="Arial" w:hAnsi="Arial"/>
          <w:sz w:val="25"/>
          <w:szCs w:val="25"/>
          <w:color w:val="auto"/>
          <w:vertAlign w:val="superscript"/>
        </w:rPr>
      </w:pPr>
    </w:p>
    <w:p>
      <w:pPr>
        <w:ind w:left="520" w:hanging="516"/>
        <w:spacing w:after="0" w:line="183" w:lineRule="auto"/>
        <w:tabs>
          <w:tab w:leader="none" w:pos="520" w:val="left"/>
        </w:tabs>
        <w:numPr>
          <w:ilvl w:val="0"/>
          <w:numId w:val="22"/>
        </w:numPr>
        <w:rPr>
          <w:rFonts w:ascii="Arial" w:cs="Arial" w:eastAsia="Arial" w:hAnsi="Arial"/>
          <w:sz w:val="21"/>
          <w:szCs w:val="21"/>
          <w:color w:val="auto"/>
          <w:vertAlign w:val="superscript"/>
        </w:rPr>
      </w:pPr>
      <w:r>
        <w:rPr>
          <w:rFonts w:ascii="Arial" w:cs="Arial" w:eastAsia="Arial" w:hAnsi="Arial"/>
          <w:sz w:val="13"/>
          <w:szCs w:val="13"/>
          <w:color w:val="auto"/>
        </w:rPr>
        <w:t>Net of the effect of business acquisitions and divestitures.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ind w:right="100"/>
        <w:spacing w:after="0"/>
        <w:rPr>
          <w:sz w:val="20"/>
          <w:szCs w:val="20"/>
          <w:color w:val="auto"/>
        </w:rPr>
      </w:pPr>
      <w:r>
        <w:rPr>
          <w:rFonts w:ascii="Arial" w:cs="Arial" w:eastAsia="Arial" w:hAnsi="Arial"/>
          <w:sz w:val="17"/>
          <w:szCs w:val="17"/>
          <w:b w:val="1"/>
          <w:bCs w:val="1"/>
          <w:color w:val="auto"/>
        </w:rPr>
        <w:t>SCHLUMBERGER LIMITED AND SUBSIDIARIES</w:t>
      </w:r>
    </w:p>
    <w:p>
      <w:pPr>
        <w:spacing w:after="0" w:line="11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r>
      <w:tr>
        <w:trPr>
          <w:trHeight w:val="288"/>
        </w:trPr>
        <w:tc>
          <w:tcPr>
            <w:tcW w:w="3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Comprehensive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Noncontrolling</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9"/>
              </w:rPr>
              <w:t>Issued</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w w:val="92"/>
              </w:rPr>
              <w:t>In Treasury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5"/>
              </w:rPr>
              <w:t>Interests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3960" w:type="dxa"/>
            <w:vAlign w:val="bottom"/>
            <w:tcBorders>
              <w:top w:val="single" w:sz="8" w:color="CFF0FC"/>
            </w:tcBorders>
            <w:shd w:val="clear" w:color="auto" w:fill="CFF0FC"/>
          </w:tcPr>
          <w:p>
            <w:pPr>
              <w:spacing w:after="0" w:line="149" w:lineRule="exact"/>
              <w:rPr>
                <w:sz w:val="20"/>
                <w:szCs w:val="20"/>
                <w:color w:val="auto"/>
              </w:rPr>
            </w:pPr>
            <w:r>
              <w:rPr>
                <w:rFonts w:ascii="Arial" w:cs="Arial" w:eastAsia="Arial" w:hAnsi="Arial"/>
                <w:sz w:val="14"/>
                <w:szCs w:val="14"/>
                <w:color w:val="auto"/>
              </w:rPr>
              <w:t>Balance, January 1, 2015</w:t>
            </w:r>
          </w:p>
        </w:tc>
        <w:tc>
          <w:tcPr>
            <w:tcW w:w="8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31"/>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12,495</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(11,772)</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41,333</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(4,206)</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199</w:t>
            </w: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gridSpan w:val="2"/>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97"/>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38,049</w:t>
            </w:r>
          </w:p>
        </w:tc>
        <w:tc>
          <w:tcPr>
            <w:tcW w:w="100" w:type="dxa"/>
            <w:vAlign w:val="bottom"/>
            <w:tcBorders>
              <w:top w:val="single" w:sz="8" w:color="CFF0FC"/>
            </w:tcBorders>
            <w:shd w:val="clear" w:color="auto" w:fill="CFF0FC"/>
          </w:tcPr>
          <w:p>
            <w:pPr>
              <w:spacing w:after="0"/>
              <w:rPr>
                <w:sz w:val="12"/>
                <w:szCs w:val="12"/>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2,072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2,135</w:t>
            </w:r>
          </w:p>
        </w:tc>
        <w:tc>
          <w:tcPr>
            <w:tcW w:w="100" w:type="dxa"/>
            <w:vAlign w:val="bottom"/>
          </w:tcPr>
          <w:p>
            <w:pPr>
              <w:spacing w:after="0"/>
              <w:rPr>
                <w:sz w:val="13"/>
                <w:szCs w:val="13"/>
                <w:color w:val="auto"/>
              </w:rPr>
            </w:pP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Currency translation adjustments</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4"/>
                <w:szCs w:val="14"/>
                <w:color w:val="auto"/>
              </w:rPr>
              <w:t>(522)</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4"/>
                <w:szCs w:val="14"/>
                <w:color w:val="auto"/>
              </w:rPr>
              <w:t>(522)</w:t>
            </w: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Changes in unrealized gain on marketable securities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(10)</w:t>
            </w: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Changes in fair value of cash flow hedges</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57</w:t>
            </w:r>
          </w:p>
        </w:tc>
        <w:tc>
          <w:tcPr>
            <w:tcW w:w="100" w:type="dxa"/>
            <w:vAlign w:val="bottom"/>
            <w:shd w:val="clear" w:color="auto" w:fill="CFF0FC"/>
          </w:tcPr>
          <w:p>
            <w:pPr>
              <w:spacing w:after="0"/>
              <w:rPr>
                <w:sz w:val="13"/>
                <w:szCs w:val="13"/>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Pension and other postretirement benefit plans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123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123</w:t>
            </w:r>
          </w:p>
        </w:tc>
        <w:tc>
          <w:tcPr>
            <w:tcW w:w="100" w:type="dxa"/>
            <w:vAlign w:val="bottom"/>
          </w:tcPr>
          <w:p>
            <w:pPr>
              <w:spacing w:after="0"/>
              <w:rPr>
                <w:sz w:val="13"/>
                <w:szCs w:val="13"/>
                <w:color w:val="auto"/>
              </w:rPr>
            </w:pP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Shares sold to optionees, less shares exchanged</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4"/>
                <w:szCs w:val="14"/>
                <w:color w:val="auto"/>
              </w:rPr>
              <w:t>(38)</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190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152</w:t>
            </w:r>
          </w:p>
        </w:tc>
        <w:tc>
          <w:tcPr>
            <w:tcW w:w="100" w:type="dxa"/>
            <w:vAlign w:val="bottom"/>
            <w:shd w:val="clear" w:color="auto" w:fill="CFF0FC"/>
          </w:tcPr>
          <w:p>
            <w:pPr>
              <w:spacing w:after="0"/>
              <w:rPr>
                <w:sz w:val="13"/>
                <w:szCs w:val="13"/>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Vesting of restricted stock</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112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Shares issued under employee stock purchase plan</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279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296</w:t>
            </w:r>
          </w:p>
        </w:tc>
        <w:tc>
          <w:tcPr>
            <w:tcW w:w="100" w:type="dxa"/>
            <w:vAlign w:val="bottom"/>
            <w:shd w:val="clear" w:color="auto" w:fill="CFF0FC"/>
          </w:tcPr>
          <w:p>
            <w:pPr>
              <w:spacing w:after="0"/>
              <w:rPr>
                <w:sz w:val="13"/>
                <w:szCs w:val="13"/>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Stock repurchase program</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(2,182)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(2,182)</w:t>
            </w: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326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326</w:t>
            </w:r>
          </w:p>
        </w:tc>
        <w:tc>
          <w:tcPr>
            <w:tcW w:w="100" w:type="dxa"/>
            <w:vAlign w:val="bottom"/>
            <w:shd w:val="clear" w:color="auto" w:fill="CFF0FC"/>
          </w:tcPr>
          <w:p>
            <w:pPr>
              <w:spacing w:after="0"/>
              <w:rPr>
                <w:sz w:val="13"/>
                <w:szCs w:val="13"/>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Dividends declared ($2.00 per share)</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(2,535)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(2,535)</w:t>
            </w: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Other</w:t>
            </w:r>
          </w:p>
        </w:tc>
        <w:tc>
          <w:tcPr>
            <w:tcW w:w="8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3"/>
                <w:szCs w:val="13"/>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Balance, December 31, 2015</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12,693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(13,372)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40,870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(4,558)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35,905</w:t>
            </w:r>
          </w:p>
        </w:tc>
        <w:tc>
          <w:tcPr>
            <w:tcW w:w="100" w:type="dxa"/>
            <w:vAlign w:val="bottom"/>
          </w:tcPr>
          <w:p>
            <w:pPr>
              <w:spacing w:after="0"/>
              <w:rPr>
                <w:sz w:val="12"/>
                <w:szCs w:val="12"/>
                <w:color w:val="auto"/>
              </w:rPr>
            </w:pP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Net loss</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(1,687)</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60</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4"/>
                <w:szCs w:val="14"/>
                <w:color w:val="auto"/>
              </w:rPr>
              <w:t>(1,627)</w:t>
            </w: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Currency translation adjustments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(83)</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(83)</w:t>
            </w: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Changes in unrealized gain on marketable securities</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13"/>
                <w:szCs w:val="13"/>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Changes in fair value of cash flow hedges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3"/>
                <w:szCs w:val="13"/>
                <w:color w:val="auto"/>
              </w:rPr>
            </w:pP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Pension and other postretirement benefit plans</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4"/>
                <w:szCs w:val="14"/>
                <w:color w:val="auto"/>
              </w:rPr>
              <w:t>(43)</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4"/>
                <w:szCs w:val="14"/>
                <w:color w:val="auto"/>
              </w:rPr>
              <w:t>(43)</w:t>
            </w: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Shares sold to optionees, less shares exchanged</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266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184</w:t>
            </w:r>
          </w:p>
        </w:tc>
        <w:tc>
          <w:tcPr>
            <w:tcW w:w="100" w:type="dxa"/>
            <w:vAlign w:val="bottom"/>
          </w:tcPr>
          <w:p>
            <w:pPr>
              <w:spacing w:after="0"/>
              <w:rPr>
                <w:sz w:val="13"/>
                <w:szCs w:val="13"/>
                <w:color w:val="auto"/>
              </w:rPr>
            </w:pP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Vesting of restricted stock</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4"/>
                <w:szCs w:val="14"/>
                <w:color w:val="auto"/>
              </w:rPr>
              <w:t>(122)</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122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Shares issued under employee stock purchase plan</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(55)</w:t>
            </w:r>
          </w:p>
        </w:tc>
        <w:tc>
          <w:tcPr>
            <w:tcW w:w="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286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231</w:t>
            </w:r>
          </w:p>
        </w:tc>
        <w:tc>
          <w:tcPr>
            <w:tcW w:w="100" w:type="dxa"/>
            <w:vAlign w:val="bottom"/>
          </w:tcPr>
          <w:p>
            <w:pPr>
              <w:spacing w:after="0"/>
              <w:rPr>
                <w:sz w:val="13"/>
                <w:szCs w:val="13"/>
                <w:color w:val="auto"/>
              </w:rPr>
            </w:pP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Stock repurchase program</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(778)</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4"/>
                <w:szCs w:val="14"/>
                <w:color w:val="auto"/>
              </w:rPr>
              <w:t>(778)</w:t>
            </w: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267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267</w:t>
            </w:r>
          </w:p>
        </w:tc>
        <w:tc>
          <w:tcPr>
            <w:tcW w:w="100" w:type="dxa"/>
            <w:vAlign w:val="bottom"/>
          </w:tcPr>
          <w:p>
            <w:pPr>
              <w:spacing w:after="0"/>
              <w:rPr>
                <w:sz w:val="13"/>
                <w:szCs w:val="13"/>
                <w:color w:val="auto"/>
              </w:rPr>
            </w:pP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Dividends declared ($2.00 per share)</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4"/>
                <w:szCs w:val="14"/>
                <w:color w:val="auto"/>
              </w:rPr>
              <w:t>(2,713)</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4"/>
                <w:szCs w:val="14"/>
                <w:color w:val="auto"/>
              </w:rPr>
              <w:t>(2,713)</w:t>
            </w: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Acquisition of Cameron International Corporation</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103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9,924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10,027</w:t>
            </w:r>
          </w:p>
        </w:tc>
        <w:tc>
          <w:tcPr>
            <w:tcW w:w="100" w:type="dxa"/>
            <w:vAlign w:val="bottom"/>
          </w:tcPr>
          <w:p>
            <w:pPr>
              <w:spacing w:after="0"/>
              <w:rPr>
                <w:sz w:val="13"/>
                <w:szCs w:val="13"/>
                <w:color w:val="auto"/>
              </w:rPr>
            </w:pP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Acquisition of noncontrolling interest</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106</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106</w:t>
            </w:r>
          </w:p>
        </w:tc>
        <w:tc>
          <w:tcPr>
            <w:tcW w:w="100" w:type="dxa"/>
            <w:vAlign w:val="bottom"/>
            <w:shd w:val="clear" w:color="auto" w:fill="CFF0FC"/>
          </w:tcPr>
          <w:p>
            <w:pPr>
              <w:spacing w:after="0"/>
              <w:rPr>
                <w:sz w:val="13"/>
                <w:szCs w:val="13"/>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Other</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r>
      <w:tr>
        <w:trPr>
          <w:trHeight w:val="149"/>
        </w:trPr>
        <w:tc>
          <w:tcPr>
            <w:tcW w:w="3960" w:type="dxa"/>
            <w:vAlign w:val="bottom"/>
            <w:tcBorders>
              <w:top w:val="single" w:sz="8" w:color="CFF0FC"/>
            </w:tcBorders>
            <w:shd w:val="clear" w:color="auto" w:fill="CFF0FC"/>
          </w:tcPr>
          <w:p>
            <w:pPr>
              <w:spacing w:after="0" w:line="149" w:lineRule="exact"/>
              <w:rPr>
                <w:sz w:val="20"/>
                <w:szCs w:val="20"/>
                <w:color w:val="auto"/>
              </w:rPr>
            </w:pPr>
            <w:r>
              <w:rPr>
                <w:rFonts w:ascii="Arial" w:cs="Arial" w:eastAsia="Arial" w:hAnsi="Arial"/>
                <w:sz w:val="14"/>
                <w:szCs w:val="14"/>
                <w:color w:val="auto"/>
              </w:rPr>
              <w:t>Balance, December 31, 2016</w:t>
            </w:r>
          </w:p>
        </w:tc>
        <w:tc>
          <w:tcPr>
            <w:tcW w:w="8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12,801</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(3,550)</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36,470</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(4,643)</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451</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41,529</w:t>
            </w:r>
          </w:p>
        </w:tc>
        <w:tc>
          <w:tcPr>
            <w:tcW w:w="100" w:type="dxa"/>
            <w:vAlign w:val="bottom"/>
            <w:tcBorders>
              <w:top w:val="single" w:sz="8" w:color="CFF0FC"/>
            </w:tcBorders>
            <w:shd w:val="clear" w:color="auto" w:fill="CFF0FC"/>
          </w:tcPr>
          <w:p>
            <w:pPr>
              <w:spacing w:after="0"/>
              <w:rPr>
                <w:sz w:val="12"/>
                <w:szCs w:val="12"/>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Net loss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(1,505)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(1,513)</w:t>
            </w: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Currency translation adjustments</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4"/>
                <w:szCs w:val="14"/>
                <w:color w:val="auto"/>
              </w:rPr>
              <w:t>(3)</w:t>
            </w: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Changes in unrealized gain on marketable securities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(8)</w:t>
            </w: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Changes in fair value of cash flow hedges</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22</w:t>
            </w:r>
          </w:p>
        </w:tc>
        <w:tc>
          <w:tcPr>
            <w:tcW w:w="100" w:type="dxa"/>
            <w:vAlign w:val="bottom"/>
            <w:shd w:val="clear" w:color="auto" w:fill="CFF0FC"/>
          </w:tcPr>
          <w:p>
            <w:pPr>
              <w:spacing w:after="0"/>
              <w:rPr>
                <w:sz w:val="13"/>
                <w:szCs w:val="13"/>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Pension and other postretirement benefit plans</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358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358</w:t>
            </w:r>
          </w:p>
        </w:tc>
        <w:tc>
          <w:tcPr>
            <w:tcW w:w="100" w:type="dxa"/>
            <w:vAlign w:val="bottom"/>
          </w:tcPr>
          <w:p>
            <w:pPr>
              <w:spacing w:after="0"/>
              <w:rPr>
                <w:sz w:val="13"/>
                <w:szCs w:val="13"/>
                <w:color w:val="auto"/>
              </w:rPr>
            </w:pP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Shares sold to optionees, less shares exchanged</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85</w:t>
            </w:r>
          </w:p>
        </w:tc>
        <w:tc>
          <w:tcPr>
            <w:tcW w:w="100" w:type="dxa"/>
            <w:vAlign w:val="bottom"/>
            <w:shd w:val="clear" w:color="auto" w:fill="CFF0FC"/>
          </w:tcPr>
          <w:p>
            <w:pPr>
              <w:spacing w:after="0"/>
              <w:rPr>
                <w:sz w:val="13"/>
                <w:szCs w:val="13"/>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Vesting of restricted stock</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(110)</w:t>
            </w:r>
          </w:p>
        </w:tc>
        <w:tc>
          <w:tcPr>
            <w:tcW w:w="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110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Shares issued under employee stock purchase plan</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4"/>
                <w:szCs w:val="14"/>
                <w:color w:val="auto"/>
              </w:rPr>
              <w:t>(52)</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264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212</w:t>
            </w:r>
          </w:p>
        </w:tc>
        <w:tc>
          <w:tcPr>
            <w:tcW w:w="100" w:type="dxa"/>
            <w:vAlign w:val="bottom"/>
            <w:shd w:val="clear" w:color="auto" w:fill="CFF0FC"/>
          </w:tcPr>
          <w:p>
            <w:pPr>
              <w:spacing w:after="0"/>
              <w:rPr>
                <w:sz w:val="13"/>
                <w:szCs w:val="13"/>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Stock repurchase program</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(969)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(969)</w:t>
            </w: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343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343</w:t>
            </w:r>
          </w:p>
        </w:tc>
        <w:tc>
          <w:tcPr>
            <w:tcW w:w="100" w:type="dxa"/>
            <w:vAlign w:val="bottom"/>
            <w:shd w:val="clear" w:color="auto" w:fill="CFF0FC"/>
          </w:tcPr>
          <w:p>
            <w:pPr>
              <w:spacing w:after="0"/>
              <w:rPr>
                <w:sz w:val="13"/>
                <w:szCs w:val="13"/>
                <w:color w:val="auto"/>
              </w:rPr>
            </w:pPr>
          </w:p>
        </w:tc>
      </w:tr>
      <w:tr>
        <w:trPr>
          <w:trHeight w:val="156"/>
        </w:trPr>
        <w:tc>
          <w:tcPr>
            <w:tcW w:w="3960" w:type="dxa"/>
            <w:vAlign w:val="bottom"/>
          </w:tcPr>
          <w:p>
            <w:pPr>
              <w:ind w:left="240"/>
              <w:spacing w:after="0" w:line="156" w:lineRule="exact"/>
              <w:rPr>
                <w:sz w:val="20"/>
                <w:szCs w:val="20"/>
                <w:color w:val="auto"/>
              </w:rPr>
            </w:pPr>
            <w:r>
              <w:rPr>
                <w:rFonts w:ascii="Arial" w:cs="Arial" w:eastAsia="Arial" w:hAnsi="Arial"/>
                <w:sz w:val="14"/>
                <w:szCs w:val="14"/>
                <w:color w:val="auto"/>
              </w:rPr>
              <w:t>Dividends declared ($2.00 per share)</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(2,775)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(2,775)</w:t>
            </w:r>
          </w:p>
        </w:tc>
      </w:tr>
      <w:tr>
        <w:trPr>
          <w:trHeight w:val="156"/>
        </w:trPr>
        <w:tc>
          <w:tcPr>
            <w:tcW w:w="39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Other</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(24)</w:t>
            </w: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4"/>
                <w:szCs w:val="14"/>
                <w:color w:val="auto"/>
              </w:rPr>
              <w:t>(20)</w:t>
            </w: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Balance, December 31, 2017</w:t>
            </w:r>
          </w:p>
        </w:tc>
        <w:tc>
          <w:tcPr>
            <w:tcW w:w="820" w:type="dxa"/>
            <w:vAlign w:val="bottom"/>
          </w:tcPr>
          <w:p>
            <w:pPr>
              <w:spacing w:after="0"/>
              <w:rPr>
                <w:sz w:val="12"/>
                <w:szCs w:val="12"/>
                <w:color w:val="auto"/>
              </w:rPr>
            </w:pPr>
          </w:p>
        </w:tc>
        <w:tc>
          <w:tcPr>
            <w:tcW w:w="180" w:type="dxa"/>
            <w:vAlign w:val="bottom"/>
            <w:tcBorders>
              <w:top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12,975</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(4,049)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32,190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(4,274)</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419</w:t>
            </w:r>
          </w:p>
        </w:tc>
        <w:tc>
          <w:tcPr>
            <w:tcW w:w="8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60" w:type="dxa"/>
            <w:vAlign w:val="bottom"/>
            <w:tcBorders>
              <w:top w:val="single" w:sz="8" w:color="auto"/>
            </w:tcBorders>
          </w:tcPr>
          <w:p>
            <w:pPr>
              <w:jc w:val="right"/>
              <w:ind w:right="97"/>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37,261</w:t>
            </w:r>
          </w:p>
        </w:tc>
        <w:tc>
          <w:tcPr>
            <w:tcW w:w="100" w:type="dxa"/>
            <w:vAlign w:val="bottom"/>
          </w:tcPr>
          <w:p>
            <w:pPr>
              <w:spacing w:after="0"/>
              <w:rPr>
                <w:sz w:val="12"/>
                <w:szCs w:val="12"/>
                <w:color w:val="auto"/>
              </w:rPr>
            </w:pPr>
          </w:p>
        </w:tc>
      </w:tr>
      <w:tr>
        <w:trPr>
          <w:trHeight w:val="20"/>
        </w:trPr>
        <w:tc>
          <w:tcPr>
            <w:tcW w:w="3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SCHLUMBERGER LIMITED AND SUBSIDIARIES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OF COMMON STOCK</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57"/>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Shares</w:t>
            </w:r>
          </w:p>
        </w:tc>
      </w:tr>
      <w:tr>
        <w:trPr>
          <w:trHeight w:val="226"/>
        </w:trPr>
        <w:tc>
          <w:tcPr>
            <w:tcW w:w="67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w w:val="85"/>
              </w:rPr>
              <w:t>Issued</w:t>
            </w: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In Treasury</w:t>
            </w:r>
          </w:p>
        </w:tc>
        <w:tc>
          <w:tcPr>
            <w:tcW w:w="26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Borders>
              <w:bottom w:val="single" w:sz="8" w:color="CFF0FC"/>
            </w:tcBorders>
          </w:tcPr>
          <w:p>
            <w:pPr>
              <w:spacing w:after="0"/>
              <w:rPr>
                <w:sz w:val="19"/>
                <w:szCs w:val="19"/>
                <w:color w:val="auto"/>
              </w:rPr>
            </w:pPr>
          </w:p>
        </w:tc>
      </w:tr>
      <w:tr>
        <w:trPr>
          <w:trHeight w:val="214"/>
        </w:trPr>
        <w:tc>
          <w:tcPr>
            <w:tcW w:w="7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Balance, January 1, 2015</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1,434</w:t>
            </w:r>
          </w:p>
        </w:tc>
        <w:tc>
          <w:tcPr>
            <w:tcW w:w="2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(159)</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1,275</w:t>
            </w:r>
          </w:p>
        </w:tc>
        <w:tc>
          <w:tcPr>
            <w:tcW w:w="100" w:type="dxa"/>
            <w:vAlign w:val="bottom"/>
            <w:shd w:val="clear" w:color="auto" w:fill="CFF0FC"/>
          </w:tcPr>
          <w:p>
            <w:pPr>
              <w:spacing w:after="0"/>
              <w:rPr>
                <w:sz w:val="18"/>
                <w:szCs w:val="18"/>
                <w:color w:val="auto"/>
              </w:rPr>
            </w:pPr>
          </w:p>
        </w:tc>
      </w:tr>
      <w:tr>
        <w:trPr>
          <w:trHeight w:val="221"/>
        </w:trPr>
        <w:tc>
          <w:tcPr>
            <w:tcW w:w="7640" w:type="dxa"/>
            <w:vAlign w:val="bottom"/>
            <w:gridSpan w:val="2"/>
          </w:tcPr>
          <w:p>
            <w:pPr>
              <w:ind w:left="240"/>
              <w:spacing w:after="0"/>
              <w:rPr>
                <w:sz w:val="20"/>
                <w:szCs w:val="20"/>
                <w:color w:val="auto"/>
              </w:rPr>
            </w:pPr>
            <w:r>
              <w:rPr>
                <w:rFonts w:ascii="Arial" w:cs="Arial" w:eastAsia="Arial" w:hAnsi="Arial"/>
                <w:sz w:val="17"/>
                <w:szCs w:val="17"/>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r>
      <w:tr>
        <w:trPr>
          <w:trHeight w:val="221"/>
        </w:trPr>
        <w:tc>
          <w:tcPr>
            <w:tcW w:w="76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r>
      <w:tr>
        <w:trPr>
          <w:trHeight w:val="221"/>
        </w:trPr>
        <w:tc>
          <w:tcPr>
            <w:tcW w:w="7640" w:type="dxa"/>
            <w:vAlign w:val="bottom"/>
            <w:gridSpan w:val="2"/>
          </w:tcPr>
          <w:p>
            <w:pPr>
              <w:ind w:left="240"/>
              <w:spacing w:after="0"/>
              <w:rPr>
                <w:sz w:val="20"/>
                <w:szCs w:val="20"/>
                <w:color w:val="auto"/>
              </w:rPr>
            </w:pPr>
            <w:r>
              <w:rPr>
                <w:rFonts w:ascii="Arial" w:cs="Arial" w:eastAsia="Arial" w:hAnsi="Arial"/>
                <w:sz w:val="17"/>
                <w:szCs w:val="17"/>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r>
      <w:tr>
        <w:trPr>
          <w:trHeight w:val="221"/>
        </w:trPr>
        <w:tc>
          <w:tcPr>
            <w:tcW w:w="6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Stock repurchase program</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(27)</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(27)</w:t>
            </w:r>
          </w:p>
        </w:tc>
      </w:tr>
      <w:tr>
        <w:trPr>
          <w:trHeight w:val="20"/>
        </w:trPr>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6720" w:type="dxa"/>
            <w:vAlign w:val="bottom"/>
          </w:tcPr>
          <w:p>
            <w:pPr>
              <w:spacing w:after="0"/>
              <w:rPr>
                <w:sz w:val="20"/>
                <w:szCs w:val="20"/>
                <w:color w:val="auto"/>
              </w:rPr>
            </w:pPr>
            <w:r>
              <w:rPr>
                <w:rFonts w:ascii="Arial" w:cs="Arial" w:eastAsia="Arial" w:hAnsi="Arial"/>
                <w:sz w:val="17"/>
                <w:szCs w:val="17"/>
                <w:color w:val="auto"/>
              </w:rPr>
              <w:t>Balance, December 31, 2015</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1,434</w:t>
            </w: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7"/>
                <w:szCs w:val="17"/>
                <w:color w:val="auto"/>
              </w:rPr>
              <w:t>(178)</w:t>
            </w:r>
          </w:p>
        </w:tc>
        <w:tc>
          <w:tcPr>
            <w:tcW w:w="1360" w:type="dxa"/>
            <w:vAlign w:val="bottom"/>
          </w:tcPr>
          <w:p>
            <w:pPr>
              <w:jc w:val="right"/>
              <w:spacing w:after="0"/>
              <w:rPr>
                <w:sz w:val="20"/>
                <w:szCs w:val="20"/>
                <w:color w:val="auto"/>
              </w:rPr>
            </w:pPr>
            <w:r>
              <w:rPr>
                <w:rFonts w:ascii="Arial" w:cs="Arial" w:eastAsia="Arial" w:hAnsi="Arial"/>
                <w:sz w:val="17"/>
                <w:szCs w:val="17"/>
                <w:color w:val="auto"/>
              </w:rPr>
              <w:t>1,256</w:t>
            </w:r>
          </w:p>
        </w:tc>
        <w:tc>
          <w:tcPr>
            <w:tcW w:w="100" w:type="dxa"/>
            <w:vAlign w:val="bottom"/>
          </w:tcPr>
          <w:p>
            <w:pPr>
              <w:spacing w:after="0"/>
              <w:rPr>
                <w:sz w:val="18"/>
                <w:szCs w:val="18"/>
                <w:color w:val="auto"/>
              </w:rPr>
            </w:pPr>
          </w:p>
        </w:tc>
      </w:tr>
      <w:tr>
        <w:trPr>
          <w:trHeight w:val="221"/>
        </w:trPr>
        <w:tc>
          <w:tcPr>
            <w:tcW w:w="76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Acquisition of Cameron International Corporation</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FF0FC"/>
          </w:tcPr>
          <w:p>
            <w:pPr>
              <w:spacing w:after="0"/>
              <w:rPr>
                <w:sz w:val="19"/>
                <w:szCs w:val="19"/>
                <w:color w:val="auto"/>
              </w:rPr>
            </w:pPr>
          </w:p>
        </w:tc>
      </w:tr>
      <w:tr>
        <w:trPr>
          <w:trHeight w:val="221"/>
        </w:trPr>
        <w:tc>
          <w:tcPr>
            <w:tcW w:w="7640" w:type="dxa"/>
            <w:vAlign w:val="bottom"/>
            <w:gridSpan w:val="2"/>
          </w:tcPr>
          <w:p>
            <w:pPr>
              <w:ind w:left="240"/>
              <w:spacing w:after="0"/>
              <w:rPr>
                <w:sz w:val="20"/>
                <w:szCs w:val="20"/>
                <w:color w:val="auto"/>
              </w:rPr>
            </w:pPr>
            <w:r>
              <w:rPr>
                <w:rFonts w:ascii="Arial" w:cs="Arial" w:eastAsia="Arial" w:hAnsi="Arial"/>
                <w:sz w:val="17"/>
                <w:szCs w:val="17"/>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r>
      <w:tr>
        <w:trPr>
          <w:trHeight w:val="221"/>
        </w:trPr>
        <w:tc>
          <w:tcPr>
            <w:tcW w:w="76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r>
      <w:tr>
        <w:trPr>
          <w:trHeight w:val="221"/>
        </w:trPr>
        <w:tc>
          <w:tcPr>
            <w:tcW w:w="7640" w:type="dxa"/>
            <w:vAlign w:val="bottom"/>
            <w:gridSpan w:val="2"/>
          </w:tcPr>
          <w:p>
            <w:pPr>
              <w:ind w:left="240"/>
              <w:spacing w:after="0"/>
              <w:rPr>
                <w:sz w:val="20"/>
                <w:szCs w:val="20"/>
                <w:color w:val="auto"/>
              </w:rPr>
            </w:pPr>
            <w:r>
              <w:rPr>
                <w:rFonts w:ascii="Arial" w:cs="Arial" w:eastAsia="Arial" w:hAnsi="Arial"/>
                <w:sz w:val="17"/>
                <w:szCs w:val="17"/>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r>
      <w:tr>
        <w:trPr>
          <w:trHeight w:val="221"/>
        </w:trPr>
        <w:tc>
          <w:tcPr>
            <w:tcW w:w="6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Stock repurchase program</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w:t>
            </w:r>
          </w:p>
        </w:tc>
      </w:tr>
      <w:tr>
        <w:trPr>
          <w:trHeight w:val="20"/>
        </w:trPr>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6720" w:type="dxa"/>
            <w:vAlign w:val="bottom"/>
          </w:tcPr>
          <w:p>
            <w:pPr>
              <w:spacing w:after="0"/>
              <w:rPr>
                <w:sz w:val="20"/>
                <w:szCs w:val="20"/>
                <w:color w:val="auto"/>
              </w:rPr>
            </w:pPr>
            <w:r>
              <w:rPr>
                <w:rFonts w:ascii="Arial" w:cs="Arial" w:eastAsia="Arial" w:hAnsi="Arial"/>
                <w:sz w:val="17"/>
                <w:szCs w:val="17"/>
                <w:color w:val="auto"/>
              </w:rPr>
              <w:t>Balance, December 31, 2016</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1,434</w:t>
            </w: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7"/>
                <w:szCs w:val="17"/>
                <w:color w:val="auto"/>
              </w:rPr>
              <w:t>(43)</w:t>
            </w:r>
          </w:p>
        </w:tc>
        <w:tc>
          <w:tcPr>
            <w:tcW w:w="1360" w:type="dxa"/>
            <w:vAlign w:val="bottom"/>
          </w:tcPr>
          <w:p>
            <w:pPr>
              <w:jc w:val="right"/>
              <w:spacing w:after="0"/>
              <w:rPr>
                <w:sz w:val="20"/>
                <w:szCs w:val="20"/>
                <w:color w:val="auto"/>
              </w:rPr>
            </w:pPr>
            <w:r>
              <w:rPr>
                <w:rFonts w:ascii="Arial" w:cs="Arial" w:eastAsia="Arial" w:hAnsi="Arial"/>
                <w:sz w:val="17"/>
                <w:szCs w:val="17"/>
                <w:color w:val="auto"/>
              </w:rPr>
              <w:t>1,391</w:t>
            </w:r>
          </w:p>
        </w:tc>
        <w:tc>
          <w:tcPr>
            <w:tcW w:w="100" w:type="dxa"/>
            <w:vAlign w:val="bottom"/>
          </w:tcPr>
          <w:p>
            <w:pPr>
              <w:spacing w:after="0"/>
              <w:rPr>
                <w:sz w:val="18"/>
                <w:szCs w:val="18"/>
                <w:color w:val="auto"/>
              </w:rPr>
            </w:pPr>
          </w:p>
        </w:tc>
      </w:tr>
      <w:tr>
        <w:trPr>
          <w:trHeight w:val="221"/>
        </w:trPr>
        <w:tc>
          <w:tcPr>
            <w:tcW w:w="7640" w:type="dxa"/>
            <w:vAlign w:val="bottom"/>
            <w:gridSpan w:val="2"/>
          </w:tcPr>
          <w:p>
            <w:pPr>
              <w:ind w:left="240"/>
              <w:spacing w:after="0"/>
              <w:rPr>
                <w:sz w:val="20"/>
                <w:szCs w:val="20"/>
                <w:color w:val="auto"/>
              </w:rPr>
            </w:pPr>
            <w:r>
              <w:rPr>
                <w:rFonts w:ascii="Arial" w:cs="Arial" w:eastAsia="Arial" w:hAnsi="Arial"/>
                <w:sz w:val="17"/>
                <w:szCs w:val="17"/>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r>
      <w:tr>
        <w:trPr>
          <w:trHeight w:val="221"/>
        </w:trPr>
        <w:tc>
          <w:tcPr>
            <w:tcW w:w="76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r>
      <w:tr>
        <w:trPr>
          <w:trHeight w:val="221"/>
        </w:trPr>
        <w:tc>
          <w:tcPr>
            <w:tcW w:w="7640" w:type="dxa"/>
            <w:vAlign w:val="bottom"/>
            <w:gridSpan w:val="2"/>
          </w:tcPr>
          <w:p>
            <w:pPr>
              <w:ind w:left="240"/>
              <w:spacing w:after="0"/>
              <w:rPr>
                <w:sz w:val="20"/>
                <w:szCs w:val="20"/>
                <w:color w:val="auto"/>
              </w:rPr>
            </w:pPr>
            <w:r>
              <w:rPr>
                <w:rFonts w:ascii="Arial" w:cs="Arial" w:eastAsia="Arial" w:hAnsi="Arial"/>
                <w:sz w:val="17"/>
                <w:szCs w:val="17"/>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r>
      <w:tr>
        <w:trPr>
          <w:trHeight w:val="221"/>
        </w:trPr>
        <w:tc>
          <w:tcPr>
            <w:tcW w:w="6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Stock repurchase program</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w:t>
            </w:r>
          </w:p>
        </w:tc>
      </w:tr>
      <w:tr>
        <w:trPr>
          <w:trHeight w:val="20"/>
        </w:trPr>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6720" w:type="dxa"/>
            <w:vAlign w:val="bottom"/>
          </w:tcPr>
          <w:p>
            <w:pPr>
              <w:spacing w:after="0"/>
              <w:rPr>
                <w:sz w:val="20"/>
                <w:szCs w:val="20"/>
                <w:color w:val="auto"/>
              </w:rPr>
            </w:pPr>
            <w:r>
              <w:rPr>
                <w:rFonts w:ascii="Arial" w:cs="Arial" w:eastAsia="Arial" w:hAnsi="Arial"/>
                <w:sz w:val="17"/>
                <w:szCs w:val="17"/>
                <w:color w:val="auto"/>
              </w:rPr>
              <w:t>Balance, December 31, 2017</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1,434</w:t>
            </w: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7"/>
                <w:szCs w:val="17"/>
                <w:color w:val="auto"/>
              </w:rPr>
              <w:t>(50)</w:t>
            </w:r>
          </w:p>
        </w:tc>
        <w:tc>
          <w:tcPr>
            <w:tcW w:w="1360" w:type="dxa"/>
            <w:vAlign w:val="bottom"/>
          </w:tcPr>
          <w:p>
            <w:pPr>
              <w:jc w:val="right"/>
              <w:spacing w:after="0"/>
              <w:rPr>
                <w:sz w:val="20"/>
                <w:szCs w:val="20"/>
                <w:color w:val="auto"/>
              </w:rPr>
            </w:pPr>
            <w:r>
              <w:rPr>
                <w:rFonts w:ascii="Arial" w:cs="Arial" w:eastAsia="Arial" w:hAnsi="Arial"/>
                <w:sz w:val="17"/>
                <w:szCs w:val="17"/>
                <w:color w:val="auto"/>
              </w:rPr>
              <w:t>1,384</w:t>
            </w:r>
          </w:p>
        </w:tc>
        <w:tc>
          <w:tcPr>
            <w:tcW w:w="10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46" w:lineRule="exact"/>
        <w:rPr>
          <w:sz w:val="20"/>
          <w:szCs w:val="20"/>
          <w:color w:val="auto"/>
        </w:rPr>
      </w:pPr>
    </w:p>
    <w:p>
      <w:pPr>
        <w:ind w:left="180" w:hanging="176"/>
        <w:spacing w:after="0"/>
        <w:tabs>
          <w:tab w:leader="none" w:pos="18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Business Description</w:t>
      </w:r>
    </w:p>
    <w:p>
      <w:pPr>
        <w:spacing w:after="0" w:line="135"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Schlumberger Limited (Schlumberger N.V., incorporated in Curaçao) and its consolidated subsidiaries (collectively, “Schlumberger”) comprise the world’s leading supplier of technology for reservoir characterization, drilling, production and processing to the oil and gas industry.</w:t>
      </w:r>
    </w:p>
    <w:p>
      <w:pPr>
        <w:spacing w:after="0" w:line="257" w:lineRule="exact"/>
        <w:rPr>
          <w:sz w:val="20"/>
          <w:szCs w:val="20"/>
          <w:color w:val="auto"/>
        </w:rPr>
      </w:pPr>
    </w:p>
    <w:p>
      <w:pPr>
        <w:ind w:left="220" w:hanging="216"/>
        <w:spacing w:after="0"/>
        <w:tabs>
          <w:tab w:leader="none" w:pos="22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Summary of Accounting Policies</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of Schlumberger have been prepared in accordance with accounting principles generally accepted in the United States of America.</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preparation of financial statements requires management to make estimates and assumptions that affect the reported amounts of assets and liabilities, disclosure of contingent liabilities at the date of the financial statements and the reported amounts of revenue and expenses during the reporting period. On an ongoing basis, Schlumberger evaluates its estimates, including those related to collectibility of accounts receivable; revenue recognized under the percentage-of-completion method; recoverability of fixed assets, goodwill, intangible assets, Schlumberger Production Management investments and investments in affiliates; income taxes; multiclient seismic data; contingencies and actuarial assumptions for employee benefit plans. Schlumberger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Schlumberger recognizes revenue based upon purchase orders, contracts or other persuasive evidence of an arrangement with the customer that include fixed or determinable prices provided that collectibility is reasonably assured. Revenue is recognized for services when they are rendered. Revenue is recognized for products upon delivery and when the customer assumes the risks and rewards of ownership.</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Revenue is recognized for certain long-term construction-type contracts based on the percentage-of-completion method. These contracts involve significant design and engineering efforts in order to satisfy custom designs for customer-specific applications. Under the percentage-of-completion method, revenue is recognized as work progresses on each such contract. Progress is measured by the ratio of actual costs incurred to date on the project in relation to total estimated project costs. Any expected losses on a project are recorded in full in the period in which they become probable. Progress billings are generally issued upon completion of certain phases of work as stipulated in the contract. Revenue in excess of billings is included within </w:t>
      </w:r>
      <w:r>
        <w:rPr>
          <w:rFonts w:ascii="Arial" w:cs="Arial" w:eastAsia="Arial" w:hAnsi="Arial"/>
          <w:sz w:val="17"/>
          <w:szCs w:val="17"/>
          <w:i w:val="1"/>
          <w:iCs w:val="1"/>
          <w:color w:val="auto"/>
        </w:rPr>
        <w:t>Receivables less allowance for doubtful accounts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Billings and cash collections in excess of revenue recognized on contracts are included within</w:t>
      </w:r>
      <w:r>
        <w:rPr>
          <w:rFonts w:ascii="Arial" w:cs="Arial" w:eastAsia="Arial" w:hAnsi="Arial"/>
          <w:sz w:val="17"/>
          <w:szCs w:val="17"/>
          <w:i w:val="1"/>
          <w:iCs w:val="1"/>
          <w:color w:val="auto"/>
        </w:rPr>
        <w:t xml:space="preserve"> Accounts payable and accrued liabilities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Balance Sheet</w:t>
      </w:r>
      <w:r>
        <w:rPr>
          <w:rFonts w:ascii="Arial" w:cs="Arial" w:eastAsia="Arial" w:hAnsi="Arial"/>
          <w:sz w:val="17"/>
          <w:szCs w:val="17"/>
          <w:color w:val="auto"/>
        </w:rPr>
        <w:t>.</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Revenue from seismic contract services performed on a dayrate basis is recognized as the service is performed. Revenue from other services, including pre-funded multiclient surveys, is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 from sales of completed multiclient data surveys is recognized upon obtaining a signed licensing agreement and providing customers with access to such data.</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Revenue is occasionally generated from contractual arrangements that include multiple deliverables. Revenue from these arrangements is recognized as each item is delivered based on its relative fair value, provided that the delivered items have stand-alone value to the customer.</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Revenue derived from the sale of licenses of Schlumberger software may include installation, maintenance, consulting and training services. 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reflects the Schlumberger investment portfolio separated between current and long term, based on maturity. </w:t>
      </w:r>
      <w:r>
        <w:rPr>
          <w:rFonts w:ascii="Arial" w:cs="Arial" w:eastAsia="Arial" w:hAnsi="Arial"/>
          <w:sz w:val="17"/>
          <w:szCs w:val="17"/>
          <w:i w:val="1"/>
          <w:iCs w:val="1"/>
          <w:color w:val="auto"/>
        </w:rPr>
        <w:t>Short-term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investments </w:t>
      </w:r>
      <w:r>
        <w:rPr>
          <w:rFonts w:ascii="Arial" w:cs="Arial" w:eastAsia="Arial" w:hAnsi="Arial"/>
          <w:sz w:val="17"/>
          <w:szCs w:val="17"/>
          <w:color w:val="auto"/>
        </w:rPr>
        <w:t>are comprised primarily of money market funds, time deposits, certificates of deposit, commercial paper, bonds and notes, substantially all of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denominated in US dollars and are stated at cost plus accrued interest, which approximates market.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purposes of the </w:t>
      </w:r>
      <w:r>
        <w:rPr>
          <w:rFonts w:ascii="Arial" w:cs="Arial" w:eastAsia="Arial" w:hAnsi="Arial"/>
          <w:sz w:val="17"/>
          <w:szCs w:val="17"/>
          <w:i w:val="1"/>
          <w:iCs w:val="1"/>
          <w:color w:val="auto"/>
        </w:rPr>
        <w:t>Consolidated Statement of Cash Flows</w:t>
      </w:r>
      <w:r>
        <w:rPr>
          <w:rFonts w:ascii="Arial" w:cs="Arial" w:eastAsia="Arial" w:hAnsi="Arial"/>
          <w:sz w:val="17"/>
          <w:szCs w:val="17"/>
          <w:color w:val="auto"/>
        </w:rPr>
        <w:t xml:space="preserve">, Schlumberger does not consider </w:t>
      </w:r>
      <w:r>
        <w:rPr>
          <w:rFonts w:ascii="Arial" w:cs="Arial" w:eastAsia="Arial" w:hAnsi="Arial"/>
          <w:sz w:val="17"/>
          <w:szCs w:val="17"/>
          <w:i w:val="1"/>
          <w:iCs w:val="1"/>
          <w:color w:val="auto"/>
        </w:rPr>
        <w:t>Short-term investments</w:t>
      </w:r>
      <w:r>
        <w:rPr>
          <w:rFonts w:ascii="Arial" w:cs="Arial" w:eastAsia="Arial" w:hAnsi="Arial"/>
          <w:sz w:val="17"/>
          <w:szCs w:val="17"/>
          <w:color w:val="auto"/>
        </w:rPr>
        <w:t xml:space="preserve"> to be cash equivalents.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in Affiliated Companies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Investments in companies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Investments in privately held companies in which Schlumberger does not have the ability to exercise significant influence are accounted for using the cost method. Investments in publicly traded companies in which Schlumberger does not have significant influence are accounted for as available-for-sale marketable securities, reported at fair value with unrealized gains and losses reported as a component of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w:t>
      </w:r>
    </w:p>
    <w:p>
      <w:pPr>
        <w:spacing w:after="0" w:line="16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Equity and cost method investments as well as investments in available-for-sale marketable securities are classified as </w:t>
      </w:r>
      <w:r>
        <w:rPr>
          <w:rFonts w:ascii="Arial" w:cs="Arial" w:eastAsia="Arial" w:hAnsi="Arial"/>
          <w:sz w:val="17"/>
          <w:szCs w:val="17"/>
          <w:i w:val="1"/>
          <w:iCs w:val="1"/>
          <w:color w:val="auto"/>
        </w:rPr>
        <w:t>Investments in Affiliated Companies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Multiclient Seismic Data</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Schlumberger’s multiclient library consists of completed and in-process seismic surveys that are licensed on a nonexclusive basis. Schlumberger capitalizes costs directly incurred in acquiring and processing the multiclient seismic data. Such costs are charged to </w:t>
      </w:r>
      <w:r>
        <w:rPr>
          <w:rFonts w:ascii="Arial" w:cs="Arial" w:eastAsia="Arial" w:hAnsi="Arial"/>
          <w:sz w:val="17"/>
          <w:szCs w:val="17"/>
          <w:i w:val="1"/>
          <w:iCs w:val="1"/>
          <w:color w:val="auto"/>
        </w:rPr>
        <w:t>Cost of services</w:t>
      </w:r>
      <w:r>
        <w:rPr>
          <w:rFonts w:ascii="Arial" w:cs="Arial" w:eastAsia="Arial" w:hAnsi="Arial"/>
          <w:sz w:val="17"/>
          <w:szCs w:val="17"/>
          <w:color w:val="auto"/>
        </w:rPr>
        <w:t xml:space="preserve"> based on the percentage of the total costs to the estimated total revenue that Schlumberger expects to receive from the sales of such data. However, under no circumstance will an individual survey carry a net book value greater than a 4-year, straight-line amortized value.</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Schlumberger Production Management</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Schlumberger Production Management (“SPM”) projects are focused on developing and managing production on behalf of Schlumberger’s clients under long-term agreements. Schlumberger will invest its own services and products, and in some cases cash,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compensated based upon cash flow generated or on a fee-per-barrel basis. This includes certain arrangements whereby Schlumberger is only compensated based upon incremental production it helps deliver above a mutually agreed baseline.</w:t>
      </w:r>
    </w:p>
    <w:p>
      <w:pPr>
        <w:spacing w:after="0" w:line="16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Revenue from SPM arrangements, which is recognized as the related production is achieved, represented less than 5% of Schlumberger’s consolidated revenue during each of 2017, 2016 and 2015.</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Schlumberger capitalizes its cash investments in a project as well as the direct costs associated with providing services or products for which Schlumberger will be compensated when the related production is achieved. These capitalized investments are amortized to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 xml:space="preserve"> as the related production is achieved based on the units of production method, whereby each unit produced is assigned a pro-rata portion of the unamortized costs based on estimated total production, resulting in a matching of revenue with the applicable costs. Amortization expense relating to these capitalized investments was $465 million, $449 million and $317 million in 2017, 2016 and 2015, respectively.</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During 2017, Schlumberger purchased a majority non-operating interest in the Palliser Block, located in Alberta, Canada. In connection with the initial accounting for this transaction, Schlumberger recorded a $268 million asset retirement obligation, which was included in both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and </w:t>
      </w:r>
      <w:r>
        <w:rPr>
          <w:rFonts w:ascii="Arial" w:cs="Arial" w:eastAsia="Arial" w:hAnsi="Arial"/>
          <w:sz w:val="17"/>
          <w:szCs w:val="17"/>
          <w:i w:val="1"/>
          <w:iCs w:val="1"/>
          <w:color w:val="auto"/>
        </w:rPr>
        <w:t>Other Liabilities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37" w:name="page38"/>
    <w:bookmarkEnd w:id="37"/>
    <w:p>
      <w:pPr>
        <w:jc w:val="both"/>
        <w:ind w:right="40"/>
        <w:spacing w:after="0" w:line="285" w:lineRule="auto"/>
        <w:rPr>
          <w:sz w:val="20"/>
          <w:szCs w:val="20"/>
          <w:color w:val="auto"/>
        </w:rPr>
      </w:pPr>
      <w:r>
        <w:rPr>
          <w:rFonts w:ascii="Arial" w:cs="Arial" w:eastAsia="Arial" w:hAnsi="Arial"/>
          <w:sz w:val="17"/>
          <w:szCs w:val="17"/>
          <w:color w:val="auto"/>
        </w:rPr>
        <w:t xml:space="preserve">The unamortized portion of Schlumberger’s investments in SPM projects was $4.065 billion and $2.458 billion at December 31, 2017 and 2016, respectively. These amounts are included within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in Schlumberger’s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16" w:lineRule="exact"/>
        <w:rPr>
          <w:sz w:val="20"/>
          <w:szCs w:val="20"/>
          <w:color w:val="auto"/>
        </w:rPr>
      </w:pPr>
    </w:p>
    <w:p>
      <w:pPr>
        <w:jc w:val="both"/>
        <w:ind w:right="40"/>
        <w:spacing w:after="0" w:line="261" w:lineRule="auto"/>
        <w:rPr>
          <w:sz w:val="20"/>
          <w:szCs w:val="20"/>
          <w:color w:val="auto"/>
        </w:rPr>
      </w:pPr>
      <w:r>
        <w:rPr>
          <w:rFonts w:ascii="Arial" w:cs="Arial" w:eastAsia="Arial" w:hAnsi="Arial"/>
          <w:sz w:val="17"/>
          <w:szCs w:val="17"/>
          <w:color w:val="auto"/>
        </w:rPr>
        <w:t>Schlumberger’s assets that are exposed to concentrations of credit risk consist primarily of cash, short-term investments, fixed income investments held to maturity, receivables from clients and derivative financial instruments.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By using derivative financial instruments to hedge certain exposures,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180"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Schlumberger operates in more than 85 countries and as such, its accounts receivable are spread over many countries and customers. Accounts receivable in the United States represented approximately 23% of Schlumberger’s accounts receivable balance at December 31, 2017. No other country accounted for greater than 10% of Schlumberger’s accounts receivable balance.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from basic to diluted earnings (loss) per share of Schlumberger for each of the last three years: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gridSpan w:val="5"/>
          </w:tcPr>
          <w:p>
            <w:pPr>
              <w:jc w:val="center"/>
              <w:ind w:left="176"/>
              <w:spacing w:after="0"/>
              <w:rPr>
                <w:sz w:val="20"/>
                <w:szCs w:val="20"/>
                <w:color w:val="auto"/>
              </w:rPr>
            </w:pPr>
            <w:r>
              <w:rPr>
                <w:rFonts w:ascii="Arial" w:cs="Arial" w:eastAsia="Arial" w:hAnsi="Arial"/>
                <w:sz w:val="14"/>
                <w:szCs w:val="14"/>
                <w:i w:val="1"/>
                <w:iCs w:val="1"/>
                <w:color w:val="auto"/>
                <w:w w:val="89"/>
              </w:rPr>
              <w:t>(Stated in millions, except per share amounts)</w:t>
            </w:r>
          </w:p>
        </w:tc>
        <w:tc>
          <w:tcPr>
            <w:tcW w:w="0" w:type="dxa"/>
            <w:vAlign w:val="bottom"/>
          </w:tcPr>
          <w:p>
            <w:pPr>
              <w:spacing w:after="0"/>
              <w:rPr>
                <w:sz w:val="1"/>
                <w:szCs w:val="1"/>
                <w:color w:val="auto"/>
              </w:rPr>
            </w:pPr>
          </w:p>
        </w:tc>
      </w:tr>
      <w:tr>
        <w:trPr>
          <w:trHeight w:val="405"/>
        </w:trPr>
        <w:tc>
          <w:tcPr>
            <w:tcW w:w="4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6"/>
                <w:szCs w:val="16"/>
                <w:color w:val="auto"/>
                <w:w w:val="90"/>
              </w:rPr>
              <w:t>Net Income (Loss)</w:t>
            </w: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Average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6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Attributable to</w:t>
            </w: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color w:val="auto"/>
                <w:w w:val="82"/>
              </w:rPr>
              <w:t>Shares</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w w:val="90"/>
              </w:rPr>
              <w:t>Earnings (Loss) per</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color w:val="auto"/>
                <w:w w:val="86"/>
              </w:rPr>
              <w:t>Schlumberger</w:t>
            </w: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Outstanding</w:t>
            </w:r>
          </w:p>
        </w:tc>
        <w:tc>
          <w:tcPr>
            <w:tcW w:w="2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Share</w:t>
            </w:r>
          </w:p>
        </w:tc>
        <w:tc>
          <w:tcPr>
            <w:tcW w:w="0" w:type="dxa"/>
            <w:vAlign w:val="bottom"/>
          </w:tcPr>
          <w:p>
            <w:pPr>
              <w:spacing w:after="0"/>
              <w:rPr>
                <w:sz w:val="1"/>
                <w:szCs w:val="1"/>
                <w:color w:val="auto"/>
              </w:rPr>
            </w:pPr>
          </w:p>
        </w:tc>
      </w:tr>
      <w:tr>
        <w:trPr>
          <w:trHeight w:val="217"/>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2017:</w:t>
            </w:r>
          </w:p>
        </w:tc>
        <w:tc>
          <w:tcPr>
            <w:tcW w:w="2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640" w:type="dxa"/>
            <w:vAlign w:val="bottom"/>
          </w:tcPr>
          <w:p>
            <w:pPr>
              <w:spacing w:after="0"/>
              <w:rPr>
                <w:sz w:val="20"/>
                <w:szCs w:val="20"/>
                <w:color w:val="auto"/>
              </w:rPr>
            </w:pPr>
            <w:r>
              <w:rPr>
                <w:rFonts w:ascii="Arial" w:cs="Arial" w:eastAsia="Arial" w:hAnsi="Arial"/>
                <w:sz w:val="17"/>
                <w:szCs w:val="17"/>
                <w:b w:val="1"/>
                <w:bCs w:val="1"/>
                <w:color w:val="auto"/>
              </w:rPr>
              <w:t>Basic</w:t>
            </w:r>
          </w:p>
        </w:tc>
        <w:tc>
          <w:tcPr>
            <w:tcW w:w="23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(1,505)</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1,388</w:t>
            </w:r>
          </w:p>
        </w:tc>
        <w:tc>
          <w:tcPr>
            <w:tcW w:w="260" w:type="dxa"/>
            <w:vAlign w:val="bottom"/>
          </w:tcPr>
          <w:p>
            <w:pPr>
              <w:spacing w:after="0"/>
              <w:rPr>
                <w:sz w:val="22"/>
                <w:szCs w:val="22"/>
                <w:color w:val="auto"/>
              </w:rPr>
            </w:pPr>
          </w:p>
        </w:tc>
        <w:tc>
          <w:tcPr>
            <w:tcW w:w="280" w:type="dxa"/>
            <w:vAlign w:val="bottom"/>
          </w:tcPr>
          <w:p>
            <w:pPr>
              <w:jc w:val="center"/>
              <w:ind w:right="115"/>
              <w:spacing w:after="0"/>
              <w:rPr>
                <w:sz w:val="20"/>
                <w:szCs w:val="20"/>
                <w:color w:val="auto"/>
              </w:rPr>
            </w:pPr>
            <w:r>
              <w:rPr>
                <w:rFonts w:ascii="Arial" w:cs="Arial" w:eastAsia="Arial" w:hAnsi="Arial"/>
                <w:sz w:val="17"/>
                <w:szCs w:val="17"/>
                <w:b w:val="1"/>
                <w:bCs w:val="1"/>
                <w:color w:val="auto"/>
                <w:w w:val="84"/>
              </w:rPr>
              <w:t>$</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(1.08)</w:t>
            </w:r>
          </w:p>
        </w:tc>
        <w:tc>
          <w:tcPr>
            <w:tcW w:w="0" w:type="dxa"/>
            <w:vAlign w:val="bottom"/>
          </w:tcPr>
          <w:p>
            <w:pPr>
              <w:spacing w:after="0"/>
              <w:rPr>
                <w:sz w:val="1"/>
                <w:szCs w:val="1"/>
                <w:color w:val="auto"/>
              </w:rPr>
            </w:pPr>
          </w:p>
        </w:tc>
      </w:tr>
      <w:tr>
        <w:trPr>
          <w:trHeight w:val="200"/>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Assumed exercise of stock options</w:t>
            </w:r>
          </w:p>
        </w:tc>
        <w:tc>
          <w:tcPr>
            <w:tcW w:w="2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4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Unvested restricted stock</w:t>
            </w:r>
          </w:p>
        </w:tc>
        <w:tc>
          <w:tcPr>
            <w:tcW w:w="2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Diluted</w:t>
            </w:r>
          </w:p>
        </w:tc>
        <w:tc>
          <w:tcPr>
            <w:tcW w:w="2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(1,505)</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1,388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center"/>
              <w:ind w:right="115"/>
              <w:spacing w:after="0"/>
              <w:rPr>
                <w:sz w:val="20"/>
                <w:szCs w:val="20"/>
                <w:color w:val="auto"/>
              </w:rPr>
            </w:pPr>
            <w:r>
              <w:rPr>
                <w:rFonts w:ascii="Arial" w:cs="Arial" w:eastAsia="Arial" w:hAnsi="Arial"/>
                <w:sz w:val="17"/>
                <w:szCs w:val="17"/>
                <w:b w:val="1"/>
                <w:bCs w:val="1"/>
                <w:color w:val="auto"/>
                <w:w w:val="84"/>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(1.08)</w:t>
            </w: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2016:</w:t>
            </w:r>
          </w:p>
        </w:tc>
        <w:tc>
          <w:tcPr>
            <w:tcW w:w="2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4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Basic</w:t>
            </w:r>
          </w:p>
        </w:tc>
        <w:tc>
          <w:tcPr>
            <w:tcW w:w="2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(1,687)</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center"/>
              <w:ind w:right="115"/>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Assumed exercise of stock options</w:t>
            </w:r>
          </w:p>
        </w:tc>
        <w:tc>
          <w:tcPr>
            <w:tcW w:w="2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4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Unvested restricted stock</w:t>
            </w:r>
          </w:p>
        </w:tc>
        <w:tc>
          <w:tcPr>
            <w:tcW w:w="2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640" w:type="dxa"/>
            <w:vAlign w:val="bottom"/>
          </w:tcPr>
          <w:p>
            <w:pPr>
              <w:spacing w:after="0"/>
              <w:rPr>
                <w:sz w:val="20"/>
                <w:szCs w:val="20"/>
                <w:color w:val="auto"/>
              </w:rPr>
            </w:pPr>
            <w:r>
              <w:rPr>
                <w:rFonts w:ascii="Arial" w:cs="Arial" w:eastAsia="Arial" w:hAnsi="Arial"/>
                <w:sz w:val="17"/>
                <w:szCs w:val="17"/>
                <w:color w:val="auto"/>
              </w:rPr>
              <w:t>Diluted</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(1,687)</w:t>
            </w:r>
          </w:p>
        </w:tc>
        <w:tc>
          <w:tcPr>
            <w:tcW w:w="1340" w:type="dxa"/>
            <w:vAlign w:val="bottom"/>
          </w:tcPr>
          <w:p>
            <w:pPr>
              <w:jc w:val="right"/>
              <w:spacing w:after="0"/>
              <w:rPr>
                <w:sz w:val="20"/>
                <w:szCs w:val="20"/>
                <w:color w:val="auto"/>
              </w:rPr>
            </w:pPr>
            <w:r>
              <w:rPr>
                <w:rFonts w:ascii="Arial" w:cs="Arial" w:eastAsia="Arial" w:hAnsi="Arial"/>
                <w:sz w:val="17"/>
                <w:szCs w:val="17"/>
                <w:color w:val="auto"/>
              </w:rPr>
              <w:t>1,357</w:t>
            </w:r>
          </w:p>
        </w:tc>
        <w:tc>
          <w:tcPr>
            <w:tcW w:w="260" w:type="dxa"/>
            <w:vAlign w:val="bottom"/>
          </w:tcPr>
          <w:p>
            <w:pPr>
              <w:spacing w:after="0"/>
              <w:rPr>
                <w:sz w:val="22"/>
                <w:szCs w:val="22"/>
                <w:color w:val="auto"/>
              </w:rPr>
            </w:pPr>
          </w:p>
        </w:tc>
        <w:tc>
          <w:tcPr>
            <w:tcW w:w="280" w:type="dxa"/>
            <w:vAlign w:val="bottom"/>
          </w:tcPr>
          <w:p>
            <w:pPr>
              <w:jc w:val="center"/>
              <w:ind w:right="115"/>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0"/>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2015:</w:t>
            </w:r>
          </w:p>
        </w:tc>
        <w:tc>
          <w:tcPr>
            <w:tcW w:w="2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6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Basic</w:t>
            </w:r>
          </w:p>
        </w:tc>
        <w:tc>
          <w:tcPr>
            <w:tcW w:w="2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2,072</w:t>
            </w:r>
          </w:p>
        </w:tc>
        <w:tc>
          <w:tcPr>
            <w:tcW w:w="26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1,267</w:t>
            </w:r>
          </w:p>
        </w:tc>
        <w:tc>
          <w:tcPr>
            <w:tcW w:w="2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Assumed exercise of stock options</w:t>
            </w:r>
          </w:p>
        </w:tc>
        <w:tc>
          <w:tcPr>
            <w:tcW w:w="2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Unvested restricted stock</w:t>
            </w:r>
          </w:p>
        </w:tc>
        <w:tc>
          <w:tcPr>
            <w:tcW w:w="2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Diluted</w:t>
            </w:r>
          </w:p>
        </w:tc>
        <w:tc>
          <w:tcPr>
            <w:tcW w:w="2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2,072</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center"/>
              <w:ind w:right="1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40"/>
        <w:spacing w:after="0" w:line="262" w:lineRule="auto"/>
        <w:rPr>
          <w:sz w:val="20"/>
          <w:szCs w:val="20"/>
          <w:color w:val="auto"/>
        </w:rPr>
      </w:pPr>
      <w:r>
        <w:rPr>
          <w:rFonts w:ascii="Arial" w:cs="Arial" w:eastAsia="Arial" w:hAnsi="Arial"/>
          <w:sz w:val="17"/>
          <w:szCs w:val="17"/>
          <w:color w:val="auto"/>
        </w:rPr>
        <w:t>The number of outstanding employee stock options to purchase shares of Schlumberger common stock and unvested restricted stock units that were not included in the computation of diluted earnings/loss per share, because to do so would have had an anti-dilutive effect,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28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15"/>
                <w:szCs w:val="15"/>
                <w:color w:val="auto"/>
              </w:rPr>
            </w:pPr>
          </w:p>
        </w:tc>
      </w:tr>
      <w:tr>
        <w:trPr>
          <w:trHeight w:val="422"/>
        </w:trPr>
        <w:tc>
          <w:tcPr>
            <w:tcW w:w="6720" w:type="dxa"/>
            <w:vAlign w:val="bottom"/>
            <w:tcBorders>
              <w:bottom w:val="single" w:sz="8" w:color="CFF0FC"/>
            </w:tcBorders>
          </w:tcPr>
          <w:p>
            <w:pPr>
              <w:spacing w:after="0"/>
              <w:rPr>
                <w:sz w:val="24"/>
                <w:szCs w:val="24"/>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2017</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2016</w:t>
            </w:r>
          </w:p>
        </w:tc>
        <w:tc>
          <w:tcPr>
            <w:tcW w:w="260" w:type="dxa"/>
            <w:vAlign w:val="bottom"/>
            <w:tcBorders>
              <w:bottom w:val="single" w:sz="8" w:color="CFF0FC"/>
            </w:tcBorders>
          </w:tcPr>
          <w:p>
            <w:pPr>
              <w:spacing w:after="0"/>
              <w:rPr>
                <w:sz w:val="24"/>
                <w:szCs w:val="24"/>
                <w:color w:val="auto"/>
              </w:rPr>
            </w:pPr>
          </w:p>
        </w:tc>
        <w:tc>
          <w:tcPr>
            <w:tcW w:w="1360" w:type="dxa"/>
            <w:vAlign w:val="bottom"/>
            <w:tcBorders>
              <w:bottom w:val="single" w:sz="8" w:color="auto"/>
            </w:tcBorders>
          </w:tcPr>
          <w:p>
            <w:pPr>
              <w:jc w:val="right"/>
              <w:ind w:right="438"/>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FF0FC"/>
            </w:tcBorders>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77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Employee stock options</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47</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7720" w:type="dxa"/>
            <w:vAlign w:val="bottom"/>
            <w:gridSpan w:val="2"/>
          </w:tcPr>
          <w:p>
            <w:pPr>
              <w:spacing w:after="0"/>
              <w:rPr>
                <w:sz w:val="20"/>
                <w:szCs w:val="20"/>
                <w:color w:val="auto"/>
              </w:rPr>
            </w:pPr>
            <w:r>
              <w:rPr>
                <w:rFonts w:ascii="Arial" w:cs="Arial" w:eastAsia="Arial" w:hAnsi="Arial"/>
                <w:sz w:val="17"/>
                <w:szCs w:val="17"/>
                <w:color w:val="auto"/>
              </w:rPr>
              <w:t>Unvested restricted stock</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826"/>
        </w:trPr>
        <w:tc>
          <w:tcPr>
            <w:tcW w:w="6720" w:type="dxa"/>
            <w:vAlign w:val="bottom"/>
          </w:tcPr>
          <w:p>
            <w:pPr>
              <w:jc w:val="right"/>
              <w:ind w:right="833"/>
              <w:spacing w:after="0"/>
              <w:rPr>
                <w:sz w:val="20"/>
                <w:szCs w:val="20"/>
                <w:color w:val="auto"/>
              </w:rPr>
            </w:pPr>
            <w:r>
              <w:rPr>
                <w:rFonts w:ascii="Arial" w:cs="Arial" w:eastAsia="Arial" w:hAnsi="Arial"/>
                <w:sz w:val="17"/>
                <w:szCs w:val="17"/>
                <w:color w:val="auto"/>
              </w:rPr>
              <w:t>38</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3"/>
        </w:trPr>
        <w:tc>
          <w:tcPr>
            <w:tcW w:w="67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5" w:right="19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This ASU amends the existing accounting standards for revenue recognition and is based on the principle that revenue should be recognized to depict</w:t>
      </w:r>
      <w:r>
        <w:rPr>
          <w:rFonts w:ascii="Arial" w:cs="Arial" w:eastAsia="Arial" w:hAnsi="Arial"/>
          <w:sz w:val="17"/>
          <w:szCs w:val="17"/>
          <w:i w:val="1"/>
          <w:iCs w:val="1"/>
          <w:color w:val="auto"/>
        </w:rPr>
        <w:t xml:space="preserve"> </w:t>
      </w:r>
      <w:r>
        <w:rPr>
          <w:rFonts w:ascii="Arial" w:cs="Arial" w:eastAsia="Arial" w:hAnsi="Arial"/>
          <w:sz w:val="17"/>
          <w:szCs w:val="17"/>
          <w:color w:val="auto"/>
        </w:rPr>
        <w:t>the transfer of goods or services to a customer at an amount that reflects the consideration a company expects to receive in exchange for those goods or services. Schlumberger adopted this ASU on January 1, 2018. Schlumberger has concluded that the adoption of this ASU will not have a material impact on its consolidated financial statements.</w:t>
      </w:r>
    </w:p>
    <w:p>
      <w:pPr>
        <w:spacing w:after="0" w:line="180"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This ASU requires lessees to recognize a right of use asset and lease liability on the balance sheet for all leases, with the exception of short-term leases. Schlumberger will adopt this ASU on January 1, 2019. Based on its current lease portfolio, Schlumberger estimates that the adoption of this ASU will result in approximately $1.2 billion of additional assets and liabilities being reflected on its </w:t>
      </w:r>
      <w:r>
        <w:rPr>
          <w:rFonts w:ascii="Arial" w:cs="Arial" w:eastAsia="Arial" w:hAnsi="Arial"/>
          <w:sz w:val="15"/>
          <w:szCs w:val="15"/>
          <w:i w:val="1"/>
          <w:iCs w:val="1"/>
          <w:color w:val="auto"/>
        </w:rPr>
        <w:t>Consolidated Balance Sheet</w:t>
      </w:r>
      <w:r>
        <w:rPr>
          <w:rFonts w:ascii="Arial" w:cs="Arial" w:eastAsia="Arial" w:hAnsi="Arial"/>
          <w:sz w:val="15"/>
          <w:szCs w:val="15"/>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Certain prior period amounts have been reclassified to conform to the current period presentation.</w:t>
      </w:r>
    </w:p>
    <w:p>
      <w:pPr>
        <w:spacing w:after="0" w:line="318" w:lineRule="exact"/>
        <w:rPr>
          <w:sz w:val="20"/>
          <w:szCs w:val="20"/>
          <w:color w:val="auto"/>
        </w:rPr>
      </w:pPr>
    </w:p>
    <w:p>
      <w:pPr>
        <w:ind w:left="220" w:hanging="216"/>
        <w:spacing w:after="0"/>
        <w:tabs>
          <w:tab w:leader="none" w:pos="22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Charges and Credits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Schlumberger recorded the following charges and credits during 2017, 2016 and 2015:</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w:t>
      </w:r>
    </w:p>
    <w:p>
      <w:pPr>
        <w:spacing w:after="0" w:line="122" w:lineRule="exact"/>
        <w:rPr>
          <w:sz w:val="20"/>
          <w:szCs w:val="20"/>
          <w:color w:val="auto"/>
        </w:rPr>
      </w:pPr>
    </w:p>
    <w:p>
      <w:pPr>
        <w:jc w:val="both"/>
        <w:ind w:left="760" w:hanging="379"/>
        <w:spacing w:after="0" w:line="261"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the fourth quarter of 2017, Schlumberger decided to cease all future marine seismic acquisition activities, after satisfying its remaining contractual commitments. As a result, Schlumberger will seek to monetize its existing fleet of marine seismic vessels. This decision resulted in a charge of $1.025 billion consisting of the following: $786 million write-down of the vessels to their estimated fair value; $78 million impairment of intangible assets; $59 million write-down of inventory, and $102 million of other related restructuring costs. The fair value of the vessels was determined based on unobservable inputs that required significant judgments. Schlumberger also recorded a $90 million impairment charge relating to its land seismic business.</w:t>
      </w:r>
    </w:p>
    <w:p>
      <w:pPr>
        <w:spacing w:after="0" w:line="75" w:lineRule="exact"/>
        <w:rPr>
          <w:rFonts w:ascii="Arial" w:cs="Arial" w:eastAsia="Arial" w:hAnsi="Arial"/>
          <w:sz w:val="17"/>
          <w:szCs w:val="17"/>
          <w:color w:val="auto"/>
        </w:rPr>
      </w:pPr>
    </w:p>
    <w:p>
      <w:pPr>
        <w:jc w:val="both"/>
        <w:ind w:left="760" w:hanging="379"/>
        <w:spacing w:after="0" w:line="270"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a result of the unfavorable near-term outlook for exploration spending, Schlumberger determined in the fourth quarter of 2017 that the carrying value of certain multiclient seismic data, primarily related to the US Gulf of Mexico, was impaired, resulting in a $246 million charge that was estimated based on the projected present value of future cash flows that these surveys are expected to generate.</w:t>
      </w:r>
    </w:p>
    <w:p>
      <w:pPr>
        <w:spacing w:after="0" w:line="67" w:lineRule="exact"/>
        <w:rPr>
          <w:rFonts w:ascii="Arial" w:cs="Arial" w:eastAsia="Arial" w:hAnsi="Arial"/>
          <w:sz w:val="17"/>
          <w:szCs w:val="17"/>
          <w:color w:val="auto"/>
        </w:rPr>
      </w:pPr>
    </w:p>
    <w:p>
      <w:pPr>
        <w:jc w:val="both"/>
        <w:ind w:left="760" w:hanging="379"/>
        <w:spacing w:after="0" w:line="286"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fourth quarter of 2017, Schlumberger determined that it was appropriate to write-down its investment in Venezuela, given the recent economic and political developments in the country which have created significant uncertainties regarding recoverability. As a result, Schlumberger recorded a charge of $938 million, reflecting $469 million of accounts receivable, a $105 million other-than-temporary impairment charge relating to the promissory notes described below, $285 million of fixed assets and $79 million of other assets in the country.</w:t>
      </w:r>
    </w:p>
    <w:p>
      <w:pPr>
        <w:spacing w:after="0" w:line="58" w:lineRule="exact"/>
        <w:rPr>
          <w:rFonts w:ascii="Arial" w:cs="Arial" w:eastAsia="Arial" w:hAnsi="Arial"/>
          <w:sz w:val="16"/>
          <w:szCs w:val="16"/>
          <w:color w:val="auto"/>
        </w:rPr>
      </w:pPr>
    </w:p>
    <w:p>
      <w:pPr>
        <w:ind w:left="760" w:hanging="379"/>
        <w:spacing w:after="0" w:line="285"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the fourth quarter of 2017, Schlumberger recorded a $245 million charge related to an estimated loss on a long-term surface facility construction project that is accounted for under the percentage-of-completion method.</w:t>
      </w:r>
    </w:p>
    <w:p>
      <w:pPr>
        <w:spacing w:after="0" w:line="55" w:lineRule="exact"/>
        <w:rPr>
          <w:rFonts w:ascii="Arial" w:cs="Arial" w:eastAsia="Arial" w:hAnsi="Arial"/>
          <w:sz w:val="17"/>
          <w:szCs w:val="17"/>
          <w:color w:val="auto"/>
        </w:rPr>
      </w:pPr>
    </w:p>
    <w:p>
      <w:pPr>
        <w:ind w:left="760" w:hanging="379"/>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Schlumberger recorded $156 million of other restructuring charges during the fourth quarter of 2017, primarily relating to facility and other exit costs.</w:t>
      </w:r>
    </w:p>
    <w:p>
      <w:pPr>
        <w:spacing w:after="0" w:line="127" w:lineRule="exact"/>
        <w:rPr>
          <w:rFonts w:ascii="Arial" w:cs="Arial" w:eastAsia="Arial" w:hAnsi="Arial"/>
          <w:sz w:val="16"/>
          <w:szCs w:val="16"/>
          <w:color w:val="auto"/>
        </w:rPr>
      </w:pPr>
    </w:p>
    <w:p>
      <w:pPr>
        <w:ind w:left="760" w:hanging="379"/>
        <w:spacing w:after="0" w:line="285"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the fourth quarter of 2017, Schlumberger recorded a $247 million charge associated with headcount reductions primarily to further streamline its support cost structure.</w:t>
      </w:r>
    </w:p>
    <w:p>
      <w:pPr>
        <w:spacing w:after="0" w:line="55" w:lineRule="exact"/>
        <w:rPr>
          <w:rFonts w:ascii="Arial" w:cs="Arial" w:eastAsia="Arial" w:hAnsi="Arial"/>
          <w:sz w:val="17"/>
          <w:szCs w:val="17"/>
          <w:color w:val="auto"/>
        </w:rPr>
      </w:pPr>
    </w:p>
    <w:p>
      <w:pPr>
        <w:jc w:val="both"/>
        <w:ind w:left="760" w:hanging="379"/>
        <w:spacing w:after="0" w:line="279"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On December 22, 2017, the US enacted the Tax Cuts and Jobs Act (the “Act”). The Act, which is also commonly referred to as “US tax reform”, significantly changes US corporate income tax laws by, among other things, reducing the US corporate income tax rate to 21% starting in 2018 and creating a territorial tax system with a one-time mandatory tax on previously deferred foreign earnings of US subsidiaries. As a result, Schlumberger recorded a net charge of $76 million during the fourth quarter of 2017. This amount, which is included in </w:t>
      </w:r>
      <w:r>
        <w:rPr>
          <w:rFonts w:ascii="Arial" w:cs="Arial" w:eastAsia="Arial" w:hAnsi="Arial"/>
          <w:sz w:val="16"/>
          <w:szCs w:val="16"/>
          <w:i w:val="1"/>
          <w:iCs w:val="1"/>
          <w:color w:val="auto"/>
        </w:rPr>
        <w:t>Tax expense (benefit)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 (Loss)</w:t>
      </w:r>
      <w:r>
        <w:rPr>
          <w:rFonts w:ascii="Arial" w:cs="Arial" w:eastAsia="Arial" w:hAnsi="Arial"/>
          <w:sz w:val="16"/>
          <w:szCs w:val="16"/>
          <w:color w:val="auto"/>
        </w:rPr>
        <w:t>, consists of two components: (i) a $410 million charge relating to the one-time mandatory tax on previously deferred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of certain non-US subsidiaries that are owned either wholly or partially by a US subsidiary of Schlumberger, and (ii) a $334 million credit resulting from the remeasurement of Schlumberger’s net deferred tax liabilities in the US based on the new lower corporate income tax rate.</w:t>
      </w:r>
    </w:p>
    <w:p>
      <w:pPr>
        <w:spacing w:after="0" w:line="165" w:lineRule="exact"/>
        <w:rPr>
          <w:rFonts w:ascii="Arial" w:cs="Arial" w:eastAsia="Arial" w:hAnsi="Arial"/>
          <w:sz w:val="16"/>
          <w:szCs w:val="16"/>
          <w:color w:val="auto"/>
        </w:rPr>
      </w:pPr>
    </w:p>
    <w:p>
      <w:pPr>
        <w:jc w:val="both"/>
        <w:ind w:left="760"/>
        <w:spacing w:after="0" w:line="265" w:lineRule="auto"/>
        <w:rPr>
          <w:rFonts w:ascii="Arial" w:cs="Arial" w:eastAsia="Arial" w:hAnsi="Arial"/>
          <w:sz w:val="16"/>
          <w:szCs w:val="16"/>
          <w:color w:val="auto"/>
        </w:rPr>
      </w:pPr>
      <w:r>
        <w:rPr>
          <w:rFonts w:ascii="Arial" w:cs="Arial" w:eastAsia="Arial" w:hAnsi="Arial"/>
          <w:sz w:val="17"/>
          <w:szCs w:val="17"/>
          <w:color w:val="auto"/>
        </w:rPr>
        <w:t xml:space="preserve">Although the $76 million net charge represents what Schlumberger believes is a reasonable estimate of the impact of the income tax effects of the Act on Schlumberger’s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as of December 31, 2017, it should be considered provisional. Once Schlumberger finalizes certain tax positions when it files its 2017 US tax return, it will be able to conclude whether any further adjustments are required to its net deferred tax liability balance in the US of $1.7 billion as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39" w:name="page40"/>
    <w:bookmarkEnd w:id="39"/>
    <w:p>
      <w:pPr>
        <w:jc w:val="both"/>
        <w:ind w:left="760"/>
        <w:spacing w:after="0" w:line="270" w:lineRule="auto"/>
        <w:rPr>
          <w:sz w:val="20"/>
          <w:szCs w:val="20"/>
          <w:color w:val="auto"/>
        </w:rPr>
      </w:pPr>
      <w:r>
        <w:rPr>
          <w:rFonts w:ascii="Arial" w:cs="Arial" w:eastAsia="Arial" w:hAnsi="Arial"/>
          <w:sz w:val="17"/>
          <w:szCs w:val="17"/>
          <w:color w:val="auto"/>
        </w:rPr>
        <w:t xml:space="preserve">of December 31, 2017, as well as to the liability associated with the one-time mandatory tax. Any adjustments to these provisional amounts will be reported as a component of </w:t>
      </w:r>
      <w:r>
        <w:rPr>
          <w:rFonts w:ascii="Arial" w:cs="Arial" w:eastAsia="Arial" w:hAnsi="Arial"/>
          <w:sz w:val="17"/>
          <w:szCs w:val="17"/>
          <w:i w:val="1"/>
          <w:iCs w:val="1"/>
          <w:color w:val="auto"/>
        </w:rPr>
        <w:t>Tax expense (benefit)</w:t>
      </w:r>
      <w:r>
        <w:rPr>
          <w:rFonts w:ascii="Arial" w:cs="Arial" w:eastAsia="Arial" w:hAnsi="Arial"/>
          <w:sz w:val="17"/>
          <w:szCs w:val="17"/>
          <w:color w:val="auto"/>
        </w:rPr>
        <w:t xml:space="preserve"> in the reporting period in which any such adjustments are determined, which will be no later than the fourth quarter of 2018.</w:t>
      </w:r>
    </w:p>
    <w:p>
      <w:pPr>
        <w:spacing w:after="0" w:line="68" w:lineRule="exact"/>
        <w:rPr>
          <w:sz w:val="20"/>
          <w:szCs w:val="20"/>
          <w:color w:val="auto"/>
        </w:rPr>
      </w:pPr>
    </w:p>
    <w:p>
      <w:pPr>
        <w:jc w:val="both"/>
        <w:ind w:left="760" w:hanging="379"/>
        <w:spacing w:after="0" w:line="280"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During the second quarter of 2017, Schlumberger entered into a financing agreement with its primary customer in Venezuela. This agreement resulted in the exchange of $700 million of outstanding accounts receivable for promissory notes with a three-year term that bear interest at the rate of 6.50% per annum. Schlumberger recorded these notes at their estimated fair value on the date of the exchange, which resulted in a charge of $460 million. Schlumberger is accounting for the promissory notes as available-for-sale securities reported at fair value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with unrealized gains and losses included as a component of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Following the $105 million other-than-temporary impairment charge described above, the new cost basis of these promissory notes is $135 million, which approximates their fair value at December 31, 2017.</w:t>
      </w:r>
    </w:p>
    <w:p>
      <w:pPr>
        <w:spacing w:after="0" w:line="63" w:lineRule="exact"/>
        <w:rPr>
          <w:rFonts w:ascii="Arial" w:cs="Arial" w:eastAsia="Arial" w:hAnsi="Arial"/>
          <w:sz w:val="16"/>
          <w:szCs w:val="16"/>
          <w:color w:val="auto"/>
        </w:rPr>
      </w:pPr>
    </w:p>
    <w:p>
      <w:pPr>
        <w:ind w:left="760" w:hanging="379"/>
        <w:spacing w:after="0" w:line="318"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second quarter of 2017, Schlumberger entered into discussions with a customer relating to certain of its outstanding accounts receivable. As a result of these discussions, Schlumberger recorded a charge of $50 million to adjust these receivables to their estimated net realizable value.</w:t>
      </w:r>
    </w:p>
    <w:p>
      <w:pPr>
        <w:spacing w:after="0" w:line="32" w:lineRule="exact"/>
        <w:rPr>
          <w:rFonts w:ascii="Arial" w:cs="Arial" w:eastAsia="Arial" w:hAnsi="Arial"/>
          <w:sz w:val="16"/>
          <w:szCs w:val="16"/>
          <w:color w:val="auto"/>
        </w:rPr>
      </w:pPr>
    </w:p>
    <w:p>
      <w:pPr>
        <w:ind w:left="760" w:hanging="379"/>
        <w:spacing w:after="0" w:line="318"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Schlumberger recorded $308 million of charges during 2017 relating to employee benefits, facility closures and other merger and integration-related costs, primarily in connection with Schlumberger’s 2016 acquisition of Cameron International Corporation (“Cameron”) (See Note 4 – </w:t>
      </w:r>
      <w:r>
        <w:rPr>
          <w:rFonts w:ascii="Arial" w:cs="Arial" w:eastAsia="Arial" w:hAnsi="Arial"/>
          <w:sz w:val="16"/>
          <w:szCs w:val="16"/>
          <w:i w:val="1"/>
          <w:iCs w:val="1"/>
          <w:color w:val="auto"/>
        </w:rPr>
        <w:t>Acquisitions</w:t>
      </w:r>
      <w:r>
        <w:rPr>
          <w:rFonts w:ascii="Arial" w:cs="Arial" w:eastAsia="Arial" w:hAnsi="Arial"/>
          <w:sz w:val="16"/>
          <w:szCs w:val="16"/>
          <w:color w:val="auto"/>
        </w:rPr>
        <w:t>).</w:t>
      </w:r>
    </w:p>
    <w:p>
      <w:pPr>
        <w:spacing w:after="0" w:line="136" w:lineRule="exact"/>
        <w:rPr>
          <w:sz w:val="20"/>
          <w:szCs w:val="20"/>
          <w:color w:val="auto"/>
        </w:rPr>
      </w:pPr>
    </w:p>
    <w:p>
      <w:pPr>
        <w:ind w:left="380"/>
        <w:spacing w:after="0" w:line="285" w:lineRule="auto"/>
        <w:rPr>
          <w:sz w:val="20"/>
          <w:szCs w:val="20"/>
          <w:color w:val="auto"/>
        </w:rPr>
      </w:pPr>
      <w:r>
        <w:rPr>
          <w:rFonts w:ascii="Arial" w:cs="Arial" w:eastAsia="Arial" w:hAnsi="Arial"/>
          <w:sz w:val="17"/>
          <w:szCs w:val="17"/>
          <w:color w:val="auto"/>
        </w:rPr>
        <w:t xml:space="preserve">The following is a summary of these charges and credits, of which $3.211 billion were classified as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$245 million were classified in </w:t>
      </w:r>
      <w:r>
        <w:rPr>
          <w:rFonts w:ascii="Arial" w:cs="Arial" w:eastAsia="Arial" w:hAnsi="Arial"/>
          <w:sz w:val="17"/>
          <w:szCs w:val="17"/>
          <w:i w:val="1"/>
          <w:iCs w:val="1"/>
          <w:color w:val="auto"/>
        </w:rPr>
        <w:t>Cost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sales </w:t>
      </w:r>
      <w:r>
        <w:rPr>
          <w:rFonts w:ascii="Arial" w:cs="Arial" w:eastAsia="Arial" w:hAnsi="Arial"/>
          <w:sz w:val="17"/>
          <w:szCs w:val="17"/>
          <w:color w:val="auto"/>
        </w:rPr>
        <w:t>and $308 million were classified as</w:t>
      </w:r>
      <w:r>
        <w:rPr>
          <w:rFonts w:ascii="Arial" w:cs="Arial" w:eastAsia="Arial" w:hAnsi="Arial"/>
          <w:sz w:val="17"/>
          <w:szCs w:val="17"/>
          <w:i w:val="1"/>
          <w:iCs w:val="1"/>
          <w:color w:val="auto"/>
        </w:rPr>
        <w:t xml:space="preserve"> Merger &amp; integration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Statement of Income (Loss)</w:t>
      </w:r>
      <w:r>
        <w:rPr>
          <w:rFonts w:ascii="Arial" w:cs="Arial" w:eastAsia="Arial" w:hAnsi="Arial"/>
          <w:sz w:val="17"/>
          <w:szCs w:val="17"/>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i w:val="1"/>
                <w:iCs w:val="1"/>
                <w:color w:val="auto"/>
              </w:rPr>
              <w:t>(Stated in millions)</w:t>
            </w:r>
          </w:p>
        </w:tc>
      </w:tr>
      <w:tr>
        <w:trPr>
          <w:trHeight w:val="428"/>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Noncontrolling</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7"/>
                <w:szCs w:val="17"/>
                <w:color w:val="auto"/>
              </w:rPr>
              <w:t>Pretax</w:t>
            </w:r>
          </w:p>
        </w:tc>
        <w:tc>
          <w:tcPr>
            <w:tcW w:w="26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7"/>
                <w:szCs w:val="17"/>
                <w:color w:val="auto"/>
              </w:rPr>
              <w:t>Tax</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13"/>
              <w:spacing w:after="0"/>
              <w:rPr>
                <w:sz w:val="20"/>
                <w:szCs w:val="20"/>
                <w:color w:val="auto"/>
              </w:rPr>
            </w:pPr>
            <w:r>
              <w:rPr>
                <w:rFonts w:ascii="Arial" w:cs="Arial" w:eastAsia="Arial" w:hAnsi="Arial"/>
                <w:sz w:val="17"/>
                <w:szCs w:val="17"/>
                <w:color w:val="auto"/>
              </w:rPr>
              <w:t>Interests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360"/>
              <w:spacing w:after="0"/>
              <w:rPr>
                <w:sz w:val="20"/>
                <w:szCs w:val="20"/>
                <w:color w:val="auto"/>
              </w:rPr>
            </w:pPr>
            <w:r>
              <w:rPr>
                <w:rFonts w:ascii="Arial" w:cs="Arial" w:eastAsia="Arial" w:hAnsi="Arial"/>
                <w:sz w:val="17"/>
                <w:szCs w:val="17"/>
                <w:color w:val="auto"/>
              </w:rPr>
              <w:t>Net</w:t>
            </w:r>
          </w:p>
        </w:tc>
      </w:tr>
      <w:tr>
        <w:trPr>
          <w:trHeight w:val="214"/>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i w:val="1"/>
                <w:iCs w:val="1"/>
                <w:color w:val="auto"/>
              </w:rPr>
              <w:t>Impairment &amp; other</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rPr>
              <w:t>WesternGeco seismic restructuring charges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1,114</w:t>
            </w:r>
          </w:p>
        </w:tc>
        <w:tc>
          <w:tcPr>
            <w:tcW w:w="24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9"/>
                <w:szCs w:val="19"/>
                <w:color w:val="auto"/>
              </w:rPr>
            </w:pPr>
          </w:p>
        </w:tc>
        <w:tc>
          <w:tcPr>
            <w:tcW w:w="280" w:type="dxa"/>
            <w:vAlign w:val="bottom"/>
            <w:gridSpan w:val="2"/>
          </w:tcPr>
          <w:p>
            <w:pPr>
              <w:jc w:val="right"/>
              <w:ind w:right="39"/>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1,094</w:t>
            </w:r>
          </w:p>
        </w:tc>
        <w:tc>
          <w:tcPr>
            <w:tcW w:w="10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Venezuela investment write-down</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938</w:t>
            </w:r>
          </w:p>
        </w:tc>
        <w:tc>
          <w:tcPr>
            <w:tcW w:w="100" w:type="dxa"/>
            <w:vAlign w:val="bottom"/>
            <w:shd w:val="clear" w:color="auto" w:fill="CFF0FC"/>
          </w:tcPr>
          <w:p>
            <w:pPr>
              <w:spacing w:after="0"/>
              <w:rPr>
                <w:sz w:val="19"/>
                <w:szCs w:val="19"/>
                <w:color w:val="auto"/>
              </w:rPr>
            </w:pP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rPr>
              <w:t>Promissory note fair value adjustment and other</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Workforce reductions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FF0FC"/>
          </w:tcPr>
          <w:p>
            <w:pPr>
              <w:spacing w:after="0"/>
              <w:rPr>
                <w:sz w:val="19"/>
                <w:szCs w:val="19"/>
                <w:color w:val="auto"/>
              </w:rPr>
            </w:pPr>
          </w:p>
        </w:tc>
      </w:tr>
      <w:tr>
        <w:trPr>
          <w:trHeight w:val="221"/>
        </w:trPr>
        <w:tc>
          <w:tcPr>
            <w:tcW w:w="5920" w:type="dxa"/>
            <w:vAlign w:val="bottom"/>
          </w:tcPr>
          <w:p>
            <w:pPr>
              <w:ind w:left="240"/>
              <w:spacing w:after="0"/>
              <w:rPr>
                <w:sz w:val="20"/>
                <w:szCs w:val="20"/>
                <w:color w:val="auto"/>
              </w:rPr>
            </w:pPr>
            <w:r>
              <w:rPr>
                <w:rFonts w:ascii="Arial" w:cs="Arial" w:eastAsia="Arial" w:hAnsi="Arial"/>
                <w:sz w:val="17"/>
                <w:szCs w:val="17"/>
                <w:color w:val="auto"/>
              </w:rPr>
              <w:t>Multiclient seismic data impairment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restructuring charges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FF0FC"/>
          </w:tcPr>
          <w:p>
            <w:pPr>
              <w:spacing w:after="0"/>
              <w:rPr>
                <w:sz w:val="19"/>
                <w:szCs w:val="19"/>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i w:val="1"/>
                <w:iCs w:val="1"/>
                <w:color w:val="auto"/>
              </w:rPr>
              <w:t>Cost of sales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Provision for loss on long-term construction project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FF0FC"/>
          </w:tcPr>
          <w:p>
            <w:pPr>
              <w:spacing w:after="0"/>
              <w:rPr>
                <w:sz w:val="19"/>
                <w:szCs w:val="19"/>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i w:val="1"/>
                <w:iCs w:val="1"/>
                <w:color w:val="auto"/>
              </w:rPr>
              <w:t>Merger &amp; integration</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21"/>
        </w:trPr>
        <w:tc>
          <w:tcPr>
            <w:tcW w:w="5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Merger and integration-related costs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FF0FC"/>
          </w:tcPr>
          <w:p>
            <w:pPr>
              <w:spacing w:after="0"/>
              <w:rPr>
                <w:sz w:val="19"/>
                <w:szCs w:val="19"/>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US tax reform charge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4"/>
        </w:trPr>
        <w:tc>
          <w:tcPr>
            <w:tcW w:w="59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3,764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3,590</w:t>
            </w:r>
          </w:p>
        </w:tc>
        <w:tc>
          <w:tcPr>
            <w:tcW w:w="100" w:type="dxa"/>
            <w:vAlign w:val="bottom"/>
            <w:shd w:val="clear" w:color="auto" w:fill="CFF0FC"/>
          </w:tcPr>
          <w:p>
            <w:pPr>
              <w:spacing w:after="0"/>
              <w:rPr>
                <w:sz w:val="18"/>
                <w:szCs w:val="18"/>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2016</w:t>
      </w:r>
    </w:p>
    <w:p>
      <w:pPr>
        <w:spacing w:after="0" w:line="122" w:lineRule="exact"/>
        <w:rPr>
          <w:sz w:val="20"/>
          <w:szCs w:val="20"/>
          <w:color w:val="auto"/>
        </w:rPr>
      </w:pPr>
    </w:p>
    <w:p>
      <w:pPr>
        <w:jc w:val="both"/>
        <w:ind w:left="760" w:hanging="379"/>
        <w:spacing w:after="0" w:line="286"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Schlumberger reduced its headcount during the second quarter of 2016 as a result of persistent unfavorable oil and gas industry market conditions and the expected impact on customer activity levels. Schlumberger recorded a $646 million charge during the second quarter of 2016 associated with this headcount reduction. During the fourth quarter of 2016, Schlumberger further reduced its headcount in order to streamline its support cost structure. Schlumberger recorded an additional $234 million charge during the fourth quarter associated with these actions.</w:t>
      </w:r>
    </w:p>
    <w:p>
      <w:pPr>
        <w:spacing w:after="0" w:line="58" w:lineRule="exact"/>
        <w:rPr>
          <w:rFonts w:ascii="Arial" w:cs="Arial" w:eastAsia="Arial" w:hAnsi="Arial"/>
          <w:sz w:val="16"/>
          <w:szCs w:val="16"/>
          <w:color w:val="auto"/>
        </w:rPr>
      </w:pPr>
    </w:p>
    <w:p>
      <w:pPr>
        <w:jc w:val="both"/>
        <w:ind w:left="760" w:hanging="379"/>
        <w:spacing w:after="0" w:line="270"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During the fourth quarter of 2016, Schlumberger recorded $302 million of restructuring charges consisting of the following: $165 million of facility closure costs due to the expected sale of certain owned properties and the termination of certain facility leases; $98 million of asset write-offs associated with exiting certain activities; and $39 million of contract termination costs.</w:t>
      </w:r>
    </w:p>
    <w:p>
      <w:pPr>
        <w:spacing w:after="0" w:line="67" w:lineRule="exact"/>
        <w:rPr>
          <w:rFonts w:ascii="Arial" w:cs="Arial" w:eastAsia="Arial" w:hAnsi="Arial"/>
          <w:sz w:val="17"/>
          <w:szCs w:val="17"/>
          <w:color w:val="auto"/>
        </w:rPr>
      </w:pPr>
    </w:p>
    <w:p>
      <w:pPr>
        <w:ind w:left="760" w:hanging="379"/>
        <w:spacing w:after="0" w:line="285"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During the fourth quarter of 2016, the Central Bank of Egypt took the decision to float its currency and the Egyptian pound devalued relative to the US dollar. As a result, Schlumberger recorded a $63 million devaluation charge during the fourth quarter of 2016.</w:t>
      </w:r>
    </w:p>
    <w:p>
      <w:pPr>
        <w:spacing w:after="0" w:line="55" w:lineRule="exact"/>
        <w:rPr>
          <w:rFonts w:ascii="Arial" w:cs="Arial" w:eastAsia="Arial" w:hAnsi="Arial"/>
          <w:sz w:val="17"/>
          <w:szCs w:val="17"/>
          <w:color w:val="auto"/>
        </w:rPr>
      </w:pPr>
    </w:p>
    <w:p>
      <w:pPr>
        <w:ind w:left="760" w:hanging="379"/>
        <w:spacing w:after="0" w:line="285"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a result of the unfavorable oil and gas industry market conditions that continued to deteriorate in the first half of 2016, and the related impact on 2016 first half operating results and expected customer activity levels, Schlumberger determined that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0" w:name="page41"/>
    <w:bookmarkEnd w:id="40"/>
    <w:p>
      <w:pPr>
        <w:ind w:left="760"/>
        <w:spacing w:after="0" w:line="285" w:lineRule="auto"/>
        <w:rPr>
          <w:sz w:val="20"/>
          <w:szCs w:val="20"/>
          <w:color w:val="auto"/>
        </w:rPr>
      </w:pPr>
      <w:r>
        <w:rPr>
          <w:rFonts w:ascii="Arial" w:cs="Arial" w:eastAsia="Arial" w:hAnsi="Arial"/>
          <w:sz w:val="17"/>
          <w:szCs w:val="17"/>
          <w:color w:val="auto"/>
        </w:rPr>
        <w:t>the carrying values of certain assets were no longer recoverable and also took certain decisions that resulted in the following impairment and other charges during the second quarter of 2016:</w:t>
      </w:r>
    </w:p>
    <w:p>
      <w:pPr>
        <w:spacing w:after="0" w:line="55" w:lineRule="exact"/>
        <w:rPr>
          <w:sz w:val="20"/>
          <w:szCs w:val="20"/>
          <w:color w:val="auto"/>
        </w:rPr>
      </w:pPr>
    </w:p>
    <w:p>
      <w:pPr>
        <w:ind w:left="1220" w:hanging="372"/>
        <w:spacing w:after="0"/>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$209 million impairment of pressure pumping equipment in North America.</w:t>
      </w:r>
    </w:p>
    <w:p>
      <w:pPr>
        <w:spacing w:after="0" w:line="24" w:lineRule="exact"/>
        <w:rPr>
          <w:rFonts w:ascii="Arial" w:cs="Arial" w:eastAsia="Arial" w:hAnsi="Arial"/>
          <w:sz w:val="17"/>
          <w:szCs w:val="17"/>
          <w:color w:val="auto"/>
        </w:rPr>
      </w:pPr>
    </w:p>
    <w:p>
      <w:pPr>
        <w:ind w:left="1220" w:hanging="372"/>
        <w:spacing w:after="0"/>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$165 million impairment of facilities in North America.</w:t>
      </w:r>
    </w:p>
    <w:p>
      <w:pPr>
        <w:spacing w:after="0" w:line="12" w:lineRule="exact"/>
        <w:rPr>
          <w:rFonts w:ascii="Arial" w:cs="Arial" w:eastAsia="Arial" w:hAnsi="Arial"/>
          <w:sz w:val="17"/>
          <w:szCs w:val="17"/>
          <w:color w:val="auto"/>
        </w:rPr>
      </w:pPr>
    </w:p>
    <w:p>
      <w:pPr>
        <w:ind w:left="1220" w:hanging="372"/>
        <w:spacing w:after="0"/>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$684 million of other fixed asset impairments primarily relating to underutilized equipment.</w:t>
      </w:r>
    </w:p>
    <w:p>
      <w:pPr>
        <w:spacing w:after="0" w:line="12" w:lineRule="exact"/>
        <w:rPr>
          <w:rFonts w:ascii="Arial" w:cs="Arial" w:eastAsia="Arial" w:hAnsi="Arial"/>
          <w:sz w:val="17"/>
          <w:szCs w:val="17"/>
          <w:color w:val="auto"/>
        </w:rPr>
      </w:pPr>
    </w:p>
    <w:p>
      <w:pPr>
        <w:ind w:left="1220" w:hanging="372"/>
        <w:spacing w:after="0"/>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$616 million write-down of the carrying value of certain inventory to its net realizable value.</w:t>
      </w:r>
    </w:p>
    <w:p>
      <w:pPr>
        <w:spacing w:after="0" w:line="12" w:lineRule="exact"/>
        <w:rPr>
          <w:rFonts w:ascii="Arial" w:cs="Arial" w:eastAsia="Arial" w:hAnsi="Arial"/>
          <w:sz w:val="17"/>
          <w:szCs w:val="17"/>
          <w:color w:val="auto"/>
        </w:rPr>
      </w:pPr>
    </w:p>
    <w:p>
      <w:pPr>
        <w:ind w:left="1220" w:hanging="372"/>
        <w:spacing w:after="0"/>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$198 million impairment of certain multiclient seismic data, largely related to the US Gulf of Mexico.</w:t>
      </w:r>
    </w:p>
    <w:p>
      <w:pPr>
        <w:spacing w:after="0" w:line="12" w:lineRule="exact"/>
        <w:rPr>
          <w:rFonts w:ascii="Arial" w:cs="Arial" w:eastAsia="Arial" w:hAnsi="Arial"/>
          <w:sz w:val="17"/>
          <w:szCs w:val="17"/>
          <w:color w:val="auto"/>
        </w:rPr>
      </w:pPr>
    </w:p>
    <w:p>
      <w:pPr>
        <w:ind w:left="1220" w:hanging="372"/>
        <w:spacing w:after="0"/>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$55 million of other restructuring costs.</w:t>
      </w:r>
    </w:p>
    <w:p>
      <w:pPr>
        <w:spacing w:after="0" w:line="208" w:lineRule="exact"/>
        <w:rPr>
          <w:sz w:val="20"/>
          <w:szCs w:val="20"/>
          <w:color w:val="auto"/>
        </w:rPr>
      </w:pPr>
    </w:p>
    <w:p>
      <w:pPr>
        <w:ind w:left="760"/>
        <w:spacing w:after="0" w:line="285" w:lineRule="auto"/>
        <w:rPr>
          <w:sz w:val="20"/>
          <w:szCs w:val="20"/>
          <w:color w:val="auto"/>
        </w:rPr>
      </w:pPr>
      <w:r>
        <w:rPr>
          <w:rFonts w:ascii="Arial" w:cs="Arial" w:eastAsia="Arial" w:hAnsi="Arial"/>
          <w:sz w:val="17"/>
          <w:szCs w:val="17"/>
          <w:color w:val="auto"/>
        </w:rPr>
        <w:t>The fair value of the impaired fixed assets and multiclient seismic data was estimated based on the projected present value of future cash flows that these assets are expected to generate. Such estimates included unobservable inputs that required significant judgments.</w:t>
      </w:r>
    </w:p>
    <w:p>
      <w:pPr>
        <w:spacing w:after="0" w:line="55" w:lineRule="exact"/>
        <w:rPr>
          <w:sz w:val="20"/>
          <w:szCs w:val="20"/>
          <w:color w:val="auto"/>
        </w:rPr>
      </w:pPr>
    </w:p>
    <w:p>
      <w:pPr>
        <w:jc w:val="both"/>
        <w:ind w:left="760" w:hanging="379"/>
        <w:spacing w:after="0" w:line="260"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In connection with Schlumberger’s acquisition of Cameron, Schlumberger recorded $349 million of charges, classified as </w:t>
      </w:r>
      <w:r>
        <w:rPr>
          <w:rFonts w:ascii="Arial" w:cs="Arial" w:eastAsia="Arial" w:hAnsi="Arial"/>
          <w:sz w:val="17"/>
          <w:szCs w:val="17"/>
          <w:i w:val="1"/>
          <w:iCs w:val="1"/>
          <w:color w:val="auto"/>
        </w:rPr>
        <w:t>Merger &amp; integration</w:t>
      </w:r>
      <w:r>
        <w:rPr>
          <w:rFonts w:ascii="Arial" w:cs="Arial" w:eastAsia="Arial" w:hAnsi="Arial"/>
          <w:sz w:val="17"/>
          <w:szCs w:val="17"/>
          <w:color w:val="auto"/>
        </w:rPr>
        <w:t xml:space="preserve"> in the </w:t>
      </w:r>
      <w:r>
        <w:rPr>
          <w:rFonts w:ascii="Arial" w:cs="Arial" w:eastAsia="Arial" w:hAnsi="Arial"/>
          <w:sz w:val="17"/>
          <w:szCs w:val="17"/>
          <w:i w:val="1"/>
          <w:iCs w:val="1"/>
          <w:color w:val="auto"/>
        </w:rPr>
        <w:t xml:space="preserve">Consolidated Statement of Income (Loss), </w:t>
      </w:r>
      <w:r>
        <w:rPr>
          <w:rFonts w:ascii="Arial" w:cs="Arial" w:eastAsia="Arial" w:hAnsi="Arial"/>
          <w:sz w:val="17"/>
          <w:szCs w:val="17"/>
          <w:color w:val="auto"/>
        </w:rPr>
        <w:t>consisting of the following: $83 million relating to employee benefits for change-in-control arrangements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retention bonuses; $45 million of transaction costs, including advisory and legal fees; $61 million of facility closure costs, and $160 million of other merger and integration-related costs. Additionally, Schlumberger recorded $299 million of charges relating to the amortization of purchase accounting adjustments associated with the write-up of acquired inventory to its estimated fair value, which is classified in </w:t>
      </w:r>
      <w:r>
        <w:rPr>
          <w:rFonts w:ascii="Arial" w:cs="Arial" w:eastAsia="Arial" w:hAnsi="Arial"/>
          <w:sz w:val="17"/>
          <w:szCs w:val="17"/>
          <w:i w:val="1"/>
          <w:iCs w:val="1"/>
          <w:color w:val="auto"/>
        </w:rPr>
        <w:t>Cost of sales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of Income (Loss)</w:t>
      </w:r>
      <w:r>
        <w:rPr>
          <w:rFonts w:ascii="Arial" w:cs="Arial" w:eastAsia="Arial" w:hAnsi="Arial"/>
          <w:sz w:val="17"/>
          <w:szCs w:val="17"/>
          <w:color w:val="auto"/>
        </w:rPr>
        <w:t>. This amortization was presented as a component of</w:t>
      </w:r>
      <w:r>
        <w:rPr>
          <w:rFonts w:ascii="Arial" w:cs="Arial" w:eastAsia="Arial" w:hAnsi="Arial"/>
          <w:sz w:val="17"/>
          <w:szCs w:val="17"/>
          <w:i w:val="1"/>
          <w:iCs w:val="1"/>
          <w:color w:val="auto"/>
        </w:rPr>
        <w:t xml:space="preserve"> Merger &amp; integration </w:t>
      </w:r>
      <w:r>
        <w:rPr>
          <w:rFonts w:ascii="Arial" w:cs="Arial" w:eastAsia="Arial" w:hAnsi="Arial"/>
          <w:sz w:val="17"/>
          <w:szCs w:val="17"/>
          <w:color w:val="auto"/>
        </w:rPr>
        <w:t>in the prior year; however, Schlumberger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reclassified this prior period item to </w:t>
      </w:r>
      <w:r>
        <w:rPr>
          <w:rFonts w:ascii="Arial" w:cs="Arial" w:eastAsia="Arial" w:hAnsi="Arial"/>
          <w:sz w:val="17"/>
          <w:szCs w:val="17"/>
          <w:i w:val="1"/>
          <w:iCs w:val="1"/>
          <w:color w:val="auto"/>
        </w:rPr>
        <w:t>Cost of sales</w:t>
      </w:r>
      <w:r>
        <w:rPr>
          <w:rFonts w:ascii="Arial" w:cs="Arial" w:eastAsia="Arial" w:hAnsi="Arial"/>
          <w:sz w:val="17"/>
          <w:szCs w:val="17"/>
          <w:color w:val="auto"/>
        </w:rPr>
        <w:t xml:space="preserve"> in the current year.</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 xml:space="preserve">The following is a summary of these charges and credits, of which $3.172 billion were classified as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$349 million were classified as </w:t>
      </w:r>
      <w:r>
        <w:rPr>
          <w:rFonts w:ascii="Arial" w:cs="Arial" w:eastAsia="Arial" w:hAnsi="Arial"/>
          <w:sz w:val="17"/>
          <w:szCs w:val="17"/>
          <w:i w:val="1"/>
          <w:iCs w:val="1"/>
          <w:color w:val="auto"/>
        </w:rPr>
        <w:t>Merger &amp;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integration </w:t>
      </w:r>
      <w:r>
        <w:rPr>
          <w:rFonts w:ascii="Arial" w:cs="Arial" w:eastAsia="Arial" w:hAnsi="Arial"/>
          <w:sz w:val="17"/>
          <w:szCs w:val="17"/>
          <w:color w:val="auto"/>
        </w:rPr>
        <w:t>and $299 million were classified in</w:t>
      </w:r>
      <w:r>
        <w:rPr>
          <w:rFonts w:ascii="Arial" w:cs="Arial" w:eastAsia="Arial" w:hAnsi="Arial"/>
          <w:sz w:val="17"/>
          <w:szCs w:val="17"/>
          <w:i w:val="1"/>
          <w:iCs w:val="1"/>
          <w:color w:val="auto"/>
        </w:rPr>
        <w:t xml:space="preserve"> Cost of sales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Statement of Income (Loss)</w:t>
      </w:r>
      <w:r>
        <w:rPr>
          <w:rFonts w:ascii="Arial" w:cs="Arial" w:eastAsia="Arial" w:hAnsi="Arial"/>
          <w:sz w:val="17"/>
          <w:szCs w:val="17"/>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428"/>
        </w:trPr>
        <w:tc>
          <w:tcPr>
            <w:tcW w:w="5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Pretax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61"/>
              <w:spacing w:after="0"/>
              <w:rPr>
                <w:sz w:val="20"/>
                <w:szCs w:val="20"/>
                <w:color w:val="auto"/>
              </w:rPr>
            </w:pPr>
            <w:r>
              <w:rPr>
                <w:rFonts w:ascii="Arial" w:cs="Arial" w:eastAsia="Arial" w:hAnsi="Arial"/>
                <w:sz w:val="17"/>
                <w:szCs w:val="17"/>
                <w:color w:val="auto"/>
              </w:rPr>
              <w:t>Tax</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Arial" w:cs="Arial" w:eastAsia="Arial" w:hAnsi="Arial"/>
                <w:sz w:val="17"/>
                <w:szCs w:val="17"/>
                <w:color w:val="auto"/>
              </w:rPr>
              <w:t>Net</w:t>
            </w:r>
          </w:p>
        </w:tc>
      </w:tr>
      <w:tr>
        <w:trPr>
          <w:trHeight w:val="214"/>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i w:val="1"/>
                <w:iCs w:val="1"/>
                <w:color w:val="auto"/>
              </w:rPr>
              <w:t>Impairment &amp; other</w:t>
            </w:r>
          </w:p>
        </w:tc>
        <w:tc>
          <w:tcPr>
            <w:tcW w:w="14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Workforce reductions</w:t>
            </w:r>
          </w:p>
        </w:tc>
        <w:tc>
          <w:tcPr>
            <w:tcW w:w="2360" w:type="dxa"/>
            <w:vAlign w:val="bottom"/>
            <w:gridSpan w:val="2"/>
          </w:tcPr>
          <w:p>
            <w:pPr>
              <w:jc w:val="right"/>
              <w:ind w:right="75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880</w:t>
            </w:r>
          </w:p>
        </w:tc>
        <w:tc>
          <w:tcPr>
            <w:tcW w:w="260" w:type="dxa"/>
            <w:vAlign w:val="bottom"/>
          </w:tcPr>
          <w:p>
            <w:pPr>
              <w:spacing w:after="0"/>
              <w:rPr>
                <w:sz w:val="19"/>
                <w:szCs w:val="19"/>
                <w:color w:val="auto"/>
              </w:rPr>
            </w:pP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69</w:t>
            </w:r>
          </w:p>
        </w:tc>
        <w:tc>
          <w:tcPr>
            <w:tcW w:w="26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811</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fixed asset impairments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684</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632</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Inventory write-downs</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616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567</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North America pressure pumping asset impairments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Multiclient seismic data impairment</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198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Facility impairments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Facility closure costs</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Costs associated with exiting certain activities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Currency devaluation loss in Egypt</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Contract termination costs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Other restructuring charges</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Merger &amp; integration</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Other merger and integration-related</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Merger-related employee benefits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ind w:left="240"/>
              <w:spacing w:after="0"/>
              <w:rPr>
                <w:sz w:val="20"/>
                <w:szCs w:val="20"/>
                <w:color w:val="auto"/>
              </w:rPr>
            </w:pPr>
            <w:r>
              <w:rPr>
                <w:rFonts w:ascii="Arial" w:cs="Arial" w:eastAsia="Arial" w:hAnsi="Arial"/>
                <w:sz w:val="17"/>
                <w:szCs w:val="17"/>
                <w:color w:val="auto"/>
              </w:rPr>
              <w:t>Facility closure costs</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Professional fees</w:t>
            </w:r>
          </w:p>
        </w:tc>
        <w:tc>
          <w:tcPr>
            <w:tcW w:w="14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FF0FC"/>
          </w:tcPr>
          <w:p>
            <w:pPr>
              <w:spacing w:after="0"/>
              <w:rPr>
                <w:sz w:val="19"/>
                <w:szCs w:val="19"/>
                <w:color w:val="auto"/>
              </w:rPr>
            </w:pPr>
          </w:p>
        </w:tc>
      </w:tr>
      <w:tr>
        <w:trPr>
          <w:trHeight w:val="221"/>
        </w:trPr>
        <w:tc>
          <w:tcPr>
            <w:tcW w:w="5280" w:type="dxa"/>
            <w:vAlign w:val="bottom"/>
          </w:tcPr>
          <w:p>
            <w:pPr>
              <w:spacing w:after="0"/>
              <w:rPr>
                <w:sz w:val="20"/>
                <w:szCs w:val="20"/>
                <w:color w:val="auto"/>
              </w:rPr>
            </w:pPr>
            <w:r>
              <w:rPr>
                <w:rFonts w:ascii="Arial" w:cs="Arial" w:eastAsia="Arial" w:hAnsi="Arial"/>
                <w:sz w:val="17"/>
                <w:szCs w:val="17"/>
                <w:i w:val="1"/>
                <w:iCs w:val="1"/>
                <w:color w:val="auto"/>
              </w:rPr>
              <w:t>Cost of sales</w:t>
            </w: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Amortization of inventory fair value adjustment</w:t>
            </w:r>
          </w:p>
        </w:tc>
        <w:tc>
          <w:tcPr>
            <w:tcW w:w="14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299</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FF0FC"/>
          </w:tcPr>
          <w:p>
            <w:pPr>
              <w:spacing w:after="0"/>
              <w:rPr>
                <w:sz w:val="19"/>
                <w:szCs w:val="19"/>
                <w:color w:val="auto"/>
              </w:rPr>
            </w:pPr>
          </w:p>
        </w:tc>
      </w:tr>
      <w:tr>
        <w:trPr>
          <w:trHeight w:val="214"/>
        </w:trPr>
        <w:tc>
          <w:tcPr>
            <w:tcW w:w="5280" w:type="dxa"/>
            <w:vAlign w:val="bottom"/>
          </w:tcPr>
          <w:p>
            <w:pPr>
              <w:spacing w:after="0"/>
              <w:rPr>
                <w:sz w:val="18"/>
                <w:szCs w:val="18"/>
                <w:color w:val="auto"/>
              </w:rPr>
            </w:pPr>
          </w:p>
        </w:tc>
        <w:tc>
          <w:tcPr>
            <w:tcW w:w="2360" w:type="dxa"/>
            <w:vAlign w:val="bottom"/>
            <w:gridSpan w:val="2"/>
          </w:tcPr>
          <w:p>
            <w:pPr>
              <w:jc w:val="right"/>
              <w:ind w:right="75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3,820</w:t>
            </w:r>
          </w:p>
        </w:tc>
        <w:tc>
          <w:tcPr>
            <w:tcW w:w="260" w:type="dxa"/>
            <w:vAlign w:val="bottom"/>
          </w:tcPr>
          <w:p>
            <w:pPr>
              <w:spacing w:after="0"/>
              <w:rPr>
                <w:sz w:val="18"/>
                <w:szCs w:val="18"/>
                <w:color w:val="auto"/>
              </w:rPr>
            </w:pP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583</w:t>
            </w:r>
          </w:p>
        </w:tc>
        <w:tc>
          <w:tcPr>
            <w:tcW w:w="26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3,237</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2015</w:t>
      </w:r>
    </w:p>
    <w:p>
      <w:pPr>
        <w:spacing w:after="0" w:line="122" w:lineRule="exact"/>
        <w:rPr>
          <w:sz w:val="20"/>
          <w:szCs w:val="20"/>
          <w:color w:val="auto"/>
        </w:rPr>
      </w:pPr>
    </w:p>
    <w:p>
      <w:pPr>
        <w:jc w:val="both"/>
        <w:ind w:left="780" w:hanging="399"/>
        <w:spacing w:after="0" w:line="305" w:lineRule="auto"/>
        <w:tabs>
          <w:tab w:leader="none" w:pos="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Schlumberger reduced its headcount during the first quarter of 2015 as a result of the severe fall in activity in North America, combined with the impact of lower international activity due to customer budget cuts driven by lower oil prices. Schlumberger recorded a $390 million charge during the first quarter associated with this headcount reduction as well as an incentivized leave of absence program. Based on the activity outlook for 2016, as well as to further streamline its support structure, Schlumberger decided to further reduce its headcount and expand its incentivized leave of absence program during the fourth quarter of 2015. Schlumberger recorded an additional $530 million charge during the fourth quarter associated with these actions.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jc w:val="both"/>
        <w:ind w:left="780" w:right="40" w:hanging="399"/>
        <w:spacing w:after="0" w:line="270" w:lineRule="auto"/>
        <w:tabs>
          <w:tab w:leader="none" w:pos="7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a result of unfavorable oil and gas industry market conditions that continued to deteriorate and their impact on the activity outlook, Schlumberger determined that the carrying values of certain assets were no longer recoverable and also took certain decisions that resulted in the following impairment and restructuring charges during the fourth quarter of 2015:</w:t>
      </w:r>
    </w:p>
    <w:p>
      <w:pPr>
        <w:spacing w:after="0" w:line="67" w:lineRule="exact"/>
        <w:rPr>
          <w:rFonts w:ascii="Arial" w:cs="Arial" w:eastAsia="Arial" w:hAnsi="Arial"/>
          <w:sz w:val="17"/>
          <w:szCs w:val="17"/>
          <w:color w:val="auto"/>
        </w:rPr>
      </w:pPr>
    </w:p>
    <w:p>
      <w:pPr>
        <w:ind w:left="1140" w:right="40" w:hanging="383"/>
        <w:spacing w:after="0" w:line="262" w:lineRule="auto"/>
        <w:tabs>
          <w:tab w:leader="none" w:pos="1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$776 million of fixed asset impairments primarily related to underutilized pressure pumping and other equipment in North America, as well as certain lower-tier drilling rigs.</w:t>
      </w:r>
    </w:p>
    <w:p>
      <w:pPr>
        <w:spacing w:after="0" w:line="1" w:lineRule="exact"/>
        <w:rPr>
          <w:rFonts w:ascii="Arial" w:cs="Arial" w:eastAsia="Arial" w:hAnsi="Arial"/>
          <w:sz w:val="17"/>
          <w:szCs w:val="17"/>
          <w:color w:val="auto"/>
        </w:rPr>
      </w:pPr>
    </w:p>
    <w:p>
      <w:pPr>
        <w:ind w:left="1140" w:hanging="383"/>
        <w:spacing w:after="0"/>
        <w:tabs>
          <w:tab w:leader="none" w:pos="1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$269 million to write-down the carrying value of certain inventory, primarily in North America.</w:t>
      </w:r>
    </w:p>
    <w:p>
      <w:pPr>
        <w:spacing w:after="0" w:line="12" w:lineRule="exact"/>
        <w:rPr>
          <w:rFonts w:ascii="Arial" w:cs="Arial" w:eastAsia="Arial" w:hAnsi="Arial"/>
          <w:sz w:val="17"/>
          <w:szCs w:val="17"/>
          <w:color w:val="auto"/>
        </w:rPr>
      </w:pPr>
    </w:p>
    <w:p>
      <w:pPr>
        <w:ind w:left="1140" w:right="40" w:hanging="383"/>
        <w:spacing w:after="0" w:line="255" w:lineRule="auto"/>
        <w:tabs>
          <w:tab w:leader="none" w:pos="1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$182 million to reduce the carrying value of an investment in an SPM project to its estimated fair value, as a result of the decline in commodity prices and considering this project was approaching the end of its contractual term.</w:t>
      </w:r>
    </w:p>
    <w:p>
      <w:pPr>
        <w:ind w:left="1140" w:right="40" w:hanging="383"/>
        <w:spacing w:after="0" w:line="255" w:lineRule="auto"/>
        <w:tabs>
          <w:tab w:leader="none" w:pos="1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$177 million associated with certain of Schlumberger’s owned and leased facilities, including the expected sale of certain properties and the termination of certain leases.</w:t>
      </w:r>
    </w:p>
    <w:p>
      <w:pPr>
        <w:ind w:left="1140" w:hanging="383"/>
        <w:spacing w:after="0"/>
        <w:tabs>
          <w:tab w:leader="none" w:pos="1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$77 million relating to assets that were no longer recoverable as a result of geopolitical issues in certain countries in the Middle East.</w:t>
      </w:r>
    </w:p>
    <w:p>
      <w:pPr>
        <w:spacing w:after="0" w:line="12" w:lineRule="exact"/>
        <w:rPr>
          <w:rFonts w:ascii="Arial" w:cs="Arial" w:eastAsia="Arial" w:hAnsi="Arial"/>
          <w:sz w:val="17"/>
          <w:szCs w:val="17"/>
          <w:color w:val="auto"/>
        </w:rPr>
      </w:pPr>
    </w:p>
    <w:p>
      <w:pPr>
        <w:ind w:left="1140" w:hanging="383"/>
        <w:spacing w:after="0"/>
        <w:tabs>
          <w:tab w:leader="none" w:pos="1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$41 million relating to contract termination costs.</w:t>
      </w:r>
    </w:p>
    <w:p>
      <w:pPr>
        <w:spacing w:after="0" w:line="12" w:lineRule="exact"/>
        <w:rPr>
          <w:rFonts w:ascii="Arial" w:cs="Arial" w:eastAsia="Arial" w:hAnsi="Arial"/>
          <w:sz w:val="17"/>
          <w:szCs w:val="17"/>
          <w:color w:val="auto"/>
        </w:rPr>
      </w:pPr>
    </w:p>
    <w:p>
      <w:pPr>
        <w:ind w:left="1140" w:right="40" w:hanging="383"/>
        <w:spacing w:after="0" w:line="270" w:lineRule="auto"/>
        <w:tabs>
          <w:tab w:leader="none" w:pos="1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$84 million of other charges associated with then current market conditions, including $40 million relating to an other-than-temporary impairment of marketable securities and $15 million relating to the impairment of an equity-method investment.</w:t>
      </w:r>
    </w:p>
    <w:p>
      <w:pPr>
        <w:spacing w:after="0" w:line="171" w:lineRule="exact"/>
        <w:rPr>
          <w:sz w:val="20"/>
          <w:szCs w:val="20"/>
          <w:color w:val="auto"/>
        </w:rPr>
      </w:pPr>
    </w:p>
    <w:p>
      <w:pPr>
        <w:ind w:left="760" w:right="40"/>
        <w:spacing w:after="0" w:line="285" w:lineRule="auto"/>
        <w:rPr>
          <w:sz w:val="20"/>
          <w:szCs w:val="20"/>
          <w:color w:val="auto"/>
        </w:rPr>
      </w:pPr>
      <w:r>
        <w:rPr>
          <w:rFonts w:ascii="Arial" w:cs="Arial" w:eastAsia="Arial" w:hAnsi="Arial"/>
          <w:sz w:val="17"/>
          <w:szCs w:val="17"/>
          <w:color w:val="auto"/>
        </w:rPr>
        <w:t>Certain of these impairment charges were estimated based on the projected present value of future cash flows, which included unobservable inputs that required significant judgments.</w:t>
      </w:r>
    </w:p>
    <w:p>
      <w:pPr>
        <w:spacing w:after="0" w:line="159" w:lineRule="exact"/>
        <w:rPr>
          <w:sz w:val="20"/>
          <w:szCs w:val="20"/>
          <w:color w:val="auto"/>
        </w:rPr>
      </w:pPr>
    </w:p>
    <w:p>
      <w:pPr>
        <w:jc w:val="both"/>
        <w:ind w:left="780" w:right="40" w:hanging="399"/>
        <w:spacing w:after="0" w:line="265" w:lineRule="auto"/>
        <w:tabs>
          <w:tab w:leader="none" w:pos="7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February 2015, the Venezuelan government replaced the SICAD II exchange rate (described in further detail below) with a new foreign exchange market system known as SIMADI. The SIMADI exchange rate was approximately 192 Venezuelan Bolivares fuertes to the US dollar as of March 31, 2015. As a result, Schlumberger recorded a $49 million devaluation charge during the first quarter of 2015, reflecting the adoption of the SIMADI exchange rate.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is a summary of these charges and credits, all of which were classified as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4180" w:type="dxa"/>
            <w:vAlign w:val="bottom"/>
            <w:tcBorders>
              <w:bottom w:val="single" w:sz="8" w:color="CFF0FC"/>
            </w:tcBorders>
          </w:tcPr>
          <w:p>
            <w:pPr>
              <w:spacing w:after="0"/>
              <w:rPr>
                <w:sz w:val="24"/>
                <w:szCs w:val="24"/>
                <w:color w:val="auto"/>
              </w:rPr>
            </w:pPr>
          </w:p>
        </w:tc>
        <w:tc>
          <w:tcPr>
            <w:tcW w:w="254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Pretax</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Tax</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Net</w:t>
            </w:r>
          </w:p>
        </w:tc>
        <w:tc>
          <w:tcPr>
            <w:tcW w:w="100" w:type="dxa"/>
            <w:vAlign w:val="bottom"/>
            <w:tcBorders>
              <w:bottom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Workforce reductions</w:t>
            </w:r>
          </w:p>
        </w:tc>
        <w:tc>
          <w:tcPr>
            <w:tcW w:w="3460" w:type="dxa"/>
            <w:vAlign w:val="bottom"/>
            <w:gridSpan w:val="2"/>
            <w:shd w:val="clear" w:color="auto" w:fill="CFF0FC"/>
          </w:tcPr>
          <w:p>
            <w:pPr>
              <w:jc w:val="right"/>
              <w:ind w:right="753"/>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920</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7"/>
                <w:szCs w:val="17"/>
                <w:color w:val="auto"/>
              </w:rPr>
              <w:t>Fixed asset impairments</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776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Inventory write-downs</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7"/>
                <w:szCs w:val="17"/>
                <w:color w:val="auto"/>
              </w:rPr>
              <w:t>Impairment of SPM project</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182</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Facility closures</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7"/>
                <w:szCs w:val="17"/>
                <w:color w:val="auto"/>
              </w:rPr>
              <w:t>Geopolitical events</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77</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Currency devaluation loss in Venezuela</w:t>
            </w:r>
          </w:p>
        </w:tc>
        <w:tc>
          <w:tcPr>
            <w:tcW w:w="2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7"/>
                <w:szCs w:val="17"/>
                <w:color w:val="auto"/>
              </w:rPr>
              <w:t>Contract termination costs</w:t>
            </w: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25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80" w:type="dxa"/>
            <w:vAlign w:val="bottom"/>
          </w:tcPr>
          <w:p>
            <w:pPr>
              <w:spacing w:after="0"/>
              <w:rPr>
                <w:sz w:val="18"/>
                <w:szCs w:val="18"/>
                <w:color w:val="auto"/>
              </w:rPr>
            </w:pPr>
          </w:p>
        </w:tc>
        <w:tc>
          <w:tcPr>
            <w:tcW w:w="3460" w:type="dxa"/>
            <w:vAlign w:val="bottom"/>
            <w:gridSpan w:val="2"/>
          </w:tcPr>
          <w:p>
            <w:pPr>
              <w:jc w:val="right"/>
              <w:ind w:right="75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2,575</w:t>
            </w:r>
          </w:p>
        </w:tc>
        <w:tc>
          <w:tcPr>
            <w:tcW w:w="260" w:type="dxa"/>
            <w:vAlign w:val="bottom"/>
          </w:tcPr>
          <w:p>
            <w:pPr>
              <w:spacing w:after="0"/>
              <w:rPr>
                <w:sz w:val="18"/>
                <w:szCs w:val="18"/>
                <w:color w:val="auto"/>
              </w:rPr>
            </w:pP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357</w:t>
            </w:r>
          </w:p>
        </w:tc>
        <w:tc>
          <w:tcPr>
            <w:tcW w:w="26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2,218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40" w:type="dxa"/>
            <w:vAlign w:val="bottom"/>
            <w:vMerge w:val="restart"/>
          </w:tcPr>
          <w:p>
            <w:pPr>
              <w:jc w:val="right"/>
              <w:ind w:right="833"/>
              <w:spacing w:after="0"/>
              <w:rPr>
                <w:sz w:val="20"/>
                <w:szCs w:val="20"/>
                <w:color w:val="auto"/>
              </w:rPr>
            </w:pPr>
            <w:r>
              <w:rPr>
                <w:rFonts w:ascii="Arial" w:cs="Arial" w:eastAsia="Arial" w:hAnsi="Arial"/>
                <w:sz w:val="17"/>
                <w:szCs w:val="17"/>
                <w:color w:val="auto"/>
              </w:rPr>
              <w:t>42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41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18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42" w:name="page43"/>
    <w:bookmarkEnd w:id="42"/>
    <w:p>
      <w:pPr>
        <w:ind w:left="180" w:hanging="176"/>
        <w:spacing w:after="0"/>
        <w:tabs>
          <w:tab w:leader="none" w:pos="18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Cameron</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April 1, 2016, Schlumberger acquired all of the outstanding shares of Cameron, a leading provider of flow equipment products, systems and services to the oil and gas industry worldwide. The acquisition is expected to create technology-driven growth by integrating Schlumberger reservoir and well technologies with Cameron wellhead and surface equipment, flow control and processing technology. The combination of the two complementary technology portfolios provides the industry’s most comprehensive range of products and services, from exploration to production and integrated pore-to-pipeline solutions that optimize hydrocarbon recovery to deliver reservoir performance.</w:t>
      </w:r>
    </w:p>
    <w:p>
      <w:pPr>
        <w:spacing w:after="0" w:line="180"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Under the terms of the merger agreement, Cameron became a wholly-owned subsidiary of Schlumberger. Each share of Cameron common stock issued and outstanding immediately prior to the effective time of the merger was converted into the right to receive 0.716 shares of Schlumberger stock and $14.44 in cash.</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Calculation of Consideration Transferred</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consideration transferred to effect the acquisition of Cameron was as follows:</w:t>
      </w:r>
    </w:p>
    <w:p>
      <w:pPr>
        <w:spacing w:after="0" w:line="200" w:lineRule="exact"/>
        <w:rPr>
          <w:sz w:val="20"/>
          <w:szCs w:val="20"/>
          <w:color w:val="auto"/>
        </w:rPr>
      </w:pP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4120" w:type="dxa"/>
            <w:vAlign w:val="bottom"/>
            <w:gridSpan w:val="7"/>
          </w:tcPr>
          <w:p>
            <w:pPr>
              <w:ind w:left="420"/>
              <w:spacing w:after="0"/>
              <w:rPr>
                <w:sz w:val="20"/>
                <w:szCs w:val="20"/>
                <w:color w:val="auto"/>
              </w:rPr>
            </w:pPr>
            <w:r>
              <w:rPr>
                <w:rFonts w:ascii="Arial" w:cs="Arial" w:eastAsia="Arial" w:hAnsi="Arial"/>
                <w:sz w:val="14"/>
                <w:szCs w:val="14"/>
                <w:i w:val="1"/>
                <w:iCs w:val="1"/>
                <w:color w:val="auto"/>
                <w:w w:val="90"/>
              </w:rPr>
              <w:t>(stated in millions, except exchange ratio and per share amounts)</w:t>
            </w:r>
          </w:p>
        </w:tc>
      </w:tr>
      <w:tr>
        <w:trPr>
          <w:trHeight w:val="207"/>
        </w:trPr>
        <w:tc>
          <w:tcPr>
            <w:tcW w:w="4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4340" w:type="dxa"/>
            <w:vAlign w:val="bottom"/>
            <w:shd w:val="clear" w:color="auto" w:fill="CFF0FC"/>
          </w:tcPr>
          <w:p>
            <w:pPr>
              <w:spacing w:after="0"/>
              <w:rPr>
                <w:sz w:val="20"/>
                <w:szCs w:val="20"/>
                <w:color w:val="auto"/>
              </w:rPr>
            </w:pPr>
            <w:r>
              <w:rPr>
                <w:rFonts w:ascii="Arial" w:cs="Arial" w:eastAsia="Arial" w:hAnsi="Arial"/>
                <w:sz w:val="17"/>
                <w:szCs w:val="17"/>
                <w:b w:val="1"/>
                <w:bCs w:val="1"/>
                <w:i w:val="1"/>
                <w:iCs w:val="1"/>
                <w:color w:val="auto"/>
              </w:rPr>
              <w:t>Equity consideration:</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1"/>
        </w:trPr>
        <w:tc>
          <w:tcPr>
            <w:tcW w:w="4340" w:type="dxa"/>
            <w:vAlign w:val="bottom"/>
          </w:tcPr>
          <w:p>
            <w:pPr>
              <w:spacing w:after="0"/>
              <w:rPr>
                <w:sz w:val="20"/>
                <w:szCs w:val="20"/>
                <w:color w:val="auto"/>
              </w:rPr>
            </w:pPr>
            <w:r>
              <w:rPr>
                <w:rFonts w:ascii="Arial" w:cs="Arial" w:eastAsia="Arial" w:hAnsi="Arial"/>
                <w:sz w:val="17"/>
                <w:szCs w:val="17"/>
                <w:color w:val="auto"/>
              </w:rPr>
              <w:t>Number of shares of Cameron stock outstanding</w:t>
            </w: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4340" w:type="dxa"/>
            <w:vAlign w:val="bottom"/>
            <w:shd w:val="clear" w:color="auto" w:fill="CFF0FC"/>
          </w:tcPr>
          <w:p>
            <w:pPr>
              <w:spacing w:after="0"/>
              <w:rPr>
                <w:sz w:val="20"/>
                <w:szCs w:val="20"/>
                <w:color w:val="auto"/>
              </w:rPr>
            </w:pPr>
            <w:r>
              <w:rPr>
                <w:rFonts w:ascii="Arial" w:cs="Arial" w:eastAsia="Arial" w:hAnsi="Arial"/>
                <w:sz w:val="17"/>
                <w:szCs w:val="17"/>
                <w:color w:val="auto"/>
              </w:rPr>
              <w:t>Exchange ratio</w:t>
            </w:r>
          </w:p>
        </w:tc>
        <w:tc>
          <w:tcPr>
            <w:tcW w:w="16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0.716</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4"/>
        </w:trPr>
        <w:tc>
          <w:tcPr>
            <w:tcW w:w="4340" w:type="dxa"/>
            <w:vAlign w:val="bottom"/>
          </w:tcPr>
          <w:p>
            <w:pPr>
              <w:spacing w:after="0"/>
              <w:rPr>
                <w:sz w:val="20"/>
                <w:szCs w:val="20"/>
                <w:color w:val="auto"/>
              </w:rPr>
            </w:pPr>
            <w:r>
              <w:rPr>
                <w:rFonts w:ascii="Arial" w:cs="Arial" w:eastAsia="Arial" w:hAnsi="Arial"/>
                <w:sz w:val="17"/>
                <w:szCs w:val="17"/>
                <w:color w:val="auto"/>
              </w:rPr>
              <w:t>Schlumberger shares of common stock issued</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4340" w:type="dxa"/>
            <w:vAlign w:val="bottom"/>
            <w:shd w:val="clear" w:color="auto" w:fill="CFF0FC"/>
          </w:tcPr>
          <w:p>
            <w:pPr>
              <w:spacing w:after="0"/>
              <w:rPr>
                <w:sz w:val="20"/>
                <w:szCs w:val="20"/>
                <w:color w:val="auto"/>
              </w:rPr>
            </w:pPr>
            <w:r>
              <w:rPr>
                <w:rFonts w:ascii="Arial" w:cs="Arial" w:eastAsia="Arial" w:hAnsi="Arial"/>
                <w:sz w:val="17"/>
                <w:szCs w:val="17"/>
                <w:color w:val="auto"/>
              </w:rPr>
              <w:t>Schlumberger closing stock share price on April 1, 2016</w:t>
            </w:r>
          </w:p>
        </w:tc>
        <w:tc>
          <w:tcPr>
            <w:tcW w:w="16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72.12</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4"/>
        </w:trPr>
        <w:tc>
          <w:tcPr>
            <w:tcW w:w="4340" w:type="dxa"/>
            <w:vAlign w:val="bottom"/>
          </w:tcPr>
          <w:p>
            <w:pPr>
              <w:spacing w:after="0"/>
              <w:rPr>
                <w:sz w:val="20"/>
                <w:szCs w:val="20"/>
                <w:color w:val="auto"/>
              </w:rPr>
            </w:pPr>
            <w:r>
              <w:rPr>
                <w:rFonts w:ascii="Arial" w:cs="Arial" w:eastAsia="Arial" w:hAnsi="Arial"/>
                <w:sz w:val="17"/>
                <w:szCs w:val="17"/>
                <w:color w:val="auto"/>
              </w:rPr>
              <w:t>Equity consideration</w:t>
            </w: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9,924</w:t>
            </w:r>
          </w:p>
        </w:tc>
        <w:tc>
          <w:tcPr>
            <w:tcW w:w="60" w:type="dxa"/>
            <w:vAlign w:val="bottom"/>
          </w:tcPr>
          <w:p>
            <w:pPr>
              <w:spacing w:after="0"/>
              <w:rPr>
                <w:sz w:val="18"/>
                <w:szCs w:val="18"/>
                <w:color w:val="auto"/>
              </w:rPr>
            </w:pPr>
          </w:p>
        </w:tc>
      </w:tr>
      <w:tr>
        <w:trPr>
          <w:trHeight w:val="221"/>
        </w:trPr>
        <w:tc>
          <w:tcPr>
            <w:tcW w:w="4340" w:type="dxa"/>
            <w:vAlign w:val="bottom"/>
            <w:shd w:val="clear" w:color="auto" w:fill="CFF0FC"/>
          </w:tcPr>
          <w:p>
            <w:pPr>
              <w:spacing w:after="0"/>
              <w:rPr>
                <w:sz w:val="20"/>
                <w:szCs w:val="20"/>
                <w:color w:val="auto"/>
              </w:rPr>
            </w:pPr>
            <w:r>
              <w:rPr>
                <w:rFonts w:ascii="Arial" w:cs="Arial" w:eastAsia="Arial" w:hAnsi="Arial"/>
                <w:sz w:val="17"/>
                <w:szCs w:val="17"/>
                <w:b w:val="1"/>
                <w:bCs w:val="1"/>
                <w:i w:val="1"/>
                <w:iCs w:val="1"/>
                <w:color w:val="auto"/>
              </w:rPr>
              <w:t>Cash consideration:</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1"/>
        </w:trPr>
        <w:tc>
          <w:tcPr>
            <w:tcW w:w="4340" w:type="dxa"/>
            <w:vAlign w:val="bottom"/>
          </w:tcPr>
          <w:p>
            <w:pPr>
              <w:spacing w:after="0"/>
              <w:rPr>
                <w:sz w:val="20"/>
                <w:szCs w:val="20"/>
                <w:color w:val="auto"/>
              </w:rPr>
            </w:pPr>
            <w:r>
              <w:rPr>
                <w:rFonts w:ascii="Arial" w:cs="Arial" w:eastAsia="Arial" w:hAnsi="Arial"/>
                <w:sz w:val="17"/>
                <w:szCs w:val="17"/>
                <w:color w:val="auto"/>
              </w:rPr>
              <w:t>Number of shares of Cameron stock outstanding</w:t>
            </w: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4340" w:type="dxa"/>
            <w:vAlign w:val="bottom"/>
            <w:shd w:val="clear" w:color="auto" w:fill="CFF0FC"/>
          </w:tcPr>
          <w:p>
            <w:pPr>
              <w:spacing w:after="0"/>
              <w:rPr>
                <w:sz w:val="20"/>
                <w:szCs w:val="20"/>
                <w:color w:val="auto"/>
              </w:rPr>
            </w:pPr>
            <w:r>
              <w:rPr>
                <w:rFonts w:ascii="Arial" w:cs="Arial" w:eastAsia="Arial" w:hAnsi="Arial"/>
                <w:sz w:val="17"/>
                <w:szCs w:val="17"/>
                <w:color w:val="auto"/>
              </w:rPr>
              <w:t>Cash consideration per Cameron share</w:t>
            </w:r>
          </w:p>
        </w:tc>
        <w:tc>
          <w:tcPr>
            <w:tcW w:w="2040" w:type="dxa"/>
            <w:vAlign w:val="bottom"/>
            <w:gridSpan w:val="2"/>
            <w:shd w:val="clear" w:color="auto" w:fill="CFF0FC"/>
          </w:tcPr>
          <w:p>
            <w:pPr>
              <w:jc w:val="right"/>
              <w:ind w:right="253"/>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14.44</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4"/>
        </w:trPr>
        <w:tc>
          <w:tcPr>
            <w:tcW w:w="4340" w:type="dxa"/>
            <w:vAlign w:val="bottom"/>
          </w:tcPr>
          <w:p>
            <w:pPr>
              <w:spacing w:after="0"/>
              <w:rPr>
                <w:sz w:val="20"/>
                <w:szCs w:val="20"/>
                <w:color w:val="auto"/>
              </w:rPr>
            </w:pPr>
            <w:r>
              <w:rPr>
                <w:rFonts w:ascii="Arial" w:cs="Arial" w:eastAsia="Arial" w:hAnsi="Arial"/>
                <w:sz w:val="17"/>
                <w:szCs w:val="17"/>
                <w:color w:val="auto"/>
              </w:rPr>
              <w:t>Cash consideration</w:t>
            </w:r>
          </w:p>
        </w:tc>
        <w:tc>
          <w:tcPr>
            <w:tcW w:w="16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2,776</w:t>
            </w:r>
          </w:p>
        </w:tc>
        <w:tc>
          <w:tcPr>
            <w:tcW w:w="60" w:type="dxa"/>
            <w:vAlign w:val="bottom"/>
          </w:tcPr>
          <w:p>
            <w:pPr>
              <w:spacing w:after="0"/>
              <w:rPr>
                <w:sz w:val="18"/>
                <w:szCs w:val="18"/>
                <w:color w:val="auto"/>
              </w:rPr>
            </w:pPr>
          </w:p>
        </w:tc>
      </w:tr>
      <w:tr>
        <w:trPr>
          <w:trHeight w:val="221"/>
        </w:trPr>
        <w:tc>
          <w:tcPr>
            <w:tcW w:w="4340" w:type="dxa"/>
            <w:vAlign w:val="bottom"/>
            <w:shd w:val="clear" w:color="auto" w:fill="CFF0FC"/>
          </w:tcPr>
          <w:p>
            <w:pPr>
              <w:spacing w:after="0"/>
              <w:rPr>
                <w:sz w:val="20"/>
                <w:szCs w:val="20"/>
                <w:color w:val="auto"/>
              </w:rPr>
            </w:pPr>
            <w:r>
              <w:rPr>
                <w:rFonts w:ascii="Arial" w:cs="Arial" w:eastAsia="Arial" w:hAnsi="Arial"/>
                <w:sz w:val="17"/>
                <w:szCs w:val="17"/>
                <w:b w:val="1"/>
                <w:bCs w:val="1"/>
                <w:i w:val="1"/>
                <w:iCs w:val="1"/>
                <w:color w:val="auto"/>
              </w:rPr>
              <w:t>Other:</w:t>
            </w:r>
          </w:p>
        </w:tc>
        <w:tc>
          <w:tcPr>
            <w:tcW w:w="1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1"/>
        </w:trPr>
        <w:tc>
          <w:tcPr>
            <w:tcW w:w="43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Fair value of replacement equity awards</w:t>
            </w:r>
          </w:p>
        </w:tc>
        <w:tc>
          <w:tcPr>
            <w:tcW w:w="160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60" w:type="dxa"/>
            <w:vAlign w:val="bottom"/>
            <w:tcBorders>
              <w:bottom w:val="single" w:sz="8" w:color="CFF0FC"/>
            </w:tcBorders>
          </w:tcPr>
          <w:p>
            <w:pPr>
              <w:spacing w:after="0"/>
              <w:rPr>
                <w:sz w:val="19"/>
                <w:szCs w:val="19"/>
                <w:color w:val="auto"/>
              </w:rPr>
            </w:pPr>
          </w:p>
        </w:tc>
      </w:tr>
      <w:tr>
        <w:trPr>
          <w:trHeight w:val="214"/>
        </w:trPr>
        <w:tc>
          <w:tcPr>
            <w:tcW w:w="4340" w:type="dxa"/>
            <w:vAlign w:val="bottom"/>
            <w:shd w:val="clear" w:color="auto" w:fill="CFF0FC"/>
          </w:tcPr>
          <w:p>
            <w:pPr>
              <w:spacing w:after="0"/>
              <w:rPr>
                <w:sz w:val="20"/>
                <w:szCs w:val="20"/>
                <w:color w:val="auto"/>
              </w:rPr>
            </w:pPr>
            <w:r>
              <w:rPr>
                <w:rFonts w:ascii="Arial" w:cs="Arial" w:eastAsia="Arial" w:hAnsi="Arial"/>
                <w:sz w:val="17"/>
                <w:szCs w:val="17"/>
                <w:color w:val="auto"/>
              </w:rPr>
              <w:t>Total fair value of the consideration transferred</w:t>
            </w:r>
          </w:p>
        </w:tc>
        <w:tc>
          <w:tcPr>
            <w:tcW w:w="1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12,803</w:t>
            </w:r>
          </w:p>
        </w:tc>
        <w:tc>
          <w:tcPr>
            <w:tcW w:w="60" w:type="dxa"/>
            <w:vAlign w:val="bottom"/>
            <w:shd w:val="clear" w:color="auto" w:fill="CFF0FC"/>
          </w:tcPr>
          <w:p>
            <w:pPr>
              <w:spacing w:after="0"/>
              <w:rPr>
                <w:sz w:val="18"/>
                <w:szCs w:val="18"/>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Certain amounts reflect rounding adjustments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Allocation of Consideration Transferred to Net Assets Acquired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The following amounts represent the fair value of assets acquired and liabilities assumed in the merger.</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(Stated in millions)</w:t>
            </w:r>
          </w:p>
        </w:tc>
      </w:tr>
      <w:tr>
        <w:trPr>
          <w:trHeight w:val="207"/>
        </w:trPr>
        <w:tc>
          <w:tcPr>
            <w:tcW w:w="6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Cash</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785</w:t>
            </w:r>
          </w:p>
        </w:tc>
        <w:tc>
          <w:tcPr>
            <w:tcW w:w="80" w:type="dxa"/>
            <w:vAlign w:val="bottom"/>
            <w:shd w:val="clear" w:color="auto" w:fill="CFF0FC"/>
          </w:tcPr>
          <w:p>
            <w:pPr>
              <w:spacing w:after="0"/>
              <w:rPr>
                <w:sz w:val="19"/>
                <w:szCs w:val="19"/>
                <w:color w:val="auto"/>
              </w:rPr>
            </w:pPr>
          </w:p>
        </w:tc>
      </w:tr>
      <w:tr>
        <w:trPr>
          <w:trHeight w:val="221"/>
        </w:trPr>
        <w:tc>
          <w:tcPr>
            <w:tcW w:w="6920" w:type="dxa"/>
            <w:vAlign w:val="bottom"/>
          </w:tcPr>
          <w:p>
            <w:pPr>
              <w:spacing w:after="0"/>
              <w:rPr>
                <w:sz w:val="20"/>
                <w:szCs w:val="20"/>
                <w:color w:val="auto"/>
              </w:rPr>
            </w:pPr>
            <w:r>
              <w:rPr>
                <w:rFonts w:ascii="Arial" w:cs="Arial" w:eastAsia="Arial" w:hAnsi="Arial"/>
                <w:sz w:val="17"/>
                <w:szCs w:val="17"/>
                <w:color w:val="auto"/>
              </w:rPr>
              <w:t>Short-term investments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1,448</w:t>
            </w:r>
          </w:p>
        </w:tc>
        <w:tc>
          <w:tcPr>
            <w:tcW w:w="80" w:type="dxa"/>
            <w:vAlign w:val="bottom"/>
          </w:tcPr>
          <w:p>
            <w:pPr>
              <w:spacing w:after="0"/>
              <w:rPr>
                <w:sz w:val="19"/>
                <w:szCs w:val="19"/>
                <w:color w:val="auto"/>
              </w:rPr>
            </w:pPr>
          </w:p>
        </w:tc>
      </w:tr>
      <w:tr>
        <w:trPr>
          <w:trHeight w:val="221"/>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1,669</w:t>
            </w:r>
          </w:p>
        </w:tc>
        <w:tc>
          <w:tcPr>
            <w:tcW w:w="80" w:type="dxa"/>
            <w:vAlign w:val="bottom"/>
            <w:shd w:val="clear" w:color="auto" w:fill="CFF0FC"/>
          </w:tcPr>
          <w:p>
            <w:pPr>
              <w:spacing w:after="0"/>
              <w:rPr>
                <w:sz w:val="19"/>
                <w:szCs w:val="19"/>
                <w:color w:val="auto"/>
              </w:rPr>
            </w:pPr>
          </w:p>
        </w:tc>
      </w:tr>
      <w:tr>
        <w:trPr>
          <w:trHeight w:val="221"/>
        </w:trPr>
        <w:tc>
          <w:tcPr>
            <w:tcW w:w="6920" w:type="dxa"/>
            <w:vAlign w:val="bottom"/>
          </w:tcPr>
          <w:p>
            <w:pPr>
              <w:spacing w:after="0"/>
              <w:rPr>
                <w:sz w:val="20"/>
                <w:szCs w:val="20"/>
                <w:color w:val="auto"/>
              </w:rPr>
            </w:pPr>
            <w:r>
              <w:rPr>
                <w:rFonts w:ascii="Arial" w:cs="Arial" w:eastAsia="Arial" w:hAnsi="Arial"/>
                <w:sz w:val="17"/>
                <w:szCs w:val="17"/>
                <w:color w:val="auto"/>
              </w:rPr>
              <w:t xml:space="preserve">Inventories </w:t>
            </w:r>
            <w:r>
              <w:rPr>
                <w:rFonts w:ascii="Arial" w:cs="Arial" w:eastAsia="Arial" w:hAnsi="Arial"/>
                <w:sz w:val="14"/>
                <w:szCs w:val="14"/>
                <w:color w:val="auto"/>
              </w:rPr>
              <w:t>(1)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2,350</w:t>
            </w:r>
          </w:p>
        </w:tc>
        <w:tc>
          <w:tcPr>
            <w:tcW w:w="80" w:type="dxa"/>
            <w:vAlign w:val="bottom"/>
          </w:tcPr>
          <w:p>
            <w:pPr>
              <w:spacing w:after="0"/>
              <w:rPr>
                <w:sz w:val="19"/>
                <w:szCs w:val="19"/>
                <w:color w:val="auto"/>
              </w:rPr>
            </w:pPr>
          </w:p>
        </w:tc>
      </w:tr>
      <w:tr>
        <w:trPr>
          <w:trHeight w:val="221"/>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Fixed assets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1,320</w:t>
            </w:r>
          </w:p>
        </w:tc>
        <w:tc>
          <w:tcPr>
            <w:tcW w:w="80" w:type="dxa"/>
            <w:vAlign w:val="bottom"/>
            <w:shd w:val="clear" w:color="auto" w:fill="CFF0FC"/>
          </w:tcPr>
          <w:p>
            <w:pPr>
              <w:spacing w:after="0"/>
              <w:rPr>
                <w:sz w:val="19"/>
                <w:szCs w:val="19"/>
                <w:color w:val="auto"/>
              </w:rPr>
            </w:pPr>
          </w:p>
        </w:tc>
      </w:tr>
      <w:tr>
        <w:trPr>
          <w:trHeight w:val="221"/>
        </w:trPr>
        <w:tc>
          <w:tcPr>
            <w:tcW w:w="6920" w:type="dxa"/>
            <w:vAlign w:val="bottom"/>
          </w:tcPr>
          <w:p>
            <w:pPr>
              <w:spacing w:after="0"/>
              <w:rPr>
                <w:sz w:val="20"/>
                <w:szCs w:val="20"/>
                <w:color w:val="auto"/>
              </w:rPr>
            </w:pPr>
            <w:r>
              <w:rPr>
                <w:rFonts w:ascii="Arial" w:cs="Arial" w:eastAsia="Arial" w:hAnsi="Arial"/>
                <w:sz w:val="17"/>
                <w:szCs w:val="17"/>
                <w:color w:val="auto"/>
              </w:rPr>
              <w:t>Intangible 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Customer relationships (weighted-average life of 25 years)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2,371</w:t>
            </w:r>
          </w:p>
        </w:tc>
        <w:tc>
          <w:tcPr>
            <w:tcW w:w="80" w:type="dxa"/>
            <w:vAlign w:val="bottom"/>
            <w:shd w:val="clear" w:color="auto" w:fill="CFF0FC"/>
          </w:tcPr>
          <w:p>
            <w:pPr>
              <w:spacing w:after="0"/>
              <w:rPr>
                <w:sz w:val="19"/>
                <w:szCs w:val="19"/>
                <w:color w:val="auto"/>
              </w:rPr>
            </w:pPr>
          </w:p>
        </w:tc>
      </w:tr>
      <w:tr>
        <w:trPr>
          <w:trHeight w:val="221"/>
        </w:trPr>
        <w:tc>
          <w:tcPr>
            <w:tcW w:w="6920" w:type="dxa"/>
            <w:vAlign w:val="bottom"/>
          </w:tcPr>
          <w:p>
            <w:pPr>
              <w:ind w:left="240"/>
              <w:spacing w:after="0"/>
              <w:rPr>
                <w:sz w:val="20"/>
                <w:szCs w:val="20"/>
                <w:color w:val="auto"/>
              </w:rPr>
            </w:pPr>
            <w:r>
              <w:rPr>
                <w:rFonts w:ascii="Arial" w:cs="Arial" w:eastAsia="Arial" w:hAnsi="Arial"/>
                <w:sz w:val="17"/>
                <w:szCs w:val="17"/>
                <w:color w:val="auto"/>
              </w:rPr>
              <w:t>Technology/Technical know-how (weighted-average life of 16 years)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1,736</w:t>
            </w:r>
          </w:p>
        </w:tc>
        <w:tc>
          <w:tcPr>
            <w:tcW w:w="80" w:type="dxa"/>
            <w:vAlign w:val="bottom"/>
          </w:tcPr>
          <w:p>
            <w:pPr>
              <w:spacing w:after="0"/>
              <w:rPr>
                <w:sz w:val="19"/>
                <w:szCs w:val="19"/>
                <w:color w:val="auto"/>
              </w:rPr>
            </w:pPr>
          </w:p>
        </w:tc>
      </w:tr>
      <w:tr>
        <w:trPr>
          <w:trHeight w:val="221"/>
        </w:trPr>
        <w:tc>
          <w:tcPr>
            <w:tcW w:w="6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Tradenames (weighted-average life of 25 years)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1,225</w:t>
            </w:r>
          </w:p>
        </w:tc>
        <w:tc>
          <w:tcPr>
            <w:tcW w:w="80" w:type="dxa"/>
            <w:vAlign w:val="bottom"/>
            <w:shd w:val="clear" w:color="auto" w:fill="CFF0FC"/>
          </w:tcPr>
          <w:p>
            <w:pPr>
              <w:spacing w:after="0"/>
              <w:rPr>
                <w:sz w:val="19"/>
                <w:szCs w:val="19"/>
                <w:color w:val="auto"/>
              </w:rPr>
            </w:pPr>
          </w:p>
        </w:tc>
      </w:tr>
      <w:tr>
        <w:trPr>
          <w:trHeight w:val="221"/>
        </w:trPr>
        <w:tc>
          <w:tcPr>
            <w:tcW w:w="6920" w:type="dxa"/>
            <w:vAlign w:val="bottom"/>
          </w:tcPr>
          <w:p>
            <w:pPr>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511</w:t>
            </w:r>
          </w:p>
        </w:tc>
        <w:tc>
          <w:tcPr>
            <w:tcW w:w="80" w:type="dxa"/>
            <w:vAlign w:val="bottom"/>
          </w:tcPr>
          <w:p>
            <w:pPr>
              <w:spacing w:after="0"/>
              <w:rPr>
                <w:sz w:val="19"/>
                <w:szCs w:val="19"/>
                <w:color w:val="auto"/>
              </w:rPr>
            </w:pPr>
          </w:p>
        </w:tc>
      </w:tr>
      <w:tr>
        <w:trPr>
          <w:trHeight w:val="221"/>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 and accrued liabilities</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(2,604)</w:t>
            </w:r>
          </w:p>
        </w:tc>
      </w:tr>
      <w:tr>
        <w:trPr>
          <w:trHeight w:val="221"/>
        </w:trPr>
        <w:tc>
          <w:tcPr>
            <w:tcW w:w="6920" w:type="dxa"/>
            <w:vAlign w:val="bottom"/>
          </w:tcPr>
          <w:p>
            <w:pPr>
              <w:spacing w:after="0"/>
              <w:rPr>
                <w:sz w:val="20"/>
                <w:szCs w:val="20"/>
                <w:color w:val="auto"/>
              </w:rPr>
            </w:pPr>
            <w:r>
              <w:rPr>
                <w:rFonts w:ascii="Arial" w:cs="Arial" w:eastAsia="Arial" w:hAnsi="Arial"/>
                <w:sz w:val="17"/>
                <w:szCs w:val="17"/>
                <w:color w:val="auto"/>
              </w:rPr>
              <w:t xml:space="preserve">Long-term debt </w:t>
            </w: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(3,018)</w:t>
            </w:r>
          </w:p>
        </w:tc>
      </w:tr>
      <w:tr>
        <w:trPr>
          <w:trHeight w:val="221"/>
        </w:trPr>
        <w:tc>
          <w:tcPr>
            <w:tcW w:w="69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Deferred taxes </w:t>
            </w:r>
            <w:r>
              <w:rPr>
                <w:rFonts w:ascii="Arial" w:cs="Arial" w:eastAsia="Arial" w:hAnsi="Arial"/>
                <w:sz w:val="14"/>
                <w:szCs w:val="14"/>
                <w:color w:val="auto"/>
              </w:rPr>
              <w:t>(3)</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(1,343)</w:t>
            </w:r>
          </w:p>
        </w:tc>
      </w:tr>
      <w:tr>
        <w:trPr>
          <w:trHeight w:val="221"/>
        </w:trPr>
        <w:tc>
          <w:tcPr>
            <w:tcW w:w="6920" w:type="dxa"/>
            <w:vAlign w:val="bottom"/>
          </w:tcPr>
          <w:p>
            <w:pPr>
              <w:spacing w:after="0"/>
              <w:rPr>
                <w:sz w:val="20"/>
                <w:szCs w:val="20"/>
                <w:color w:val="auto"/>
              </w:rPr>
            </w:pPr>
            <w:r>
              <w:rPr>
                <w:rFonts w:ascii="Arial" w:cs="Arial" w:eastAsia="Arial" w:hAnsi="Arial"/>
                <w:sz w:val="17"/>
                <w:szCs w:val="17"/>
                <w:color w:val="auto"/>
              </w:rPr>
              <w:t>Other liabilities</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(538)</w:t>
            </w:r>
          </w:p>
        </w:tc>
      </w:tr>
      <w:tr>
        <w:trPr>
          <w:trHeight w:val="214"/>
        </w:trPr>
        <w:tc>
          <w:tcPr>
            <w:tcW w:w="69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Sub-total</w:t>
            </w: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5,912</w:t>
            </w:r>
          </w:p>
        </w:tc>
        <w:tc>
          <w:tcPr>
            <w:tcW w:w="80" w:type="dxa"/>
            <w:vAlign w:val="bottom"/>
            <w:tcBorders>
              <w:top w:val="single" w:sz="8" w:color="CFF0FC"/>
            </w:tcBorders>
            <w:shd w:val="clear" w:color="auto" w:fill="CFF0FC"/>
          </w:tcPr>
          <w:p>
            <w:pPr>
              <w:spacing w:after="0"/>
              <w:rPr>
                <w:sz w:val="18"/>
                <w:szCs w:val="18"/>
                <w:color w:val="auto"/>
              </w:rPr>
            </w:pPr>
          </w:p>
        </w:tc>
      </w:tr>
      <w:tr>
        <w:trPr>
          <w:trHeight w:val="221"/>
        </w:trPr>
        <w:tc>
          <w:tcPr>
            <w:tcW w:w="6920" w:type="dxa"/>
            <w:vAlign w:val="bottom"/>
          </w:tcPr>
          <w:p>
            <w:pPr>
              <w:spacing w:after="0"/>
              <w:rPr>
                <w:sz w:val="20"/>
                <w:szCs w:val="20"/>
                <w:color w:val="auto"/>
              </w:rPr>
            </w:pPr>
            <w:r>
              <w:rPr>
                <w:rFonts w:ascii="Arial" w:cs="Arial" w:eastAsia="Arial" w:hAnsi="Arial"/>
                <w:sz w:val="17"/>
                <w:szCs w:val="17"/>
                <w:color w:val="auto"/>
              </w:rPr>
              <w:t>Less: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Investment in OneSubsea </w:t>
            </w:r>
            <w:r>
              <w:rPr>
                <w:rFonts w:ascii="Arial" w:cs="Arial" w:eastAsia="Arial" w:hAnsi="Arial"/>
                <w:sz w:val="14"/>
                <w:szCs w:val="14"/>
                <w:color w:val="auto"/>
              </w:rPr>
              <w:t>(4)</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(2,065)</w:t>
            </w:r>
          </w:p>
        </w:tc>
      </w:tr>
      <w:tr>
        <w:trPr>
          <w:trHeight w:val="221"/>
        </w:trPr>
        <w:tc>
          <w:tcPr>
            <w:tcW w:w="6920" w:type="dxa"/>
            <w:vAlign w:val="bottom"/>
          </w:tcPr>
          <w:p>
            <w:pPr>
              <w:ind w:left="240"/>
              <w:spacing w:after="0"/>
              <w:rPr>
                <w:sz w:val="20"/>
                <w:szCs w:val="20"/>
                <w:color w:val="auto"/>
              </w:rPr>
            </w:pPr>
            <w:r>
              <w:rPr>
                <w:rFonts w:ascii="Arial" w:cs="Arial" w:eastAsia="Arial" w:hAnsi="Arial"/>
                <w:sz w:val="17"/>
                <w:szCs w:val="17"/>
                <w:color w:val="auto"/>
              </w:rPr>
              <w:t>Noncontrolling interests</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(57)</w:t>
            </w:r>
          </w:p>
        </w:tc>
      </w:tr>
      <w:tr>
        <w:trPr>
          <w:trHeight w:val="214"/>
        </w:trPr>
        <w:tc>
          <w:tcPr>
            <w:tcW w:w="6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identifiable net assets</w:t>
            </w: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3,790</w:t>
            </w:r>
          </w:p>
        </w:tc>
        <w:tc>
          <w:tcPr>
            <w:tcW w:w="80" w:type="dxa"/>
            <w:vAlign w:val="bottom"/>
            <w:tcBorders>
              <w:top w:val="single" w:sz="8" w:color="CFF0FC"/>
            </w:tcBorders>
            <w:shd w:val="clear" w:color="auto" w:fill="CFF0FC"/>
          </w:tcPr>
          <w:p>
            <w:pPr>
              <w:spacing w:after="0"/>
              <w:rPr>
                <w:sz w:val="18"/>
                <w:szCs w:val="18"/>
                <w:color w:val="auto"/>
              </w:rPr>
            </w:pPr>
          </w:p>
        </w:tc>
      </w:tr>
      <w:tr>
        <w:trPr>
          <w:trHeight w:val="221"/>
        </w:trPr>
        <w:tc>
          <w:tcPr>
            <w:tcW w:w="69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xml:space="preserve">Goodwill </w:t>
            </w:r>
            <w:r>
              <w:rPr>
                <w:rFonts w:ascii="Arial" w:cs="Arial" w:eastAsia="Arial" w:hAnsi="Arial"/>
                <w:sz w:val="14"/>
                <w:szCs w:val="14"/>
                <w:color w:val="auto"/>
              </w:rPr>
              <w:t>(5)</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9,013</w:t>
            </w:r>
          </w:p>
        </w:tc>
        <w:tc>
          <w:tcPr>
            <w:tcW w:w="80" w:type="dxa"/>
            <w:vAlign w:val="bottom"/>
            <w:tcBorders>
              <w:bottom w:val="single" w:sz="8" w:color="CFF0FC"/>
            </w:tcBorders>
          </w:tcPr>
          <w:p>
            <w:pPr>
              <w:spacing w:after="0"/>
              <w:rPr>
                <w:sz w:val="19"/>
                <w:szCs w:val="19"/>
                <w:color w:val="auto"/>
              </w:rPr>
            </w:pPr>
          </w:p>
        </w:tc>
      </w:tr>
      <w:tr>
        <w:trPr>
          <w:trHeight w:val="214"/>
        </w:trPr>
        <w:tc>
          <w:tcPr>
            <w:tcW w:w="69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consideration transferred</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12,803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860" w:hanging="257"/>
        <w:spacing w:after="0" w:line="191" w:lineRule="auto"/>
        <w:tabs>
          <w:tab w:leader="none" w:pos="856" w:val="left"/>
        </w:tabs>
        <w:numPr>
          <w:ilvl w:val="0"/>
          <w:numId w:val="35"/>
        </w:numPr>
        <w:rPr>
          <w:rFonts w:ascii="Arial" w:cs="Arial" w:eastAsia="Arial" w:hAnsi="Arial"/>
          <w:sz w:val="27"/>
          <w:szCs w:val="27"/>
          <w:color w:val="auto"/>
          <w:vertAlign w:val="superscript"/>
        </w:rPr>
      </w:pPr>
      <w:r>
        <w:rPr>
          <w:rFonts w:ascii="Arial" w:cs="Arial" w:eastAsia="Arial" w:hAnsi="Arial"/>
          <w:sz w:val="16"/>
          <w:szCs w:val="16"/>
          <w:color w:val="auto"/>
        </w:rPr>
        <w:t xml:space="preserve">Schlumberger recorded an adjustment of $299 million to write-up the acquired inventory to its estimated fair value. Schlumberger’s 2016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reflected this increased valuation.</w:t>
      </w:r>
    </w:p>
    <w:p>
      <w:pPr>
        <w:spacing w:after="0" w:line="9" w:lineRule="exact"/>
        <w:rPr>
          <w:rFonts w:ascii="Arial" w:cs="Arial" w:eastAsia="Arial" w:hAnsi="Arial"/>
          <w:sz w:val="27"/>
          <w:szCs w:val="27"/>
          <w:color w:val="auto"/>
          <w:vertAlign w:val="superscript"/>
        </w:rPr>
      </w:pPr>
    </w:p>
    <w:p>
      <w:pPr>
        <w:jc w:val="both"/>
        <w:ind w:left="860" w:hanging="258"/>
        <w:spacing w:after="0" w:line="208" w:lineRule="auto"/>
        <w:tabs>
          <w:tab w:leader="none" w:pos="860" w:val="left"/>
        </w:tabs>
        <w:numPr>
          <w:ilvl w:val="0"/>
          <w:numId w:val="35"/>
        </w:numPr>
        <w:rPr>
          <w:rFonts w:ascii="Arial" w:cs="Arial" w:eastAsia="Arial" w:hAnsi="Arial"/>
          <w:sz w:val="27"/>
          <w:szCs w:val="27"/>
          <w:color w:val="auto"/>
          <w:vertAlign w:val="superscript"/>
        </w:rPr>
      </w:pPr>
      <w:r>
        <w:rPr>
          <w:rFonts w:ascii="Arial" w:cs="Arial" w:eastAsia="Arial" w:hAnsi="Arial"/>
          <w:sz w:val="16"/>
          <w:szCs w:val="16"/>
          <w:color w:val="auto"/>
        </w:rPr>
        <w:t>In connection with the merger, Schlumberger assumed all of the debt obligations of Cameron, including its $2.75 billion of fixed rate notes. Schlumberger recorded a $244 million adjustment to increase the carrying amount of these notes to their estimated fair value. This adjustment is being amortized as a reduction of interest expense over the remaining term of the respective obligations.</w:t>
      </w:r>
    </w:p>
    <w:p>
      <w:pPr>
        <w:spacing w:after="0" w:line="9" w:lineRule="exact"/>
        <w:rPr>
          <w:rFonts w:ascii="Arial" w:cs="Arial" w:eastAsia="Arial" w:hAnsi="Arial"/>
          <w:sz w:val="27"/>
          <w:szCs w:val="27"/>
          <w:color w:val="auto"/>
          <w:vertAlign w:val="superscript"/>
        </w:rPr>
      </w:pPr>
    </w:p>
    <w:p>
      <w:pPr>
        <w:ind w:left="860" w:hanging="258"/>
        <w:spacing w:after="0" w:line="191" w:lineRule="auto"/>
        <w:tabs>
          <w:tab w:leader="none" w:pos="860" w:val="left"/>
        </w:tabs>
        <w:numPr>
          <w:ilvl w:val="0"/>
          <w:numId w:val="35"/>
        </w:numPr>
        <w:rPr>
          <w:rFonts w:ascii="Arial" w:cs="Arial" w:eastAsia="Arial" w:hAnsi="Arial"/>
          <w:sz w:val="27"/>
          <w:szCs w:val="27"/>
          <w:color w:val="auto"/>
          <w:vertAlign w:val="superscript"/>
        </w:rPr>
      </w:pPr>
      <w:r>
        <w:rPr>
          <w:rFonts w:ascii="Arial" w:cs="Arial" w:eastAsia="Arial" w:hAnsi="Arial"/>
          <w:sz w:val="16"/>
          <w:szCs w:val="16"/>
          <w:color w:val="auto"/>
        </w:rPr>
        <w:t>In connection with the acquisition accounting, Schlumberger provided deferred taxes related to, among other items, the estimated fair value adjustments for acquired inventory, intangible assets and assumed debt obligations.</w:t>
      </w:r>
    </w:p>
    <w:p>
      <w:pPr>
        <w:spacing w:after="0" w:line="9" w:lineRule="exact"/>
        <w:rPr>
          <w:rFonts w:ascii="Arial" w:cs="Arial" w:eastAsia="Arial" w:hAnsi="Arial"/>
          <w:sz w:val="27"/>
          <w:szCs w:val="27"/>
          <w:color w:val="auto"/>
          <w:vertAlign w:val="superscript"/>
        </w:rPr>
      </w:pPr>
    </w:p>
    <w:p>
      <w:pPr>
        <w:jc w:val="both"/>
        <w:ind w:left="860" w:hanging="258"/>
        <w:spacing w:after="0" w:line="224" w:lineRule="auto"/>
        <w:tabs>
          <w:tab w:leader="none" w:pos="847" w:val="left"/>
        </w:tabs>
        <w:numPr>
          <w:ilvl w:val="0"/>
          <w:numId w:val="35"/>
        </w:numPr>
        <w:rPr>
          <w:rFonts w:ascii="Arial" w:cs="Arial" w:eastAsia="Arial" w:hAnsi="Arial"/>
          <w:sz w:val="27"/>
          <w:szCs w:val="27"/>
          <w:color w:val="auto"/>
          <w:vertAlign w:val="superscript"/>
        </w:rPr>
      </w:pPr>
      <w:r>
        <w:rPr>
          <w:rFonts w:ascii="Arial" w:cs="Arial" w:eastAsia="Arial" w:hAnsi="Arial"/>
          <w:sz w:val="16"/>
          <w:szCs w:val="16"/>
          <w:color w:val="auto"/>
        </w:rPr>
        <w:t>Prior to the completion of the merger, Cameron and Schlumberger operated OneSubsea, a joint venture that manufactured and developed products, systems and services for the subsea oil and gas market, which was 40% owned by Schlumberger and 60% owned by Cameron. OneSubsea is now owned 100% by Schlumberger. As a result of obtaining control of this joint venture, Schlumberger was required to remeasure its previously held equity interest in the joint venture to its acquisition-date fair value. Schlumberger determined that the estimated fair value of its previously held equity interest approximated its carrying value. Accordingly, Schlumberger did not recognize any gain or loss on this transaction.</w:t>
      </w:r>
    </w:p>
    <w:p>
      <w:pPr>
        <w:spacing w:after="0" w:line="10" w:lineRule="exact"/>
        <w:rPr>
          <w:rFonts w:ascii="Arial" w:cs="Arial" w:eastAsia="Arial" w:hAnsi="Arial"/>
          <w:sz w:val="27"/>
          <w:szCs w:val="27"/>
          <w:color w:val="auto"/>
          <w:vertAlign w:val="superscript"/>
        </w:rPr>
      </w:pPr>
    </w:p>
    <w:p>
      <w:pPr>
        <w:ind w:left="860" w:hanging="258"/>
        <w:spacing w:after="0" w:line="205" w:lineRule="auto"/>
        <w:tabs>
          <w:tab w:leader="none" w:pos="886" w:val="left"/>
        </w:tabs>
        <w:numPr>
          <w:ilvl w:val="0"/>
          <w:numId w:val="35"/>
        </w:numPr>
        <w:rPr>
          <w:rFonts w:ascii="Arial" w:cs="Arial" w:eastAsia="Arial" w:hAnsi="Arial"/>
          <w:sz w:val="25"/>
          <w:szCs w:val="25"/>
          <w:color w:val="auto"/>
          <w:vertAlign w:val="superscript"/>
        </w:rPr>
      </w:pPr>
      <w:r>
        <w:rPr>
          <w:rFonts w:ascii="Arial" w:cs="Arial" w:eastAsia="Arial" w:hAnsi="Arial"/>
          <w:sz w:val="15"/>
          <w:szCs w:val="15"/>
          <w:color w:val="auto"/>
        </w:rPr>
        <w:t>The goodwill recognized is primarily attributable to expected synergies that will result from combining the operations of Schlumberger and Cameron, as well as intangible assets which do not qualify for separate recognition. The amount of goodwill that is deductible for income tax purposes is not significant.</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Supplemental Pro Forma Financial Information</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Cameron’s results of operations have been included in Schlumberger’s financial statements for periods subsequent to the closing of the acquisition on April 1, 2016. Businesses acquired from Cameron contributed revenues of approximately $4 billion and pretax operating income of approximately $0.7 billion for the period from April 1, 2016 through December 31, 2016.</w:t>
      </w:r>
    </w:p>
    <w:p>
      <w:pPr>
        <w:spacing w:after="0" w:line="172"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following supplemental pro forma results of operations assume that Cameron had been acquired on January 1, 2015. The supplemental pro forma financial information was prepared based on the historical financial information of Schlumberger and Cameron and has been adjusted to give effect to pro forma adjustments that are both directly attributable to the transaction and factually supportable. The pro forma amounts reflect certain adjustments to amortization expense, interest expense and income taxes resulting from purchase accounting. The pro forma results for the year ended December 31, 2016 reflect adjustments to exclude after-tax merger and integration costs of $285 million and after-tax charges relating to the amortization of the inventory fair value adjustment of $209 million. As required by generally accepted accounting principles, the pro forma results for the year ended December 31, 2015 have been adjusted to include after-tax adjustments for merger and integration costs of $285 million and the after-tax charges relating to the amortization of the inventory fair value adjustment of $209 million.</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supplemental pro forma financial information presented below is unaudited and does not include any anticipated cost savings or the expected realization of other synergies associated with this transaction. Accordingly, this supplemental pro forma financial information is presented for informational purposes only and is not necessarily indicative of what the actual results of operations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combined company would have been had the acquisition occurred on January 1, 2015, nor is it indicative of future results of operations.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6"/>
          </w:tcPr>
          <w:p>
            <w:pPr>
              <w:ind w:left="540"/>
              <w:spacing w:after="0"/>
              <w:rPr>
                <w:sz w:val="20"/>
                <w:szCs w:val="20"/>
                <w:color w:val="auto"/>
              </w:rPr>
            </w:pPr>
            <w:r>
              <w:rPr>
                <w:rFonts w:ascii="Arial" w:cs="Arial" w:eastAsia="Arial" w:hAnsi="Arial"/>
                <w:sz w:val="14"/>
                <w:szCs w:val="14"/>
                <w:i w:val="1"/>
                <w:iCs w:val="1"/>
                <w:color w:val="auto"/>
                <w:w w:val="92"/>
              </w:rPr>
              <w:t>(Stated in millions, except per share amounts)</w:t>
            </w:r>
          </w:p>
        </w:tc>
      </w:tr>
      <w:tr>
        <w:trPr>
          <w:trHeight w:val="207"/>
        </w:trPr>
        <w:tc>
          <w:tcPr>
            <w:tcW w:w="55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4"/>
        </w:trPr>
        <w:tc>
          <w:tcPr>
            <w:tcW w:w="5560" w:type="dxa"/>
            <w:vAlign w:val="bottom"/>
            <w:tcBorders>
              <w:bottom w:val="single" w:sz="8" w:color="CFF0FC"/>
            </w:tcBorders>
          </w:tcPr>
          <w:p>
            <w:pPr>
              <w:spacing w:after="0"/>
              <w:rPr>
                <w:sz w:val="18"/>
                <w:szCs w:val="18"/>
                <w:color w:val="auto"/>
              </w:rPr>
            </w:pPr>
          </w:p>
        </w:tc>
        <w:tc>
          <w:tcPr>
            <w:tcW w:w="23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rPr>
              <w:t>2015</w:t>
            </w:r>
          </w:p>
        </w:tc>
        <w:tc>
          <w:tcPr>
            <w:tcW w:w="120" w:type="dxa"/>
            <w:vAlign w:val="bottom"/>
            <w:tcBorders>
              <w:bottom w:val="single" w:sz="8" w:color="CFF0FC"/>
            </w:tcBorders>
          </w:tcPr>
          <w:p>
            <w:pPr>
              <w:spacing w:after="0"/>
              <w:rPr>
                <w:sz w:val="18"/>
                <w:szCs w:val="18"/>
                <w:color w:val="auto"/>
              </w:rPr>
            </w:pPr>
          </w:p>
        </w:tc>
      </w:tr>
      <w:tr>
        <w:trPr>
          <w:trHeight w:val="214"/>
        </w:trPr>
        <w:tc>
          <w:tcPr>
            <w:tcW w:w="556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2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29,438</w:t>
            </w: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44,306</w:t>
            </w:r>
          </w:p>
        </w:tc>
        <w:tc>
          <w:tcPr>
            <w:tcW w:w="120" w:type="dxa"/>
            <w:vAlign w:val="bottom"/>
            <w:shd w:val="clear" w:color="auto" w:fill="CFF0FC"/>
          </w:tcPr>
          <w:p>
            <w:pPr>
              <w:spacing w:after="0"/>
              <w:rPr>
                <w:sz w:val="18"/>
                <w:szCs w:val="18"/>
                <w:color w:val="auto"/>
              </w:rPr>
            </w:pPr>
          </w:p>
        </w:tc>
      </w:tr>
      <w:tr>
        <w:trPr>
          <w:trHeight w:val="221"/>
        </w:trPr>
        <w:tc>
          <w:tcPr>
            <w:tcW w:w="5560" w:type="dxa"/>
            <w:vAlign w:val="bottom"/>
          </w:tcPr>
          <w:p>
            <w:pPr>
              <w:spacing w:after="0"/>
              <w:rPr>
                <w:sz w:val="20"/>
                <w:szCs w:val="20"/>
                <w:color w:val="auto"/>
              </w:rPr>
            </w:pPr>
            <w:r>
              <w:rPr>
                <w:rFonts w:ascii="Arial" w:cs="Arial" w:eastAsia="Arial" w:hAnsi="Arial"/>
                <w:sz w:val="17"/>
                <w:szCs w:val="17"/>
                <w:color w:val="auto"/>
              </w:rPr>
              <w:t>Net income (loss) attributable to Schlumberger</w:t>
            </w:r>
          </w:p>
        </w:tc>
        <w:tc>
          <w:tcPr>
            <w:tcW w:w="2660" w:type="dxa"/>
            <w:vAlign w:val="bottom"/>
            <w:gridSpan w:val="2"/>
          </w:tcPr>
          <w:p>
            <w:pPr>
              <w:jc w:val="right"/>
              <w:ind w:right="173"/>
              <w:spacing w:after="0"/>
              <w:rPr>
                <w:sz w:val="20"/>
                <w:szCs w:val="20"/>
                <w:color w:val="auto"/>
              </w:rPr>
            </w:pPr>
            <w:r>
              <w:rPr>
                <w:rFonts w:ascii="Arial" w:cs="Arial" w:eastAsia="Arial" w:hAnsi="Arial"/>
                <w:sz w:val="17"/>
                <w:szCs w:val="17"/>
                <w:b w:val="1"/>
                <w:bCs w:val="1"/>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(1,419)</w:t>
            </w:r>
          </w:p>
        </w:tc>
        <w:tc>
          <w:tcPr>
            <w:tcW w:w="5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2,000</w:t>
            </w:r>
          </w:p>
        </w:tc>
        <w:tc>
          <w:tcPr>
            <w:tcW w:w="120" w:type="dxa"/>
            <w:vAlign w:val="bottom"/>
          </w:tcPr>
          <w:p>
            <w:pPr>
              <w:spacing w:after="0"/>
              <w:rPr>
                <w:sz w:val="19"/>
                <w:szCs w:val="19"/>
                <w:color w:val="auto"/>
              </w:rPr>
            </w:pPr>
          </w:p>
        </w:tc>
      </w:tr>
      <w:tr>
        <w:trPr>
          <w:trHeight w:val="221"/>
        </w:trPr>
        <w:tc>
          <w:tcPr>
            <w:tcW w:w="5560" w:type="dxa"/>
            <w:vAlign w:val="bottom"/>
            <w:shd w:val="clear" w:color="auto" w:fill="CFF0FC"/>
          </w:tcPr>
          <w:p>
            <w:pPr>
              <w:spacing w:after="0"/>
              <w:rPr>
                <w:sz w:val="20"/>
                <w:szCs w:val="20"/>
                <w:color w:val="auto"/>
              </w:rPr>
            </w:pPr>
            <w:r>
              <w:rPr>
                <w:rFonts w:ascii="Arial" w:cs="Arial" w:eastAsia="Arial" w:hAnsi="Arial"/>
                <w:sz w:val="17"/>
                <w:szCs w:val="17"/>
                <w:color w:val="auto"/>
              </w:rPr>
              <w:t>Diluted earnings (loss) per share</w:t>
            </w:r>
          </w:p>
        </w:tc>
        <w:tc>
          <w:tcPr>
            <w:tcW w:w="2660" w:type="dxa"/>
            <w:vAlign w:val="bottom"/>
            <w:gridSpan w:val="2"/>
            <w:shd w:val="clear" w:color="auto" w:fill="CFF0FC"/>
          </w:tcPr>
          <w:p>
            <w:pPr>
              <w:jc w:val="right"/>
              <w:ind w:right="173"/>
              <w:spacing w:after="0"/>
              <w:rPr>
                <w:sz w:val="20"/>
                <w:szCs w:val="20"/>
                <w:color w:val="auto"/>
              </w:rPr>
            </w:pPr>
            <w:r>
              <w:rPr>
                <w:rFonts w:ascii="Arial" w:cs="Arial" w:eastAsia="Arial" w:hAnsi="Arial"/>
                <w:sz w:val="17"/>
                <w:szCs w:val="17"/>
                <w:b w:val="1"/>
                <w:bCs w:val="1"/>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(1.02)</w:t>
            </w:r>
          </w:p>
        </w:tc>
        <w:tc>
          <w:tcPr>
            <w:tcW w:w="5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w:t>
            </w:r>
          </w:p>
        </w:tc>
        <w:tc>
          <w:tcPr>
            <w:tcW w:w="120" w:type="dxa"/>
            <w:vAlign w:val="bottom"/>
            <w:shd w:val="clear" w:color="auto" w:fill="CFF0FC"/>
          </w:tcPr>
          <w:p>
            <w:pPr>
              <w:spacing w:after="0"/>
              <w:rPr>
                <w:sz w:val="19"/>
                <w:szCs w:val="19"/>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16"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Schlumberger made other acquisitions and investments for cash payments, net of cash acquired, of $847 million during 2017, $407 million during 2016 and $443 million during 2015. None of these transactions were significant to Schlumberger’s consolidated financial statements, either individually or in the aggregate.</w:t>
      </w:r>
    </w:p>
    <w:p>
      <w:pPr>
        <w:spacing w:after="0" w:line="221" w:lineRule="exact"/>
        <w:rPr>
          <w:sz w:val="20"/>
          <w:szCs w:val="20"/>
          <w:color w:val="auto"/>
        </w:rPr>
      </w:pPr>
    </w:p>
    <w:p>
      <w:pPr>
        <w:ind w:left="220" w:hanging="216"/>
        <w:spacing w:after="0"/>
        <w:tabs>
          <w:tab w:leader="none" w:pos="22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Inventories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A summary of inventories, which are stated at the lower of average cost or market,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8"/>
        </w:trPr>
        <w:tc>
          <w:tcPr>
            <w:tcW w:w="180" w:type="dxa"/>
            <w:vAlign w:val="bottom"/>
            <w:tcBorders>
              <w:bottom w:val="single" w:sz="8" w:color="CFF0FC"/>
            </w:tcBorders>
          </w:tcPr>
          <w:p>
            <w:pPr>
              <w:spacing w:after="0"/>
              <w:rPr>
                <w:sz w:val="24"/>
                <w:szCs w:val="24"/>
                <w:color w:val="auto"/>
              </w:rPr>
            </w:pPr>
          </w:p>
        </w:tc>
        <w:tc>
          <w:tcPr>
            <w:tcW w:w="920" w:type="dxa"/>
            <w:vAlign w:val="bottom"/>
            <w:tcBorders>
              <w:bottom w:val="single" w:sz="8" w:color="CFF0FC"/>
            </w:tcBorders>
          </w:tcPr>
          <w:p>
            <w:pPr>
              <w:spacing w:after="0"/>
              <w:rPr>
                <w:sz w:val="24"/>
                <w:szCs w:val="24"/>
                <w:color w:val="auto"/>
              </w:rPr>
            </w:pPr>
          </w:p>
        </w:tc>
        <w:tc>
          <w:tcPr>
            <w:tcW w:w="4040" w:type="dxa"/>
            <w:vAlign w:val="bottom"/>
            <w:tcBorders>
              <w:bottom w:val="single" w:sz="8" w:color="CFF0FC"/>
            </w:tcBorders>
          </w:tcPr>
          <w:p>
            <w:pPr>
              <w:spacing w:after="0"/>
              <w:rPr>
                <w:sz w:val="24"/>
                <w:szCs w:val="24"/>
                <w:color w:val="auto"/>
              </w:rPr>
            </w:pPr>
          </w:p>
        </w:tc>
        <w:tc>
          <w:tcPr>
            <w:tcW w:w="268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2017</w:t>
            </w: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2016</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Raw materials &amp; field materials</w:t>
            </w:r>
          </w:p>
        </w:tc>
        <w:tc>
          <w:tcPr>
            <w:tcW w:w="26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1,846</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gridSpan w:val="3"/>
          </w:tcPr>
          <w:p>
            <w:pPr>
              <w:spacing w:after="0"/>
              <w:rPr>
                <w:sz w:val="20"/>
                <w:szCs w:val="20"/>
                <w:color w:val="auto"/>
              </w:rPr>
            </w:pPr>
            <w:r>
              <w:rPr>
                <w:rFonts w:ascii="Arial" w:cs="Arial" w:eastAsia="Arial" w:hAnsi="Arial"/>
                <w:sz w:val="17"/>
                <w:szCs w:val="17"/>
                <w:color w:val="auto"/>
              </w:rPr>
              <w:t>Work in progress</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503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4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Finished goods</w:t>
            </w:r>
          </w:p>
        </w:tc>
        <w:tc>
          <w:tcPr>
            <w:tcW w:w="26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1,697</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4,046</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6. Fixed Assets</w:t>
            </w:r>
          </w:p>
        </w:tc>
        <w:tc>
          <w:tcPr>
            <w:tcW w:w="2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40" w:type="dxa"/>
            <w:vAlign w:val="bottom"/>
            <w:gridSpan w:val="3"/>
            <w:vMerge w:val="continue"/>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40" w:type="dxa"/>
            <w:vAlign w:val="bottom"/>
            <w:gridSpan w:val="3"/>
          </w:tcPr>
          <w:p>
            <w:pPr>
              <w:spacing w:after="0"/>
              <w:rPr>
                <w:sz w:val="20"/>
                <w:szCs w:val="20"/>
                <w:color w:val="auto"/>
              </w:rPr>
            </w:pPr>
            <w:r>
              <w:rPr>
                <w:rFonts w:ascii="Arial" w:cs="Arial" w:eastAsia="Arial" w:hAnsi="Arial"/>
                <w:sz w:val="17"/>
                <w:szCs w:val="17"/>
                <w:color w:val="auto"/>
              </w:rPr>
              <w:t>A summary of fixed assets follows:</w:t>
            </w: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8"/>
        </w:trPr>
        <w:tc>
          <w:tcPr>
            <w:tcW w:w="180" w:type="dxa"/>
            <w:vAlign w:val="bottom"/>
            <w:tcBorders>
              <w:bottom w:val="single" w:sz="8" w:color="CFF0FC"/>
            </w:tcBorders>
          </w:tcPr>
          <w:p>
            <w:pPr>
              <w:spacing w:after="0"/>
              <w:rPr>
                <w:sz w:val="24"/>
                <w:szCs w:val="24"/>
                <w:color w:val="auto"/>
              </w:rPr>
            </w:pPr>
          </w:p>
        </w:tc>
        <w:tc>
          <w:tcPr>
            <w:tcW w:w="920" w:type="dxa"/>
            <w:vAlign w:val="bottom"/>
            <w:tcBorders>
              <w:bottom w:val="single" w:sz="8" w:color="CFF0FC"/>
            </w:tcBorders>
          </w:tcPr>
          <w:p>
            <w:pPr>
              <w:spacing w:after="0"/>
              <w:rPr>
                <w:sz w:val="24"/>
                <w:szCs w:val="24"/>
                <w:color w:val="auto"/>
              </w:rPr>
            </w:pPr>
          </w:p>
        </w:tc>
        <w:tc>
          <w:tcPr>
            <w:tcW w:w="4040" w:type="dxa"/>
            <w:vAlign w:val="bottom"/>
            <w:tcBorders>
              <w:bottom w:val="single" w:sz="8" w:color="CFF0FC"/>
            </w:tcBorders>
          </w:tcPr>
          <w:p>
            <w:pPr>
              <w:spacing w:after="0"/>
              <w:rPr>
                <w:sz w:val="24"/>
                <w:szCs w:val="24"/>
                <w:color w:val="auto"/>
              </w:rPr>
            </w:pPr>
          </w:p>
        </w:tc>
        <w:tc>
          <w:tcPr>
            <w:tcW w:w="268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2017</w:t>
            </w: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2016</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14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Land</w:t>
            </w:r>
          </w:p>
        </w:tc>
        <w:tc>
          <w:tcPr>
            <w:tcW w:w="26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428</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gridSpan w:val="3"/>
          </w:tcPr>
          <w:p>
            <w:pPr>
              <w:spacing w:after="0"/>
              <w:rPr>
                <w:sz w:val="20"/>
                <w:szCs w:val="20"/>
                <w:color w:val="auto"/>
              </w:rPr>
            </w:pPr>
            <w:r>
              <w:rPr>
                <w:rFonts w:ascii="Arial" w:cs="Arial" w:eastAsia="Arial" w:hAnsi="Arial"/>
                <w:sz w:val="17"/>
                <w:szCs w:val="17"/>
                <w:color w:val="auto"/>
              </w:rPr>
              <w:t>Buildings &amp; improvements</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5,122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4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Machinery &amp; equipment</w:t>
            </w:r>
          </w:p>
        </w:tc>
        <w:tc>
          <w:tcPr>
            <w:tcW w:w="2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32,160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40" w:type="dxa"/>
            <w:vAlign w:val="bottom"/>
            <w:tcBorders>
              <w:bottom w:val="single" w:sz="8" w:color="CFF0FC"/>
            </w:tcBorders>
            <w:gridSpan w:val="3"/>
          </w:tcPr>
          <w:p>
            <w:pPr>
              <w:spacing w:after="0"/>
              <w:rPr>
                <w:sz w:val="20"/>
                <w:szCs w:val="20"/>
                <w:color w:val="auto"/>
              </w:rPr>
            </w:pPr>
            <w:r>
              <w:rPr>
                <w:rFonts w:ascii="Arial" w:cs="Arial" w:eastAsia="Arial" w:hAnsi="Arial"/>
                <w:sz w:val="17"/>
                <w:szCs w:val="17"/>
                <w:color w:val="auto"/>
              </w:rPr>
              <w:t>Seismic vessels</w:t>
            </w:r>
          </w:p>
        </w:tc>
        <w:tc>
          <w:tcPr>
            <w:tcW w:w="26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4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37,813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40,008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tcBorders>
              <w:bottom w:val="single" w:sz="8" w:color="CFF0FC"/>
            </w:tcBorders>
            <w:gridSpan w:val="3"/>
          </w:tcPr>
          <w:p>
            <w:pPr>
              <w:spacing w:after="0"/>
              <w:rPr>
                <w:sz w:val="20"/>
                <w:szCs w:val="20"/>
                <w:color w:val="auto"/>
              </w:rPr>
            </w:pPr>
            <w:r>
              <w:rPr>
                <w:rFonts w:ascii="Arial" w:cs="Arial" w:eastAsia="Arial" w:hAnsi="Arial"/>
                <w:sz w:val="17"/>
                <w:szCs w:val="17"/>
                <w:color w:val="auto"/>
              </w:rPr>
              <w:t>Less: Accumulated depreciation</w:t>
            </w:r>
          </w:p>
        </w:tc>
        <w:tc>
          <w:tcPr>
            <w:tcW w:w="26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26,237</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4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3"/>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11,576</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404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estimated useful lives of Buildings &amp; improvements are primarily 25 to 30 years. The estimated useful lives of Machinery &amp; equipment are primarily 5 to 10 years. Seismic vessels are depreciated over periods ranging from 20 to 30 years.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which is recorded on a straight-line basis, was $2.3 billion, $2.7 billion and $3.2 billion in 2017, 2016 and 2015,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5" w:name="page46"/>
    <w:bookmarkEnd w:id="45"/>
    <w:p>
      <w:pPr>
        <w:ind w:left="180" w:hanging="176"/>
        <w:spacing w:after="0"/>
        <w:tabs>
          <w:tab w:leader="none" w:pos="1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Multiclient Seismic Data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carrying amount of multiclient seismic data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5"/>
          </w:tcPr>
          <w:p>
            <w:pPr>
              <w:jc w:val="center"/>
              <w:ind w:right="4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428"/>
        </w:trPr>
        <w:tc>
          <w:tcPr>
            <w:tcW w:w="180" w:type="dxa"/>
            <w:vAlign w:val="bottom"/>
            <w:tcBorders>
              <w:bottom w:val="single" w:sz="8" w:color="CFF0FC"/>
            </w:tcBorders>
          </w:tcPr>
          <w:p>
            <w:pPr>
              <w:spacing w:after="0"/>
              <w:rPr>
                <w:sz w:val="24"/>
                <w:szCs w:val="24"/>
                <w:color w:val="auto"/>
              </w:rPr>
            </w:pPr>
          </w:p>
        </w:tc>
        <w:tc>
          <w:tcPr>
            <w:tcW w:w="68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2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64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7"/>
                <w:szCs w:val="17"/>
                <w:color w:val="auto"/>
              </w:rPr>
              <w:t>2016</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Balance at beginning of year</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1,073</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73"/>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60" w:type="dxa"/>
            <w:vAlign w:val="bottom"/>
            <w:gridSpan w:val="4"/>
          </w:tcPr>
          <w:p>
            <w:pPr>
              <w:spacing w:after="0"/>
              <w:rPr>
                <w:sz w:val="20"/>
                <w:szCs w:val="20"/>
                <w:color w:val="auto"/>
              </w:rPr>
            </w:pPr>
            <w:r>
              <w:rPr>
                <w:rFonts w:ascii="Arial" w:cs="Arial" w:eastAsia="Arial" w:hAnsi="Arial"/>
                <w:sz w:val="17"/>
                <w:szCs w:val="17"/>
                <w:color w:val="auto"/>
              </w:rPr>
              <w:t>Capitalized in period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b w:val="1"/>
                <w:bCs w:val="1"/>
                <w:color w:val="auto"/>
              </w:rPr>
              <w:t>276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Charged to expense</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(377)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21"/>
        </w:trPr>
        <w:tc>
          <w:tcPr>
            <w:tcW w:w="3560" w:type="dxa"/>
            <w:vAlign w:val="bottom"/>
            <w:gridSpan w:val="4"/>
          </w:tcPr>
          <w:p>
            <w:pPr>
              <w:spacing w:after="0"/>
              <w:rPr>
                <w:sz w:val="20"/>
                <w:szCs w:val="20"/>
                <w:color w:val="auto"/>
              </w:rPr>
            </w:pPr>
            <w:r>
              <w:rPr>
                <w:rFonts w:ascii="Arial" w:cs="Arial" w:eastAsia="Arial" w:hAnsi="Arial"/>
                <w:sz w:val="17"/>
                <w:szCs w:val="17"/>
                <w:color w:val="auto"/>
              </w:rPr>
              <w:t>Impairment charge (see Note 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(245)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14"/>
        </w:trPr>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CFF0FC"/>
              <w:bottom w:val="single" w:sz="8" w:color="CFF0FC"/>
            </w:tcBorders>
            <w:shd w:val="clear" w:color="auto" w:fill="CFF0FC"/>
          </w:tcPr>
          <w:p>
            <w:pPr>
              <w:spacing w:after="0"/>
              <w:rPr>
                <w:sz w:val="18"/>
                <w:szCs w:val="18"/>
                <w:color w:val="auto"/>
              </w:rPr>
            </w:pPr>
          </w:p>
        </w:tc>
        <w:tc>
          <w:tcPr>
            <w:tcW w:w="2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6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727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1,073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8. Goodwill</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35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980" w:type="dxa"/>
            <w:vAlign w:val="bottom"/>
            <w:gridSpan w:val="10"/>
          </w:tcPr>
          <w:p>
            <w:pPr>
              <w:spacing w:after="0"/>
              <w:rPr>
                <w:sz w:val="20"/>
                <w:szCs w:val="20"/>
                <w:color w:val="auto"/>
              </w:rPr>
            </w:pPr>
            <w:r>
              <w:rPr>
                <w:rFonts w:ascii="Arial" w:cs="Arial" w:eastAsia="Arial" w:hAnsi="Arial"/>
                <w:sz w:val="17"/>
                <w:szCs w:val="17"/>
                <w:color w:val="auto"/>
                <w:w w:val="97"/>
              </w:rPr>
              <w:t>The changes in the carrying amount of goodwill by reporting unit were as follows: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5"/>
          </w:tcPr>
          <w:p>
            <w:pPr>
              <w:jc w:val="center"/>
              <w:ind w:right="4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428"/>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right"/>
              <w:ind w:right="153"/>
              <w:spacing w:after="0"/>
              <w:rPr>
                <w:sz w:val="20"/>
                <w:szCs w:val="20"/>
                <w:color w:val="auto"/>
              </w:rPr>
            </w:pPr>
            <w:r>
              <w:rPr>
                <w:rFonts w:ascii="Arial" w:cs="Arial" w:eastAsia="Arial" w:hAnsi="Arial"/>
                <w:sz w:val="17"/>
                <w:szCs w:val="17"/>
                <w:color w:val="auto"/>
              </w:rPr>
              <w:t>Reservoir</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92"/>
              </w:rPr>
              <w:t>Characterization</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Drilling</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w w:val="91"/>
              </w:rPr>
              <w:t>Production</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7"/>
                <w:szCs w:val="17"/>
                <w:color w:val="auto"/>
              </w:rPr>
              <w:t>Cameron</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color w:val="auto"/>
                <w:w w:val="89"/>
              </w:rPr>
              <w:t>Total</w:t>
            </w:r>
          </w:p>
        </w:tc>
        <w:tc>
          <w:tcPr>
            <w:tcW w:w="12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Balance, January 1, 2016</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3"/>
            <w:shd w:val="clear" w:color="auto" w:fill="CFF0FC"/>
          </w:tcPr>
          <w:p>
            <w:pPr>
              <w:ind w:left="52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3,798</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8,584</w:t>
            </w:r>
          </w:p>
        </w:tc>
        <w:tc>
          <w:tcPr>
            <w:tcW w:w="6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3,223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15,605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60" w:type="dxa"/>
            <w:vAlign w:val="bottom"/>
            <w:gridSpan w:val="4"/>
          </w:tcPr>
          <w:p>
            <w:pPr>
              <w:spacing w:after="0"/>
              <w:rPr>
                <w:sz w:val="20"/>
                <w:szCs w:val="20"/>
                <w:color w:val="auto"/>
              </w:rPr>
            </w:pPr>
            <w:r>
              <w:rPr>
                <w:rFonts w:ascii="Arial" w:cs="Arial" w:eastAsia="Arial" w:hAnsi="Arial"/>
                <w:sz w:val="17"/>
                <w:szCs w:val="17"/>
                <w:color w:val="auto"/>
              </w:rPr>
              <w:t>Acquisition of Cameron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790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7"/>
                <w:szCs w:val="17"/>
                <w:color w:val="auto"/>
              </w:rPr>
              <w:t>1,490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1,170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auto"/>
              </w:rPr>
              <w:t>5,563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9,013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Other acquisitions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4"/>
              </w:rPr>
              <w:t>24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242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60" w:type="dxa"/>
            <w:vAlign w:val="bottom"/>
            <w:gridSpan w:val="4"/>
          </w:tcPr>
          <w:p>
            <w:pPr>
              <w:spacing w:after="0"/>
              <w:rPr>
                <w:sz w:val="20"/>
                <w:szCs w:val="20"/>
                <w:color w:val="auto"/>
              </w:rPr>
            </w:pPr>
            <w:r>
              <w:rPr>
                <w:rFonts w:ascii="Arial" w:cs="Arial" w:eastAsia="Arial" w:hAnsi="Arial"/>
                <w:sz w:val="17"/>
                <w:szCs w:val="17"/>
                <w:color w:val="auto"/>
              </w:rPr>
              <w:t>Reallocation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146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7"/>
                <w:szCs w:val="17"/>
                <w:color w:val="auto"/>
              </w:rPr>
              <w:t>(146)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Impact of changes in exchange rates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4"/>
              </w:rPr>
              <w:t>16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60" w:type="dxa"/>
            <w:vAlign w:val="bottom"/>
            <w:gridSpan w:val="4"/>
          </w:tcPr>
          <w:p>
            <w:pPr>
              <w:spacing w:after="0"/>
              <w:rPr>
                <w:sz w:val="20"/>
                <w:szCs w:val="20"/>
                <w:color w:val="auto"/>
              </w:rPr>
            </w:pPr>
            <w:r>
              <w:rPr>
                <w:rFonts w:ascii="Arial" w:cs="Arial" w:eastAsia="Arial" w:hAnsi="Arial"/>
                <w:sz w:val="17"/>
                <w:szCs w:val="17"/>
                <w:color w:val="auto"/>
              </w:rPr>
              <w:t>Balance, December 31, 2016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4,820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7"/>
                <w:szCs w:val="17"/>
                <w:color w:val="auto"/>
              </w:rPr>
              <w:t>10,114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4,639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auto"/>
              </w:rPr>
              <w:t>5,417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24,990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Acquisitions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60" w:type="dxa"/>
            <w:vAlign w:val="bottom"/>
            <w:tcBorders>
              <w:bottom w:val="single" w:sz="8" w:color="CFF0FC"/>
            </w:tcBorders>
            <w:gridSpan w:val="4"/>
          </w:tcPr>
          <w:p>
            <w:pPr>
              <w:spacing w:after="0"/>
              <w:rPr>
                <w:sz w:val="20"/>
                <w:szCs w:val="20"/>
                <w:color w:val="auto"/>
              </w:rPr>
            </w:pPr>
            <w:r>
              <w:rPr>
                <w:rFonts w:ascii="Arial" w:cs="Arial" w:eastAsia="Arial" w:hAnsi="Arial"/>
                <w:sz w:val="17"/>
                <w:szCs w:val="17"/>
                <w:color w:val="auto"/>
              </w:rPr>
              <w:t>Impact of changes in exchange rates</w:t>
            </w: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9</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12</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Balance, December 31, 2017</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3"/>
            <w:shd w:val="clear" w:color="auto" w:fill="CFF0FC"/>
          </w:tcPr>
          <w:p>
            <w:pPr>
              <w:ind w:left="52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4,848</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10,126</w:t>
            </w:r>
          </w:p>
        </w:tc>
        <w:tc>
          <w:tcPr>
            <w:tcW w:w="6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4,697</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5,447</w:t>
            </w:r>
          </w:p>
        </w:tc>
        <w:tc>
          <w:tcPr>
            <w:tcW w:w="8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25,118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bottom w:val="single" w:sz="8" w:color="CFF0FC"/>
            </w:tcBorders>
            <w:gridSpan w:val="4"/>
            <w:vMerge w:val="restart"/>
          </w:tcPr>
          <w:p>
            <w:pPr>
              <w:spacing w:after="0"/>
              <w:rPr>
                <w:sz w:val="20"/>
                <w:szCs w:val="20"/>
                <w:color w:val="auto"/>
              </w:rPr>
            </w:pPr>
            <w:r>
              <w:rPr>
                <w:rFonts w:ascii="Arial" w:cs="Arial" w:eastAsia="Arial" w:hAnsi="Arial"/>
                <w:sz w:val="17"/>
                <w:szCs w:val="17"/>
                <w:b w:val="1"/>
                <w:bCs w:val="1"/>
                <w:color w:val="auto"/>
              </w:rPr>
              <w:t>9. Intangible Assets</w:t>
            </w: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5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560" w:type="dxa"/>
            <w:vAlign w:val="bottom"/>
            <w:gridSpan w:val="4"/>
          </w:tcPr>
          <w:p>
            <w:pPr>
              <w:spacing w:after="0"/>
              <w:rPr>
                <w:sz w:val="20"/>
                <w:szCs w:val="20"/>
                <w:color w:val="auto"/>
              </w:rPr>
            </w:pPr>
            <w:r>
              <w:rPr>
                <w:rFonts w:ascii="Arial" w:cs="Arial" w:eastAsia="Arial" w:hAnsi="Arial"/>
                <w:sz w:val="17"/>
                <w:szCs w:val="17"/>
                <w:color w:val="auto"/>
              </w:rPr>
              <w:t>A summary of intangible assets follows: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5"/>
          </w:tcPr>
          <w:p>
            <w:pPr>
              <w:jc w:val="center"/>
              <w:ind w:right="4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441"/>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left="133"/>
              <w:spacing w:after="0"/>
              <w:rPr>
                <w:sz w:val="20"/>
                <w:szCs w:val="20"/>
                <w:color w:val="auto"/>
              </w:rPr>
            </w:pPr>
            <w:r>
              <w:rPr>
                <w:rFonts w:ascii="Arial" w:cs="Arial" w:eastAsia="Arial" w:hAnsi="Arial"/>
                <w:sz w:val="17"/>
                <w:szCs w:val="17"/>
                <w:b w:val="1"/>
                <w:bCs w:val="1"/>
                <w:color w:val="auto"/>
                <w:w w:val="89"/>
              </w:rPr>
              <w:t>2017</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7"/>
                <w:szCs w:val="17"/>
                <w:color w:val="auto"/>
              </w:rPr>
              <w:t>2016</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253"/>
              <w:spacing w:after="0"/>
              <w:rPr>
                <w:sz w:val="20"/>
                <w:szCs w:val="20"/>
                <w:color w:val="auto"/>
              </w:rPr>
            </w:pPr>
            <w:r>
              <w:rPr>
                <w:rFonts w:ascii="Arial" w:cs="Arial" w:eastAsia="Arial" w:hAnsi="Arial"/>
                <w:sz w:val="17"/>
                <w:szCs w:val="17"/>
                <w:b w:val="1"/>
                <w:bCs w:val="1"/>
                <w:color w:val="auto"/>
              </w:rPr>
              <w:t>Gross</w:t>
            </w:r>
          </w:p>
        </w:tc>
        <w:tc>
          <w:tcPr>
            <w:tcW w:w="22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Accumulated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133"/>
              <w:spacing w:after="0"/>
              <w:rPr>
                <w:sz w:val="20"/>
                <w:szCs w:val="20"/>
                <w:color w:val="auto"/>
              </w:rPr>
            </w:pPr>
            <w:r>
              <w:rPr>
                <w:rFonts w:ascii="Arial" w:cs="Arial" w:eastAsia="Arial" w:hAnsi="Arial"/>
                <w:sz w:val="17"/>
                <w:szCs w:val="17"/>
                <w:b w:val="1"/>
                <w:bCs w:val="1"/>
                <w:color w:val="auto"/>
                <w:w w:val="96"/>
              </w:rPr>
              <w:t>Net Book</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7"/>
                <w:szCs w:val="17"/>
                <w:color w:val="auto"/>
                <w:w w:val="92"/>
              </w:rPr>
              <w:t>Gross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7"/>
          </w:tcPr>
          <w:p>
            <w:pPr>
              <w:jc w:val="right"/>
              <w:ind w:right="280"/>
              <w:spacing w:after="0"/>
              <w:rPr>
                <w:sz w:val="20"/>
                <w:szCs w:val="20"/>
                <w:color w:val="auto"/>
              </w:rPr>
            </w:pPr>
            <w:r>
              <w:rPr>
                <w:rFonts w:ascii="Arial" w:cs="Arial" w:eastAsia="Arial" w:hAnsi="Arial"/>
                <w:sz w:val="17"/>
                <w:szCs w:val="17"/>
                <w:color w:val="auto"/>
                <w:w w:val="93"/>
              </w:rPr>
              <w:t>Accumulated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7"/>
                <w:szCs w:val="17"/>
                <w:color w:val="auto"/>
                <w:w w:val="94"/>
              </w:rPr>
              <w:t>Net Book</w:t>
            </w:r>
          </w:p>
        </w:tc>
        <w:tc>
          <w:tcPr>
            <w:tcW w:w="0" w:type="dxa"/>
            <w:vAlign w:val="bottom"/>
          </w:tcPr>
          <w:p>
            <w:pPr>
              <w:spacing w:after="0"/>
              <w:rPr>
                <w:sz w:val="1"/>
                <w:szCs w:val="1"/>
                <w:color w:val="auto"/>
              </w:rPr>
            </w:pPr>
          </w:p>
        </w:tc>
      </w:tr>
      <w:tr>
        <w:trPr>
          <w:trHeight w:val="228"/>
        </w:trPr>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w w:val="92"/>
              </w:rPr>
              <w:t>Book Value</w:t>
            </w: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6"/>
              </w:rPr>
              <w:t>Amortization</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7"/>
                <w:szCs w:val="17"/>
                <w:b w:val="1"/>
                <w:bCs w:val="1"/>
                <w:color w:val="auto"/>
              </w:rPr>
              <w:t>Value</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7"/>
                <w:szCs w:val="17"/>
                <w:color w:val="auto"/>
                <w:w w:val="94"/>
              </w:rPr>
              <w:t>Book Value</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7"/>
                <w:szCs w:val="17"/>
                <w:color w:val="auto"/>
                <w:w w:val="97"/>
              </w:rPr>
              <w:t>Amortization</w:t>
            </w:r>
          </w:p>
        </w:tc>
        <w:tc>
          <w:tcPr>
            <w:tcW w:w="180" w:type="dxa"/>
            <w:vAlign w:val="bottom"/>
            <w:tcBorders>
              <w:bottom w:val="single" w:sz="8" w:color="CFF0FC"/>
            </w:tcBorders>
            <w:gridSpan w:val="2"/>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Value</w:t>
            </w:r>
          </w:p>
        </w:tc>
        <w:tc>
          <w:tcPr>
            <w:tcW w:w="12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Customer Relationships</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4,832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1,020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3,812</w:t>
            </w:r>
          </w:p>
        </w:tc>
        <w:tc>
          <w:tcPr>
            <w:tcW w:w="6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4,938</w:t>
            </w:r>
          </w:p>
        </w:tc>
        <w:tc>
          <w:tcPr>
            <w:tcW w:w="18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865</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4,073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60" w:type="dxa"/>
            <w:vAlign w:val="bottom"/>
            <w:gridSpan w:val="4"/>
          </w:tcPr>
          <w:p>
            <w:pPr>
              <w:spacing w:after="0"/>
              <w:rPr>
                <w:sz w:val="20"/>
                <w:szCs w:val="20"/>
                <w:color w:val="auto"/>
              </w:rPr>
            </w:pPr>
            <w:r>
              <w:rPr>
                <w:rFonts w:ascii="Arial" w:cs="Arial" w:eastAsia="Arial" w:hAnsi="Arial"/>
                <w:sz w:val="17"/>
                <w:szCs w:val="17"/>
                <w:color w:val="auto"/>
              </w:rPr>
              <w:t>Technology/Technical Know-How</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3,634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1,078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2,556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835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Tradenames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2,806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2,273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458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60" w:type="dxa"/>
            <w:vAlign w:val="bottom"/>
            <w:tcBorders>
              <w:bottom w:val="single" w:sz="8" w:color="CFF0FC"/>
            </w:tcBorders>
            <w:gridSpan w:val="4"/>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1,295</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582</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713</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549</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12,567</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3,213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9,354</w:t>
            </w:r>
          </w:p>
        </w:tc>
        <w:tc>
          <w:tcPr>
            <w:tcW w:w="6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12,562</w:t>
            </w:r>
          </w:p>
        </w:tc>
        <w:tc>
          <w:tcPr>
            <w:tcW w:w="18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3"/>
              </w:rPr>
              <w:t>2,707</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9,855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Customer relationships are generally amortized over periods ranging from 18 to 28 years, technology/technical know-how are generally amortized over periods ranging from 10 to 18 years, and tradenames are generally amortized over periods ranging from 15 to 30 years.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$663 million in 2017, $567 million in 2016 and $354 million in 2015.</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Based on the carrying value of intangible assets at December 31, 2017, amortization expense for the subsequent five years is estimated to be as follows: 2018: $677</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million, 2019: $673 million, 2020: $638 million, 2021: $616 million and 2022: $608 million.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ind w:left="260" w:hanging="256"/>
        <w:spacing w:after="0"/>
        <w:tabs>
          <w:tab w:leader="none" w:pos="26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Long-term Debt and Debt Facility Agreements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consists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r>
      <w:tr>
        <w:trPr>
          <w:trHeight w:val="428"/>
        </w:trPr>
        <w:tc>
          <w:tcPr>
            <w:tcW w:w="480" w:type="dxa"/>
            <w:vAlign w:val="bottom"/>
            <w:tcBorders>
              <w:bottom w:val="single" w:sz="8" w:color="CFF0FC"/>
            </w:tcBorders>
          </w:tcPr>
          <w:p>
            <w:pPr>
              <w:spacing w:after="0"/>
              <w:rPr>
                <w:sz w:val="24"/>
                <w:szCs w:val="24"/>
                <w:color w:val="auto"/>
              </w:rPr>
            </w:pPr>
          </w:p>
        </w:tc>
        <w:tc>
          <w:tcPr>
            <w:tcW w:w="4760" w:type="dxa"/>
            <w:vAlign w:val="bottom"/>
            <w:tcBorders>
              <w:bottom w:val="single" w:sz="8" w:color="CFF0FC"/>
            </w:tcBorders>
          </w:tcPr>
          <w:p>
            <w:pPr>
              <w:spacing w:after="0"/>
              <w:rPr>
                <w:sz w:val="24"/>
                <w:szCs w:val="24"/>
                <w:color w:val="auto"/>
              </w:rPr>
            </w:pPr>
          </w:p>
        </w:tc>
        <w:tc>
          <w:tcPr>
            <w:tcW w:w="2580" w:type="dxa"/>
            <w:vAlign w:val="bottom"/>
            <w:tcBorders>
              <w:bottom w:val="single" w:sz="8" w:color="CFF0F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2016</w:t>
            </w:r>
          </w:p>
        </w:tc>
        <w:tc>
          <w:tcPr>
            <w:tcW w:w="100" w:type="dxa"/>
            <w:vAlign w:val="bottom"/>
            <w:tcBorders>
              <w:bottom w:val="single" w:sz="8" w:color="CFF0FC"/>
            </w:tcBorders>
          </w:tcPr>
          <w:p>
            <w:pPr>
              <w:spacing w:after="0"/>
              <w:rPr>
                <w:sz w:val="24"/>
                <w:szCs w:val="24"/>
                <w:color w:val="auto"/>
              </w:rPr>
            </w:pPr>
          </w:p>
        </w:tc>
      </w:tr>
      <w:tr>
        <w:trPr>
          <w:trHeight w:val="214"/>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4.00%</w:t>
            </w:r>
          </w:p>
        </w:tc>
        <w:tc>
          <w:tcPr>
            <w:tcW w:w="4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Senior Notes due 2025</w:t>
            </w:r>
          </w:p>
        </w:tc>
        <w:tc>
          <w:tcPr>
            <w:tcW w:w="2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3"/>
              <w:spacing w:after="0"/>
              <w:rPr>
                <w:sz w:val="20"/>
                <w:szCs w:val="20"/>
                <w:color w:val="auto"/>
              </w:rPr>
            </w:pPr>
            <w:r>
              <w:rPr>
                <w:rFonts w:ascii="Arial" w:cs="Arial" w:eastAsia="Arial" w:hAnsi="Arial"/>
                <w:sz w:val="17"/>
                <w:szCs w:val="17"/>
                <w:b w:val="1"/>
                <w:bCs w:val="1"/>
                <w:color w:val="auto"/>
                <w:w w:val="84"/>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1,741</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1,740</w:t>
            </w:r>
          </w:p>
        </w:tc>
        <w:tc>
          <w:tcPr>
            <w:tcW w:w="100" w:type="dxa"/>
            <w:vAlign w:val="bottom"/>
            <w:shd w:val="clear" w:color="auto" w:fill="CFF0FC"/>
          </w:tcPr>
          <w:p>
            <w:pPr>
              <w:spacing w:after="0"/>
              <w:rPr>
                <w:sz w:val="18"/>
                <w:szCs w:val="18"/>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3.30%</w:t>
            </w:r>
          </w:p>
        </w:tc>
        <w:tc>
          <w:tcPr>
            <w:tcW w:w="4760" w:type="dxa"/>
            <w:vAlign w:val="bottom"/>
          </w:tcPr>
          <w:p>
            <w:pPr>
              <w:ind w:left="20"/>
              <w:spacing w:after="0"/>
              <w:rPr>
                <w:sz w:val="20"/>
                <w:szCs w:val="20"/>
                <w:color w:val="auto"/>
              </w:rPr>
            </w:pPr>
            <w:r>
              <w:rPr>
                <w:rFonts w:ascii="Arial" w:cs="Arial" w:eastAsia="Arial" w:hAnsi="Arial"/>
                <w:sz w:val="17"/>
                <w:szCs w:val="17"/>
                <w:color w:val="auto"/>
              </w:rPr>
              <w:t>Senior Notes due 2021</w:t>
            </w: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1,595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1,594</w:t>
            </w:r>
          </w:p>
        </w:tc>
        <w:tc>
          <w:tcPr>
            <w:tcW w:w="10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3.00%</w:t>
            </w:r>
          </w:p>
        </w:tc>
        <w:tc>
          <w:tcPr>
            <w:tcW w:w="4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Senior Notes due 2020</w:t>
            </w:r>
          </w:p>
        </w:tc>
        <w:tc>
          <w:tcPr>
            <w:tcW w:w="25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1,593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1,591</w:t>
            </w:r>
          </w:p>
        </w:tc>
        <w:tc>
          <w:tcPr>
            <w:tcW w:w="10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3.65%</w:t>
            </w:r>
          </w:p>
        </w:tc>
        <w:tc>
          <w:tcPr>
            <w:tcW w:w="4760" w:type="dxa"/>
            <w:vAlign w:val="bottom"/>
          </w:tcPr>
          <w:p>
            <w:pPr>
              <w:ind w:left="20"/>
              <w:spacing w:after="0"/>
              <w:rPr>
                <w:sz w:val="20"/>
                <w:szCs w:val="20"/>
                <w:color w:val="auto"/>
              </w:rPr>
            </w:pPr>
            <w:r>
              <w:rPr>
                <w:rFonts w:ascii="Arial" w:cs="Arial" w:eastAsia="Arial" w:hAnsi="Arial"/>
                <w:sz w:val="17"/>
                <w:szCs w:val="17"/>
                <w:color w:val="auto"/>
              </w:rPr>
              <w:t>Senior Notes due 2023</w:t>
            </w: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1,492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1,491</w:t>
            </w:r>
          </w:p>
        </w:tc>
        <w:tc>
          <w:tcPr>
            <w:tcW w:w="10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4.20%</w:t>
            </w:r>
          </w:p>
        </w:tc>
        <w:tc>
          <w:tcPr>
            <w:tcW w:w="4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Senior Notes due 2021</w:t>
            </w:r>
          </w:p>
        </w:tc>
        <w:tc>
          <w:tcPr>
            <w:tcW w:w="25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1,100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1,100</w:t>
            </w:r>
          </w:p>
        </w:tc>
        <w:tc>
          <w:tcPr>
            <w:tcW w:w="10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2.40%</w:t>
            </w:r>
          </w:p>
        </w:tc>
        <w:tc>
          <w:tcPr>
            <w:tcW w:w="4760" w:type="dxa"/>
            <w:vAlign w:val="bottom"/>
          </w:tcPr>
          <w:p>
            <w:pPr>
              <w:ind w:left="20"/>
              <w:spacing w:after="0"/>
              <w:rPr>
                <w:sz w:val="20"/>
                <w:szCs w:val="20"/>
                <w:color w:val="auto"/>
              </w:rPr>
            </w:pPr>
            <w:r>
              <w:rPr>
                <w:rFonts w:ascii="Arial" w:cs="Arial" w:eastAsia="Arial" w:hAnsi="Arial"/>
                <w:sz w:val="17"/>
                <w:szCs w:val="17"/>
                <w:color w:val="auto"/>
              </w:rPr>
              <w:t>Senior Notes due 2022</w:t>
            </w: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996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996</w:t>
            </w:r>
          </w:p>
        </w:tc>
        <w:tc>
          <w:tcPr>
            <w:tcW w:w="10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3.63%</w:t>
            </w:r>
          </w:p>
        </w:tc>
        <w:tc>
          <w:tcPr>
            <w:tcW w:w="4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Senior Notes due 2022</w:t>
            </w:r>
          </w:p>
        </w:tc>
        <w:tc>
          <w:tcPr>
            <w:tcW w:w="25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846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845</w:t>
            </w:r>
          </w:p>
        </w:tc>
        <w:tc>
          <w:tcPr>
            <w:tcW w:w="10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0.63%</w:t>
            </w:r>
          </w:p>
        </w:tc>
        <w:tc>
          <w:tcPr>
            <w:tcW w:w="4760" w:type="dxa"/>
            <w:vAlign w:val="bottom"/>
          </w:tcPr>
          <w:p>
            <w:pPr>
              <w:ind w:left="20"/>
              <w:spacing w:after="0"/>
              <w:rPr>
                <w:sz w:val="20"/>
                <w:szCs w:val="20"/>
                <w:color w:val="auto"/>
              </w:rPr>
            </w:pPr>
            <w:r>
              <w:rPr>
                <w:rFonts w:ascii="Arial" w:cs="Arial" w:eastAsia="Arial" w:hAnsi="Arial"/>
                <w:sz w:val="17"/>
                <w:szCs w:val="17"/>
                <w:color w:val="auto"/>
              </w:rPr>
              <w:t>Guaranteed Notes due 2019</w:t>
            </w: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712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622</w:t>
            </w:r>
          </w:p>
        </w:tc>
        <w:tc>
          <w:tcPr>
            <w:tcW w:w="10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1.50%</w:t>
            </w:r>
          </w:p>
        </w:tc>
        <w:tc>
          <w:tcPr>
            <w:tcW w:w="4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 xml:space="preserve">Guaranteed Notes due 2019 </w:t>
            </w:r>
            <w:r>
              <w:rPr>
                <w:rFonts w:ascii="Arial" w:cs="Arial" w:eastAsia="Arial" w:hAnsi="Arial"/>
                <w:sz w:val="14"/>
                <w:szCs w:val="14"/>
                <w:color w:val="auto"/>
              </w:rPr>
              <w:t>(1)</w:t>
            </w:r>
          </w:p>
        </w:tc>
        <w:tc>
          <w:tcPr>
            <w:tcW w:w="25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603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536</w:t>
            </w:r>
          </w:p>
        </w:tc>
        <w:tc>
          <w:tcPr>
            <w:tcW w:w="10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2.65%</w:t>
            </w:r>
          </w:p>
        </w:tc>
        <w:tc>
          <w:tcPr>
            <w:tcW w:w="4760" w:type="dxa"/>
            <w:vAlign w:val="bottom"/>
          </w:tcPr>
          <w:p>
            <w:pPr>
              <w:ind w:left="20"/>
              <w:spacing w:after="0"/>
              <w:rPr>
                <w:sz w:val="20"/>
                <w:szCs w:val="20"/>
                <w:color w:val="auto"/>
              </w:rPr>
            </w:pPr>
            <w:r>
              <w:rPr>
                <w:rFonts w:ascii="Arial" w:cs="Arial" w:eastAsia="Arial" w:hAnsi="Arial"/>
                <w:sz w:val="17"/>
                <w:szCs w:val="17"/>
                <w:color w:val="auto"/>
              </w:rPr>
              <w:t>Senior Notes due 2022</w:t>
            </w: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598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2.20%</w:t>
            </w:r>
          </w:p>
        </w:tc>
        <w:tc>
          <w:tcPr>
            <w:tcW w:w="4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Senior Notes due 2020</w:t>
            </w:r>
          </w:p>
        </w:tc>
        <w:tc>
          <w:tcPr>
            <w:tcW w:w="25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498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7.00%</w:t>
            </w:r>
          </w:p>
        </w:tc>
        <w:tc>
          <w:tcPr>
            <w:tcW w:w="4760" w:type="dxa"/>
            <w:vAlign w:val="bottom"/>
          </w:tcPr>
          <w:p>
            <w:pPr>
              <w:ind w:left="20"/>
              <w:spacing w:after="0"/>
              <w:rPr>
                <w:sz w:val="20"/>
                <w:szCs w:val="20"/>
                <w:color w:val="auto"/>
              </w:rPr>
            </w:pPr>
            <w:r>
              <w:rPr>
                <w:rFonts w:ascii="Arial" w:cs="Arial" w:eastAsia="Arial" w:hAnsi="Arial"/>
                <w:sz w:val="17"/>
                <w:szCs w:val="17"/>
                <w:color w:val="auto"/>
              </w:rPr>
              <w:t xml:space="preserve">Notes due 2038 </w:t>
            </w:r>
            <w:r>
              <w:rPr>
                <w:rFonts w:ascii="Arial" w:cs="Arial" w:eastAsia="Arial" w:hAnsi="Arial"/>
                <w:sz w:val="14"/>
                <w:szCs w:val="14"/>
                <w:color w:val="auto"/>
              </w:rPr>
              <w:t>(2)</w:t>
            </w: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212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4.50%</w:t>
            </w:r>
          </w:p>
        </w:tc>
        <w:tc>
          <w:tcPr>
            <w:tcW w:w="4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 xml:space="preserve">Notes due 2021 </w:t>
            </w:r>
            <w:r>
              <w:rPr>
                <w:rFonts w:ascii="Arial" w:cs="Arial" w:eastAsia="Arial" w:hAnsi="Arial"/>
                <w:sz w:val="14"/>
                <w:szCs w:val="14"/>
                <w:color w:val="auto"/>
              </w:rPr>
              <w:t>(2)</w:t>
            </w:r>
          </w:p>
        </w:tc>
        <w:tc>
          <w:tcPr>
            <w:tcW w:w="25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5.95%</w:t>
            </w:r>
          </w:p>
        </w:tc>
        <w:tc>
          <w:tcPr>
            <w:tcW w:w="4760" w:type="dxa"/>
            <w:vAlign w:val="bottom"/>
          </w:tcPr>
          <w:p>
            <w:pPr>
              <w:ind w:left="20"/>
              <w:spacing w:after="0"/>
              <w:rPr>
                <w:sz w:val="20"/>
                <w:szCs w:val="20"/>
                <w:color w:val="auto"/>
              </w:rPr>
            </w:pPr>
            <w:r>
              <w:rPr>
                <w:rFonts w:ascii="Arial" w:cs="Arial" w:eastAsia="Arial" w:hAnsi="Arial"/>
                <w:sz w:val="17"/>
                <w:szCs w:val="17"/>
                <w:color w:val="auto"/>
              </w:rPr>
              <w:t xml:space="preserve">Notes due 2041 </w:t>
            </w:r>
            <w:r>
              <w:rPr>
                <w:rFonts w:ascii="Arial" w:cs="Arial" w:eastAsia="Arial" w:hAnsi="Arial"/>
                <w:sz w:val="14"/>
                <w:szCs w:val="14"/>
                <w:color w:val="auto"/>
              </w:rPr>
              <w:t>(2)</w:t>
            </w: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115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3.60%</w:t>
            </w:r>
          </w:p>
        </w:tc>
        <w:tc>
          <w:tcPr>
            <w:tcW w:w="4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 xml:space="preserve">Notes due 2022 </w:t>
            </w:r>
            <w:r>
              <w:rPr>
                <w:rFonts w:ascii="Arial" w:cs="Arial" w:eastAsia="Arial" w:hAnsi="Arial"/>
                <w:sz w:val="14"/>
                <w:szCs w:val="14"/>
                <w:color w:val="auto"/>
              </w:rPr>
              <w:t>(2)</w:t>
            </w:r>
          </w:p>
        </w:tc>
        <w:tc>
          <w:tcPr>
            <w:tcW w:w="25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5.13%</w:t>
            </w:r>
          </w:p>
        </w:tc>
        <w:tc>
          <w:tcPr>
            <w:tcW w:w="4760" w:type="dxa"/>
            <w:vAlign w:val="bottom"/>
          </w:tcPr>
          <w:p>
            <w:pPr>
              <w:ind w:left="20"/>
              <w:spacing w:after="0"/>
              <w:rPr>
                <w:sz w:val="20"/>
                <w:szCs w:val="20"/>
                <w:color w:val="auto"/>
              </w:rPr>
            </w:pPr>
            <w:r>
              <w:rPr>
                <w:rFonts w:ascii="Arial" w:cs="Arial" w:eastAsia="Arial" w:hAnsi="Arial"/>
                <w:sz w:val="17"/>
                <w:szCs w:val="17"/>
                <w:color w:val="auto"/>
              </w:rPr>
              <w:t xml:space="preserve">Notes due 2043 </w:t>
            </w:r>
            <w:r>
              <w:rPr>
                <w:rFonts w:ascii="Arial" w:cs="Arial" w:eastAsia="Arial" w:hAnsi="Arial"/>
                <w:sz w:val="14"/>
                <w:szCs w:val="14"/>
                <w:color w:val="auto"/>
              </w:rPr>
              <w:t>(2)</w:t>
            </w: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99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4.00%</w:t>
            </w:r>
          </w:p>
        </w:tc>
        <w:tc>
          <w:tcPr>
            <w:tcW w:w="4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 xml:space="preserve">Notes due 2023 </w:t>
            </w:r>
            <w:r>
              <w:rPr>
                <w:rFonts w:ascii="Arial" w:cs="Arial" w:eastAsia="Arial" w:hAnsi="Arial"/>
                <w:sz w:val="14"/>
                <w:szCs w:val="14"/>
                <w:color w:val="auto"/>
              </w:rPr>
              <w:t>(2)</w:t>
            </w:r>
          </w:p>
        </w:tc>
        <w:tc>
          <w:tcPr>
            <w:tcW w:w="25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3.70%</w:t>
            </w:r>
          </w:p>
        </w:tc>
        <w:tc>
          <w:tcPr>
            <w:tcW w:w="4760" w:type="dxa"/>
            <w:vAlign w:val="bottom"/>
          </w:tcPr>
          <w:p>
            <w:pPr>
              <w:ind w:left="20"/>
              <w:spacing w:after="0"/>
              <w:rPr>
                <w:sz w:val="20"/>
                <w:szCs w:val="20"/>
                <w:color w:val="auto"/>
              </w:rPr>
            </w:pPr>
            <w:r>
              <w:rPr>
                <w:rFonts w:ascii="Arial" w:cs="Arial" w:eastAsia="Arial" w:hAnsi="Arial"/>
                <w:sz w:val="17"/>
                <w:szCs w:val="17"/>
                <w:color w:val="auto"/>
              </w:rPr>
              <w:t xml:space="preserve">Notes due 2024 </w:t>
            </w:r>
            <w:r>
              <w:rPr>
                <w:rFonts w:ascii="Arial" w:cs="Arial" w:eastAsia="Arial" w:hAnsi="Arial"/>
                <w:sz w:val="14"/>
                <w:szCs w:val="14"/>
                <w:color w:val="auto"/>
              </w:rPr>
              <w:t>(2)</w:t>
            </w: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56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r>
      <w:tr>
        <w:trPr>
          <w:trHeight w:val="221"/>
        </w:trPr>
        <w:tc>
          <w:tcPr>
            <w:tcW w:w="480" w:type="dxa"/>
            <w:vAlign w:val="bottom"/>
            <w:shd w:val="clear" w:color="auto" w:fill="CFF0FC"/>
          </w:tcPr>
          <w:p>
            <w:pPr>
              <w:spacing w:after="0"/>
              <w:rPr>
                <w:sz w:val="20"/>
                <w:szCs w:val="20"/>
                <w:color w:val="auto"/>
              </w:rPr>
            </w:pPr>
            <w:r>
              <w:rPr>
                <w:rFonts w:ascii="Arial" w:cs="Arial" w:eastAsia="Arial" w:hAnsi="Arial"/>
                <w:sz w:val="17"/>
                <w:szCs w:val="17"/>
                <w:color w:val="auto"/>
                <w:w w:val="95"/>
              </w:rPr>
              <w:t>2.35%</w:t>
            </w:r>
          </w:p>
        </w:tc>
        <w:tc>
          <w:tcPr>
            <w:tcW w:w="4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Senior Notes due 2018</w:t>
            </w:r>
          </w:p>
        </w:tc>
        <w:tc>
          <w:tcPr>
            <w:tcW w:w="25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1,297</w:t>
            </w:r>
          </w:p>
        </w:tc>
        <w:tc>
          <w:tcPr>
            <w:tcW w:w="100" w:type="dxa"/>
            <w:vAlign w:val="bottom"/>
            <w:shd w:val="clear" w:color="auto" w:fill="CFF0FC"/>
          </w:tcPr>
          <w:p>
            <w:pPr>
              <w:spacing w:after="0"/>
              <w:rPr>
                <w:sz w:val="19"/>
                <w:szCs w:val="19"/>
                <w:color w:val="auto"/>
              </w:rPr>
            </w:pPr>
          </w:p>
        </w:tc>
      </w:tr>
      <w:tr>
        <w:trPr>
          <w:trHeight w:val="221"/>
        </w:trPr>
        <w:tc>
          <w:tcPr>
            <w:tcW w:w="480" w:type="dxa"/>
            <w:vAlign w:val="bottom"/>
          </w:tcPr>
          <w:p>
            <w:pPr>
              <w:spacing w:after="0"/>
              <w:rPr>
                <w:sz w:val="20"/>
                <w:szCs w:val="20"/>
                <w:color w:val="auto"/>
              </w:rPr>
            </w:pPr>
            <w:r>
              <w:rPr>
                <w:rFonts w:ascii="Arial" w:cs="Arial" w:eastAsia="Arial" w:hAnsi="Arial"/>
                <w:sz w:val="17"/>
                <w:szCs w:val="17"/>
                <w:color w:val="auto"/>
                <w:w w:val="95"/>
              </w:rPr>
              <w:t>6.38%</w:t>
            </w:r>
          </w:p>
        </w:tc>
        <w:tc>
          <w:tcPr>
            <w:tcW w:w="4760" w:type="dxa"/>
            <w:vAlign w:val="bottom"/>
          </w:tcPr>
          <w:p>
            <w:pPr>
              <w:ind w:left="20"/>
              <w:spacing w:after="0"/>
              <w:rPr>
                <w:sz w:val="20"/>
                <w:szCs w:val="20"/>
                <w:color w:val="auto"/>
              </w:rPr>
            </w:pPr>
            <w:r>
              <w:rPr>
                <w:rFonts w:ascii="Arial" w:cs="Arial" w:eastAsia="Arial" w:hAnsi="Arial"/>
                <w:sz w:val="17"/>
                <w:szCs w:val="17"/>
                <w:color w:val="auto"/>
              </w:rPr>
              <w:t xml:space="preserve">Notes due 2018 </w:t>
            </w:r>
            <w:r>
              <w:rPr>
                <w:rFonts w:ascii="Arial" w:cs="Arial" w:eastAsia="Arial" w:hAnsi="Arial"/>
                <w:sz w:val="14"/>
                <w:szCs w:val="14"/>
                <w:color w:val="auto"/>
              </w:rPr>
              <w:t>(2)</w:t>
            </w:r>
          </w:p>
        </w:tc>
        <w:tc>
          <w:tcPr>
            <w:tcW w:w="2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9"/>
                <w:szCs w:val="19"/>
                <w:color w:val="auto"/>
              </w:rPr>
            </w:pPr>
          </w:p>
        </w:tc>
      </w:tr>
      <w:tr>
        <w:trPr>
          <w:trHeight w:val="221"/>
        </w:trPr>
        <w:tc>
          <w:tcPr>
            <w:tcW w:w="52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Commercial paper borrowings</w:t>
            </w:r>
          </w:p>
        </w:tc>
        <w:tc>
          <w:tcPr>
            <w:tcW w:w="25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1,694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2,421</w:t>
            </w:r>
          </w:p>
        </w:tc>
        <w:tc>
          <w:tcPr>
            <w:tcW w:w="100" w:type="dxa"/>
            <w:vAlign w:val="bottom"/>
            <w:shd w:val="clear" w:color="auto" w:fill="CFF0FC"/>
          </w:tcPr>
          <w:p>
            <w:pPr>
              <w:spacing w:after="0"/>
              <w:rPr>
                <w:sz w:val="19"/>
                <w:szCs w:val="19"/>
                <w:color w:val="auto"/>
              </w:rPr>
            </w:pPr>
          </w:p>
        </w:tc>
      </w:tr>
      <w:tr>
        <w:trPr>
          <w:trHeight w:val="221"/>
        </w:trPr>
        <w:tc>
          <w:tcPr>
            <w:tcW w:w="4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4760" w:type="dxa"/>
            <w:vAlign w:val="bottom"/>
            <w:tcBorders>
              <w:bottom w:val="single" w:sz="8" w:color="CFF0FC"/>
            </w:tcBorders>
          </w:tcPr>
          <w:p>
            <w:pPr>
              <w:spacing w:after="0"/>
              <w:rPr>
                <w:sz w:val="19"/>
                <w:szCs w:val="19"/>
                <w:color w:val="auto"/>
              </w:rPr>
            </w:pPr>
          </w:p>
        </w:tc>
        <w:tc>
          <w:tcPr>
            <w:tcW w:w="25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1,118</w:t>
            </w:r>
          </w:p>
        </w:tc>
        <w:tc>
          <w:tcPr>
            <w:tcW w:w="100" w:type="dxa"/>
            <w:vAlign w:val="bottom"/>
            <w:tcBorders>
              <w:bottom w:val="single" w:sz="8" w:color="CFF0FC"/>
            </w:tcBorders>
          </w:tcPr>
          <w:p>
            <w:pPr>
              <w:spacing w:after="0"/>
              <w:rPr>
                <w:sz w:val="19"/>
                <w:szCs w:val="19"/>
                <w:color w:val="auto"/>
              </w:rPr>
            </w:pPr>
          </w:p>
        </w:tc>
      </w:tr>
      <w:tr>
        <w:trPr>
          <w:trHeight w:val="214"/>
        </w:trPr>
        <w:tc>
          <w:tcPr>
            <w:tcW w:w="480" w:type="dxa"/>
            <w:vAlign w:val="bottom"/>
            <w:shd w:val="clear" w:color="auto" w:fill="CFF0FC"/>
          </w:tcPr>
          <w:p>
            <w:pPr>
              <w:spacing w:after="0"/>
              <w:rPr>
                <w:sz w:val="18"/>
                <w:szCs w:val="18"/>
                <w:color w:val="auto"/>
              </w:rPr>
            </w:pPr>
          </w:p>
        </w:tc>
        <w:tc>
          <w:tcPr>
            <w:tcW w:w="4760" w:type="dxa"/>
            <w:vAlign w:val="bottom"/>
            <w:shd w:val="clear" w:color="auto" w:fill="CFF0FC"/>
          </w:tcPr>
          <w:p>
            <w:pPr>
              <w:spacing w:after="0"/>
              <w:rPr>
                <w:sz w:val="18"/>
                <w:szCs w:val="18"/>
                <w:color w:val="auto"/>
              </w:rPr>
            </w:pPr>
          </w:p>
        </w:tc>
        <w:tc>
          <w:tcPr>
            <w:tcW w:w="2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3"/>
              <w:spacing w:after="0"/>
              <w:rPr>
                <w:sz w:val="20"/>
                <w:szCs w:val="20"/>
                <w:color w:val="auto"/>
              </w:rPr>
            </w:pPr>
            <w:r>
              <w:rPr>
                <w:rFonts w:ascii="Arial" w:cs="Arial" w:eastAsia="Arial" w:hAnsi="Arial"/>
                <w:sz w:val="17"/>
                <w:szCs w:val="17"/>
                <w:b w:val="1"/>
                <w:bCs w:val="1"/>
                <w:color w:val="auto"/>
                <w:w w:val="84"/>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14,875</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16,463</w:t>
            </w:r>
          </w:p>
        </w:tc>
        <w:tc>
          <w:tcPr>
            <w:tcW w:w="100" w:type="dxa"/>
            <w:vAlign w:val="bottom"/>
            <w:shd w:val="clear" w:color="auto" w:fill="CFF0FC"/>
          </w:tcPr>
          <w:p>
            <w:pPr>
              <w:spacing w:after="0"/>
              <w:rPr>
                <w:sz w:val="18"/>
                <w:szCs w:val="18"/>
                <w:color w:val="auto"/>
              </w:rPr>
            </w:pPr>
          </w:p>
        </w:tc>
      </w:tr>
      <w:tr>
        <w:trPr>
          <w:trHeight w:val="20"/>
        </w:trPr>
        <w:tc>
          <w:tcPr>
            <w:tcW w:w="480" w:type="dxa"/>
            <w:vAlign w:val="bottom"/>
            <w:tcBorders>
              <w:top w:val="single" w:sz="8" w:color="CFF0FC"/>
            </w:tcBorders>
          </w:tcPr>
          <w:p>
            <w:pPr>
              <w:spacing w:after="0" w:line="20" w:lineRule="exact"/>
              <w:rPr>
                <w:sz w:val="1"/>
                <w:szCs w:val="1"/>
                <w:color w:val="auto"/>
              </w:rPr>
            </w:pPr>
          </w:p>
        </w:tc>
        <w:tc>
          <w:tcPr>
            <w:tcW w:w="4760" w:type="dxa"/>
            <w:vAlign w:val="bottom"/>
            <w:tcBorders>
              <w:top w:val="single" w:sz="8" w:color="CFF0FC"/>
            </w:tcBorders>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1" w:lineRule="exact"/>
        <w:rPr>
          <w:sz w:val="20"/>
          <w:szCs w:val="20"/>
          <w:color w:val="auto"/>
        </w:rPr>
      </w:pPr>
    </w:p>
    <w:p>
      <w:pPr>
        <w:ind w:left="280" w:hanging="226"/>
        <w:spacing w:after="0" w:line="205" w:lineRule="auto"/>
        <w:tabs>
          <w:tab w:leader="none" w:pos="285" w:val="left"/>
        </w:tabs>
        <w:numPr>
          <w:ilvl w:val="0"/>
          <w:numId w:val="39"/>
        </w:numPr>
        <w:rPr>
          <w:rFonts w:ascii="Arial" w:cs="Arial" w:eastAsia="Arial" w:hAnsi="Arial"/>
          <w:sz w:val="25"/>
          <w:szCs w:val="25"/>
          <w:color w:val="auto"/>
          <w:vertAlign w:val="superscript"/>
        </w:rPr>
      </w:pPr>
      <w:r>
        <w:rPr>
          <w:rFonts w:ascii="Arial" w:cs="Arial" w:eastAsia="Arial" w:hAnsi="Arial"/>
          <w:sz w:val="15"/>
          <w:szCs w:val="15"/>
          <w:color w:val="auto"/>
        </w:rPr>
        <w:t>Schlumberger maintains a €5.0 billion Guaranteed Euro Medium Term Note program that provides for the issuance of various types of debt instruments such as fixed or floating rate notes in euro, US dollar or other currencies. Schlumberger issued €0.5 billion 1.50% Guaranteed Notes due 2019 under this program in 2013.</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22"/>
          <w:szCs w:val="22"/>
          <w:color w:val="auto"/>
          <w:vertAlign w:val="superscript"/>
        </w:rPr>
        <w:t>(2</w:t>
      </w:r>
      <w:r>
        <w:rPr>
          <w:rFonts w:ascii="Arial" w:cs="Arial" w:eastAsia="Arial" w:hAnsi="Arial"/>
          <w:sz w:val="23"/>
          <w:szCs w:val="23"/>
          <w:color w:val="auto"/>
          <w:vertAlign w:val="superscript"/>
        </w:rPr>
        <w:t>)</w:t>
      </w:r>
      <w:r>
        <w:rPr>
          <w:rFonts w:ascii="Arial" w:cs="Arial" w:eastAsia="Arial" w:hAnsi="Arial"/>
          <w:sz w:val="14"/>
          <w:szCs w:val="14"/>
          <w:color w:val="auto"/>
        </w:rPr>
        <w:t xml:space="preserve"> Represents long-term fixed rate debt obligations assumed in connection with the acquisition of Cameron, net of amounts repurchased subsequent to the closing of the transaction.</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Schlumberger Limited fully and unconditionally guarantees the securities issued by certain of its subsidiaries, including securities issued by Schlumberger Investment SA, a wholly-owned finance subsidiary of Schlumberger.</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At December 31, 2017, Schlumberger had separate committed credit facility agreements aggregating $6.6 billion with commercial banks, of which $3.6 billion was available and unused. This included $6.3 billion of committed facilities which support commercial paper programs in the United States and Europe, of which $1.0 billion matures in February 2018, $1.8 billion matures in July 2018, $1.5 billion matures in November 2020, and $2.0 billion matures in February 2021. Interest rates and other terms of borrowing under these lines of credit vary from country to country.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Commercial paper borrowings are classified as long-term debt to the extent they are backed up by available and unused committed credit facilities maturing in more than one year and to the extent it is Schlumberger’s intent to maintain these obligations for longer than one year. Borrowings under the commercial paper program at December 31, 2017 were $3.0 billion, of which $1.7 billion was classified within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and $1.3 billion was classified in </w:t>
      </w:r>
      <w:r>
        <w:rPr>
          <w:rFonts w:ascii="Arial" w:cs="Arial" w:eastAsia="Arial" w:hAnsi="Arial"/>
          <w:sz w:val="17"/>
          <w:szCs w:val="17"/>
          <w:i w:val="1"/>
          <w:iCs w:val="1"/>
          <w:color w:val="auto"/>
        </w:rPr>
        <w:t>Short-term borrowings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current portion of long-term debt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Balance Sheet</w:t>
      </w:r>
      <w:r>
        <w:rPr>
          <w:rFonts w:ascii="Arial" w:cs="Arial" w:eastAsia="Arial" w:hAnsi="Arial"/>
          <w:sz w:val="17"/>
          <w:szCs w:val="17"/>
          <w:color w:val="auto"/>
        </w:rPr>
        <w:t>. At December 31, 2016, borrowings under the commercial paper program were $2.6 billion,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$2.4 billion was classified within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and $0.2 billion was classified in </w:t>
      </w:r>
      <w:r>
        <w:rPr>
          <w:rFonts w:ascii="Arial" w:cs="Arial" w:eastAsia="Arial" w:hAnsi="Arial"/>
          <w:sz w:val="17"/>
          <w:szCs w:val="17"/>
          <w:i w:val="1"/>
          <w:iCs w:val="1"/>
          <w:color w:val="auto"/>
        </w:rPr>
        <w:t>Short-term borrowings and current portion of long-term debt</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interest rate on variable rate debt as of December 31, 2017 was 2.3%.</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as of December 31, 2017 is due as follows: $1.5 billion in 2019, $2.8 billion in 2020, $4.3 billion in 2021, $2.6 billion in 2022, $1.6 billion in 2023,</w:t>
      </w:r>
      <w:r>
        <w:rPr>
          <w:rFonts w:ascii="Arial" w:cs="Arial" w:eastAsia="Arial" w:hAnsi="Arial"/>
          <w:sz w:val="17"/>
          <w:szCs w:val="17"/>
          <w:i w:val="1"/>
          <w:iCs w:val="1"/>
          <w:color w:val="auto"/>
        </w:rPr>
        <w:t xml:space="preserve"> </w:t>
      </w:r>
      <w:r>
        <w:rPr>
          <w:rFonts w:ascii="Arial" w:cs="Arial" w:eastAsia="Arial" w:hAnsi="Arial"/>
          <w:sz w:val="17"/>
          <w:szCs w:val="17"/>
          <w:color w:val="auto"/>
        </w:rPr>
        <w:t>$1.7 billion in 2025 and $0.4 billion thereafter.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line="285" w:lineRule="auto"/>
        <w:rPr>
          <w:sz w:val="20"/>
          <w:szCs w:val="20"/>
          <w:color w:val="auto"/>
        </w:rPr>
      </w:pPr>
      <w:r>
        <w:rPr>
          <w:rFonts w:ascii="Arial" w:cs="Arial" w:eastAsia="Arial" w:hAnsi="Arial"/>
          <w:sz w:val="17"/>
          <w:szCs w:val="17"/>
          <w:color w:val="auto"/>
        </w:rPr>
        <w:t xml:space="preserve">The fair value of Schlumberger’s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at December 31, 2017 and December 31, 2016 was $15.2 billion and $16.8 billion, respectively, and was estimated based on quoted market prices.</w:t>
      </w:r>
    </w:p>
    <w:p>
      <w:pPr>
        <w:spacing w:after="0" w:line="257" w:lineRule="exact"/>
        <w:rPr>
          <w:sz w:val="20"/>
          <w:szCs w:val="20"/>
          <w:color w:val="auto"/>
        </w:rPr>
      </w:pPr>
    </w:p>
    <w:p>
      <w:pPr>
        <w:ind w:left="260" w:hanging="256"/>
        <w:spacing w:after="0"/>
        <w:tabs>
          <w:tab w:leader="none" w:pos="2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Derivative Instruments and Hedging Activities</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Schlumberger is exposed to market risks related to fluctuations in interest rates and foreign currency exchange rates. To mitigate these risks, Schlumberger utilizes derivative instruments. Schlumberger does not enter into derivative transactions for speculative purposes.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16" w:lineRule="exact"/>
        <w:rPr>
          <w:sz w:val="20"/>
          <w:szCs w:val="20"/>
          <w:color w:val="auto"/>
        </w:rPr>
      </w:pPr>
    </w:p>
    <w:p>
      <w:pPr>
        <w:jc w:val="both"/>
        <w:spacing w:after="0" w:line="355" w:lineRule="auto"/>
        <w:rPr>
          <w:sz w:val="20"/>
          <w:szCs w:val="20"/>
          <w:color w:val="auto"/>
        </w:rPr>
      </w:pPr>
      <w:r>
        <w:rPr>
          <w:rFonts w:ascii="Arial" w:cs="Arial" w:eastAsia="Arial" w:hAnsi="Arial"/>
          <w:sz w:val="15"/>
          <w:szCs w:val="15"/>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2013, Schlumberger entered into a cross-currency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2017, a Canadian dollar functional currency subsidiary of Schlumberger issued $1.1 billion of US dollar denominated debt. Schlumberger entered into cross-currency swaps for an aggregate notional amount of $1.1 billion in order to hedge changes in the fair value of its $0.5 billion 2.20% Senior Notes due 2020 and its $0.6 billion 2.65% Senior Notes due 2022. These cross-currency swaps effectively convert the US dollar notes to Canadian dollar denominated debt with fixed annual interest rates of 1.97% and 2.52%, respectively.</w:t>
      </w:r>
    </w:p>
    <w:p>
      <w:pPr>
        <w:spacing w:after="0" w:line="176"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These cross-currency swaps are designated as a fair value hedges of the underlying debt. These derivative instruments are marked to market with gains and losses recognized currently in income to largely offset the respective gains and losses recognized on changes in the fair value of the hedged debt.</w:t>
      </w:r>
    </w:p>
    <w:p>
      <w:pPr>
        <w:spacing w:after="0" w:line="13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At December 31, 2017, Schlumberger had fixed rate debt aggregating $13.6 billion and variable rate debt aggregating $4.6 billion, after taking into account the effect of interest rate swaps.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Short-term investments </w:t>
      </w:r>
      <w:r>
        <w:rPr>
          <w:rFonts w:ascii="Arial" w:cs="Arial" w:eastAsia="Arial" w:hAnsi="Arial"/>
          <w:sz w:val="17"/>
          <w:szCs w:val="17"/>
          <w:color w:val="auto"/>
        </w:rPr>
        <w:t>were $3.3 billion at December 31, 2017. The carrying value of these investments approximated fair value.</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Rate Risk</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a multinational company, Schlumberger conducts its business in over 85 countries. Schlumberger’s functional currency is primarily the US dollar. Approximately 78% of Schlumberger’s revenues in 2017 was denominated in US dollars.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denominated in currencies other than the functional currency. Schlumberger uses foreign currency forward contracts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7"/>
          <w:szCs w:val="17"/>
          <w:i w:val="1"/>
          <w:iCs w:val="1"/>
          <w:color w:val="auto"/>
        </w:rPr>
        <w:t xml:space="preserve">Consolidated 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 reclassified into</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in the same period or periods that the hedged item is recognized in earnings. The ineffective portion of changes in the fair value of hedging instruments, if any, is recorded directly to earnings.</w:t>
      </w:r>
    </w:p>
    <w:p>
      <w:pPr>
        <w:spacing w:after="0" w:line="181"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 xml:space="preserve">At December 31, 2017, Schlumberger recognized a cumulative net $3 million gain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relating to revaluation of foreign currency forward contracts designated as cash flow hedges, the majority of which is expected to be reclassified into earnings within the next 12 months.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Schlumberger is exposed to changes in the fair value of assets and liabilities denominated in currencies other than the functional currency. While Schlumberger uses foreign currency forward contracts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changes in the fair value are recognized in the </w:t>
      </w:r>
      <w:r>
        <w:rPr>
          <w:rFonts w:ascii="Arial" w:cs="Arial" w:eastAsia="Arial" w:hAnsi="Arial"/>
          <w:sz w:val="17"/>
          <w:szCs w:val="17"/>
          <w:i w:val="1"/>
          <w:iCs w:val="1"/>
          <w:color w:val="auto"/>
        </w:rPr>
        <w:t xml:space="preserve">Consolidated Statement of Income, </w:t>
      </w:r>
      <w:r>
        <w:rPr>
          <w:rFonts w:ascii="Arial" w:cs="Arial" w:eastAsia="Arial" w:hAnsi="Arial"/>
          <w:sz w:val="17"/>
          <w:szCs w:val="17"/>
          <w:color w:val="auto"/>
        </w:rPr>
        <w:t>as are changes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8" w:name="page49"/>
    <w:bookmarkEnd w:id="48"/>
    <w:p>
      <w:pPr>
        <w:jc w:val="both"/>
        <w:spacing w:after="0" w:line="270" w:lineRule="auto"/>
        <w:rPr>
          <w:sz w:val="20"/>
          <w:szCs w:val="20"/>
          <w:color w:val="auto"/>
        </w:rPr>
      </w:pPr>
      <w:r>
        <w:rPr>
          <w:rFonts w:ascii="Arial" w:cs="Arial" w:eastAsia="Arial" w:hAnsi="Arial"/>
          <w:sz w:val="17"/>
          <w:szCs w:val="17"/>
          <w:color w:val="auto"/>
        </w:rPr>
        <w:t xml:space="preserve">in the fair value of the hedged item. Transaction losses of $57 million, $93 million and $76 million, net of related hedging activities, were recognized in the </w:t>
      </w:r>
      <w:r>
        <w:rPr>
          <w:rFonts w:ascii="Arial" w:cs="Arial" w:eastAsia="Arial" w:hAnsi="Arial"/>
          <w:sz w:val="17"/>
          <w:szCs w:val="17"/>
          <w:i w:val="1"/>
          <w:iCs w:val="1"/>
          <w:color w:val="auto"/>
        </w:rPr>
        <w:t xml:space="preserve">Consolidated Statement of Income (Loss) </w:t>
      </w:r>
      <w:r>
        <w:rPr>
          <w:rFonts w:ascii="Arial" w:cs="Arial" w:eastAsia="Arial" w:hAnsi="Arial"/>
          <w:sz w:val="17"/>
          <w:szCs w:val="17"/>
          <w:color w:val="auto"/>
        </w:rPr>
        <w:t>in 2017, 2016 and 2015, respectively. Included in these amounts are $63 million of losses relating to Egypt in 2016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$49 million of losses relating to Venezuela in 2015. See Note 3 - </w:t>
      </w:r>
      <w:r>
        <w:rPr>
          <w:rFonts w:ascii="Arial" w:cs="Arial" w:eastAsia="Arial" w:hAnsi="Arial"/>
          <w:sz w:val="17"/>
          <w:szCs w:val="17"/>
          <w:i w:val="1"/>
          <w:iCs w:val="1"/>
          <w:color w:val="auto"/>
        </w:rPr>
        <w:t>Charges and Credits</w:t>
      </w:r>
      <w:r>
        <w:rPr>
          <w:rFonts w:ascii="Arial" w:cs="Arial" w:eastAsia="Arial" w:hAnsi="Arial"/>
          <w:sz w:val="17"/>
          <w:szCs w:val="17"/>
          <w:color w:val="auto"/>
        </w:rPr>
        <w:t xml:space="preserve"> for further details.</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At December 31, 2017, contracts were outstanding for the US dollar equivalent of $5.0 billion in various foreign currencies, of which $1.8 billion relates to hedges of debt denominated in currencies other than the functional currency.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outstanding derivatives was not material at December 31, 2017 and 2016.</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The effect of derivative instruments designated as fair value hedges and those not designated as hedges on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 xml:space="preserve">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w w:val="95"/>
              </w:rPr>
              <w:t>(Stated in millions)</w:t>
            </w: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9"/>
        </w:trPr>
        <w:tc>
          <w:tcPr>
            <w:tcW w:w="57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w w:val="87"/>
              </w:rPr>
              <w:t>Gain (Loss) Recognized in Income</w:t>
            </w: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color w:val="auto"/>
                <w:w w:val="94"/>
              </w:rPr>
              <w:t>Consolidated Statement</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ind w:left="40"/>
              <w:spacing w:after="0"/>
              <w:rPr>
                <w:sz w:val="20"/>
                <w:szCs w:val="20"/>
                <w:color w:val="auto"/>
              </w:rPr>
            </w:pPr>
            <w:r>
              <w:rPr>
                <w:rFonts w:ascii="Arial" w:cs="Arial" w:eastAsia="Arial" w:hAnsi="Arial"/>
                <w:sz w:val="16"/>
                <w:szCs w:val="16"/>
                <w:color w:val="auto"/>
              </w:rPr>
              <w:t>of Income (Loss)</w:t>
            </w:r>
          </w:p>
        </w:tc>
        <w:tc>
          <w:tcPr>
            <w:tcW w:w="0" w:type="dxa"/>
            <w:vAlign w:val="bottom"/>
          </w:tcPr>
          <w:p>
            <w:pPr>
              <w:spacing w:after="0"/>
              <w:rPr>
                <w:sz w:val="1"/>
                <w:szCs w:val="1"/>
                <w:color w:val="auto"/>
              </w:rPr>
            </w:pPr>
          </w:p>
        </w:tc>
      </w:tr>
      <w:tr>
        <w:trPr>
          <w:trHeight w:val="202"/>
        </w:trPr>
        <w:tc>
          <w:tcPr>
            <w:tcW w:w="57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ind w:right="335"/>
              <w:spacing w:after="0"/>
              <w:rPr>
                <w:sz w:val="20"/>
                <w:szCs w:val="20"/>
                <w:color w:val="auto"/>
              </w:rPr>
            </w:pPr>
            <w:r>
              <w:rPr>
                <w:rFonts w:ascii="Arial" w:cs="Arial" w:eastAsia="Arial" w:hAnsi="Arial"/>
                <w:sz w:val="16"/>
                <w:szCs w:val="16"/>
                <w:color w:val="auto"/>
                <w:w w:val="89"/>
              </w:rPr>
              <w:t>2015</w:t>
            </w:r>
          </w:p>
        </w:tc>
        <w:tc>
          <w:tcPr>
            <w:tcW w:w="14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217"/>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Derivatives designated as fair value hedges:</w:t>
            </w: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tcPr>
          <w:p>
            <w:pPr>
              <w:spacing w:after="0"/>
              <w:rPr>
                <w:sz w:val="20"/>
                <w:szCs w:val="20"/>
                <w:color w:val="auto"/>
              </w:rPr>
            </w:pPr>
            <w:r>
              <w:rPr>
                <w:rFonts w:ascii="Arial" w:cs="Arial" w:eastAsia="Arial" w:hAnsi="Arial"/>
                <w:sz w:val="17"/>
                <w:szCs w:val="17"/>
                <w:color w:val="auto"/>
              </w:rPr>
              <w:t>Cross currency swaps</w:t>
            </w:r>
          </w:p>
        </w:tc>
        <w:tc>
          <w:tcPr>
            <w:tcW w:w="740" w:type="dxa"/>
            <w:vAlign w:val="bottom"/>
          </w:tcPr>
          <w:p>
            <w:pPr>
              <w:jc w:val="right"/>
              <w:ind w:right="58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73</w:t>
            </w:r>
          </w:p>
        </w:tc>
        <w:tc>
          <w:tcPr>
            <w:tcW w:w="16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(31)</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(64)</w:t>
            </w:r>
          </w:p>
        </w:tc>
        <w:tc>
          <w:tcPr>
            <w:tcW w:w="1720" w:type="dxa"/>
            <w:vAlign w:val="bottom"/>
            <w:gridSpan w:val="2"/>
          </w:tcPr>
          <w:p>
            <w:pPr>
              <w:ind w:left="80"/>
              <w:spacing w:after="0"/>
              <w:rPr>
                <w:sz w:val="20"/>
                <w:szCs w:val="20"/>
                <w:color w:val="auto"/>
              </w:rPr>
            </w:pPr>
            <w:r>
              <w:rPr>
                <w:rFonts w:ascii="Arial" w:cs="Arial" w:eastAsia="Arial" w:hAnsi="Arial"/>
                <w:sz w:val="17"/>
                <w:szCs w:val="17"/>
                <w:i w:val="1"/>
                <w:iCs w:val="1"/>
                <w:color w:val="auto"/>
              </w:rPr>
              <w:t>Interest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Derivatives not designated as hedges:</w:t>
            </w: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tcPr>
          <w:p>
            <w:pPr>
              <w:spacing w:after="0"/>
              <w:rPr>
                <w:sz w:val="20"/>
                <w:szCs w:val="20"/>
                <w:color w:val="auto"/>
              </w:rPr>
            </w:pPr>
            <w:r>
              <w:rPr>
                <w:rFonts w:ascii="Arial" w:cs="Arial" w:eastAsia="Arial" w:hAnsi="Arial"/>
                <w:sz w:val="17"/>
                <w:szCs w:val="17"/>
                <w:color w:val="auto"/>
              </w:rPr>
              <w:t>Cross currency swaps</w:t>
            </w:r>
          </w:p>
        </w:tc>
        <w:tc>
          <w:tcPr>
            <w:tcW w:w="740" w:type="dxa"/>
            <w:vAlign w:val="bottom"/>
          </w:tcPr>
          <w:p>
            <w:pPr>
              <w:jc w:val="right"/>
              <w:ind w:right="584"/>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7"/>
                <w:szCs w:val="17"/>
                <w:i w:val="1"/>
                <w:iCs w:val="1"/>
                <w:color w:val="auto"/>
              </w:rPr>
              <w:t>Interest</w:t>
            </w:r>
          </w:p>
        </w:tc>
        <w:tc>
          <w:tcPr>
            <w:tcW w:w="0" w:type="dxa"/>
            <w:vAlign w:val="bottom"/>
          </w:tcPr>
          <w:p>
            <w:pPr>
              <w:spacing w:after="0"/>
              <w:rPr>
                <w:sz w:val="1"/>
                <w:szCs w:val="1"/>
                <w:color w:val="auto"/>
              </w:rPr>
            </w:pPr>
          </w:p>
        </w:tc>
      </w:tr>
      <w:tr>
        <w:trPr>
          <w:trHeight w:val="221"/>
        </w:trPr>
        <w:tc>
          <w:tcPr>
            <w:tcW w:w="5700" w:type="dxa"/>
            <w:vAlign w:val="bottom"/>
            <w:shd w:val="clear" w:color="auto" w:fill="CFF0FC"/>
          </w:tcPr>
          <w:p>
            <w:pPr>
              <w:spacing w:after="0"/>
              <w:rPr>
                <w:sz w:val="20"/>
                <w:szCs w:val="20"/>
                <w:color w:val="auto"/>
              </w:rPr>
            </w:pPr>
            <w:r>
              <w:rPr>
                <w:rFonts w:ascii="Arial" w:cs="Arial" w:eastAsia="Arial" w:hAnsi="Arial"/>
                <w:sz w:val="17"/>
                <w:szCs w:val="17"/>
                <w:color w:val="auto"/>
              </w:rPr>
              <w:t>Foreign exchange contracts</w:t>
            </w:r>
          </w:p>
        </w:tc>
        <w:tc>
          <w:tcPr>
            <w:tcW w:w="7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(26)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(246)</w:t>
            </w: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(154)</w:t>
            </w:r>
          </w:p>
        </w:tc>
        <w:tc>
          <w:tcPr>
            <w:tcW w:w="1720" w:type="dxa"/>
            <w:vAlign w:val="bottom"/>
            <w:gridSpan w:val="2"/>
            <w:shd w:val="clear" w:color="auto" w:fill="CFF0FC"/>
          </w:tcPr>
          <w:p>
            <w:pPr>
              <w:ind w:left="80"/>
              <w:spacing w:after="0"/>
              <w:rPr>
                <w:sz w:val="20"/>
                <w:szCs w:val="20"/>
                <w:color w:val="auto"/>
              </w:rPr>
            </w:pPr>
            <w:r>
              <w:rPr>
                <w:rFonts w:ascii="Arial" w:cs="Arial" w:eastAsia="Arial" w:hAnsi="Arial"/>
                <w:sz w:val="17"/>
                <w:szCs w:val="17"/>
                <w:i w:val="1"/>
                <w:iCs w:val="1"/>
                <w:color w:val="auto"/>
                <w:w w:val="97"/>
              </w:rPr>
              <w:t>Cost of services/sales</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700" w:type="dxa"/>
            <w:vAlign w:val="bottom"/>
          </w:tcPr>
          <w:p>
            <w:pPr>
              <w:spacing w:after="0"/>
              <w:rPr>
                <w:sz w:val="18"/>
                <w:szCs w:val="18"/>
                <w:color w:val="auto"/>
              </w:rPr>
            </w:pPr>
          </w:p>
        </w:tc>
        <w:tc>
          <w:tcPr>
            <w:tcW w:w="740" w:type="dxa"/>
            <w:vAlign w:val="bottom"/>
          </w:tcPr>
          <w:p>
            <w:pPr>
              <w:jc w:val="right"/>
              <w:ind w:right="584"/>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160" w:type="dxa"/>
            <w:vAlign w:val="bottom"/>
            <w:vMerge w:val="continue"/>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(246)</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(154)</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ind w:left="260" w:hanging="256"/>
        <w:spacing w:after="0"/>
        <w:tabs>
          <w:tab w:leader="none" w:pos="26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Stockholders’ Equity</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Schlumberger is authorized to issue 4,500,000,000 shares of common stock, par value $0.01 per share, of which 1,383,932,776 and 1,391,475,510 shares were outstanding on December 31, 2017 and 2016, respectively. Holders of common stock are entitled to one vote for each share of stock held. Schlumberger is also authorized to issue 200,000,000 shares of preferred stock, par value $0.01 per share, which may be issued in series with terms and conditions determined by the Schlumberger Board of Directors. No shares of preferred stock have been issued.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i w:val="1"/>
          <w:iCs w:val="1"/>
          <w:color w:val="auto"/>
        </w:rPr>
        <w:t xml:space="preserve">Accumulated Other Comprehensive Loss </w:t>
      </w:r>
      <w:r>
        <w:rPr>
          <w:rFonts w:ascii="Arial" w:cs="Arial" w:eastAsia="Arial" w:hAnsi="Arial"/>
          <w:sz w:val="17"/>
          <w:szCs w:val="17"/>
          <w:color w:val="auto"/>
        </w:rPr>
        <w:t>consists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2"/>
        </w:trPr>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Pension and</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3"/>
              </w:rPr>
              <w:t>Currency</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Other</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3"/>
              </w:rPr>
              <w:t>Translation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9"/>
              </w:rPr>
              <w:t>Marketable</w:t>
            </w:r>
          </w:p>
        </w:tc>
        <w:tc>
          <w:tcPr>
            <w:tcW w:w="20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Cash Flow</w:t>
            </w:r>
          </w:p>
        </w:tc>
        <w:tc>
          <w:tcPr>
            <w:tcW w:w="80" w:type="dxa"/>
            <w:vAlign w:val="bottom"/>
          </w:tcPr>
          <w:p>
            <w:pPr>
              <w:spacing w:after="0"/>
              <w:rPr>
                <w:sz w:val="19"/>
                <w:szCs w:val="19"/>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1"/>
              </w:rPr>
              <w:t>Postretirement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1"/>
              </w:rPr>
              <w:t>Adjustments</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Securities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Hedges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w w:val="89"/>
              </w:rPr>
              <w:t>Benefit Plans</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Balance, January 1, 2015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(1,531)</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(2,589)</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(4,206)</w:t>
            </w:r>
          </w:p>
        </w:tc>
        <w:tc>
          <w:tcPr>
            <w:tcW w:w="0" w:type="dxa"/>
            <w:vAlign w:val="bottom"/>
          </w:tcPr>
          <w:p>
            <w:pPr>
              <w:spacing w:after="0"/>
              <w:rPr>
                <w:sz w:val="1"/>
                <w:szCs w:val="1"/>
                <w:color w:val="auto"/>
              </w:rPr>
            </w:pPr>
          </w:p>
        </w:tc>
      </w:tr>
      <w:tr>
        <w:trPr>
          <w:trHeight w:val="208"/>
        </w:trPr>
        <w:tc>
          <w:tcPr>
            <w:tcW w:w="3640" w:type="dxa"/>
            <w:vAlign w:val="bottom"/>
          </w:tcPr>
          <w:p>
            <w:pPr>
              <w:ind w:left="240"/>
              <w:spacing w:after="0"/>
              <w:rPr>
                <w:sz w:val="20"/>
                <w:szCs w:val="20"/>
                <w:color w:val="auto"/>
              </w:rPr>
            </w:pPr>
            <w:r>
              <w:rPr>
                <w:rFonts w:ascii="Arial" w:cs="Arial" w:eastAsia="Arial" w:hAnsi="Arial"/>
                <w:sz w:val="17"/>
                <w:szCs w:val="17"/>
                <w:color w:val="auto"/>
              </w:rPr>
              <w:t>Other comprehensive income (loss) before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40" w:type="dxa"/>
            <w:vAlign w:val="bottom"/>
          </w:tcPr>
          <w:p>
            <w:pPr>
              <w:ind w:left="240"/>
              <w:spacing w:after="0"/>
              <w:rPr>
                <w:sz w:val="20"/>
                <w:szCs w:val="20"/>
                <w:color w:val="auto"/>
              </w:rPr>
            </w:pPr>
            <w:r>
              <w:rPr>
                <w:rFonts w:ascii="Arial" w:cs="Arial" w:eastAsia="Arial" w:hAnsi="Arial"/>
                <w:sz w:val="17"/>
                <w:szCs w:val="17"/>
                <w:color w:val="auto"/>
              </w:rPr>
              <w:t>reclassifications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(522)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(50)</w:t>
            </w:r>
          </w:p>
        </w:tc>
        <w:tc>
          <w:tcPr>
            <w:tcW w:w="2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(210)</w:t>
            </w:r>
          </w:p>
        </w:tc>
        <w:tc>
          <w:tcPr>
            <w:tcW w:w="2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208"/>
        </w:trPr>
        <w:tc>
          <w:tcPr>
            <w:tcW w:w="364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9"/>
              </w:rPr>
              <w:t>Amounts reclassified from accumulated other</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comprehensive loss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40" w:type="dxa"/>
            <w:vAlign w:val="bottom"/>
          </w:tcPr>
          <w:p>
            <w:pPr>
              <w:ind w:left="240"/>
              <w:spacing w:after="0"/>
              <w:rPr>
                <w:sz w:val="20"/>
                <w:szCs w:val="20"/>
                <w:color w:val="auto"/>
              </w:rPr>
            </w:pPr>
            <w:r>
              <w:rPr>
                <w:rFonts w:ascii="Arial" w:cs="Arial" w:eastAsia="Arial" w:hAnsi="Arial"/>
                <w:sz w:val="17"/>
                <w:szCs w:val="17"/>
                <w:color w:val="auto"/>
              </w:rPr>
              <w:t>Income taxes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(74)</w:t>
            </w:r>
          </w:p>
        </w:tc>
        <w:tc>
          <w:tcPr>
            <w:tcW w:w="2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Balance, December 31, 2015</w:t>
            </w: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(2,053)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(2,466)</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(4,558)</w:t>
            </w:r>
          </w:p>
        </w:tc>
        <w:tc>
          <w:tcPr>
            <w:tcW w:w="0" w:type="dxa"/>
            <w:vAlign w:val="bottom"/>
          </w:tcPr>
          <w:p>
            <w:pPr>
              <w:spacing w:after="0"/>
              <w:rPr>
                <w:sz w:val="1"/>
                <w:szCs w:val="1"/>
                <w:color w:val="auto"/>
              </w:rPr>
            </w:pPr>
          </w:p>
        </w:tc>
      </w:tr>
      <w:tr>
        <w:trPr>
          <w:trHeight w:val="208"/>
        </w:trPr>
        <w:tc>
          <w:tcPr>
            <w:tcW w:w="3640" w:type="dxa"/>
            <w:vAlign w:val="bottom"/>
          </w:tcPr>
          <w:p>
            <w:pPr>
              <w:ind w:left="240"/>
              <w:spacing w:after="0"/>
              <w:rPr>
                <w:sz w:val="20"/>
                <w:szCs w:val="20"/>
                <w:color w:val="auto"/>
              </w:rPr>
            </w:pPr>
            <w:r>
              <w:rPr>
                <w:rFonts w:ascii="Arial" w:cs="Arial" w:eastAsia="Arial" w:hAnsi="Arial"/>
                <w:sz w:val="17"/>
                <w:szCs w:val="17"/>
                <w:color w:val="auto"/>
              </w:rPr>
              <w:t>Other comprehensive income (loss) before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40" w:type="dxa"/>
            <w:vAlign w:val="bottom"/>
          </w:tcPr>
          <w:p>
            <w:pPr>
              <w:ind w:left="240"/>
              <w:spacing w:after="0"/>
              <w:rPr>
                <w:sz w:val="20"/>
                <w:szCs w:val="20"/>
                <w:color w:val="auto"/>
              </w:rPr>
            </w:pPr>
            <w:r>
              <w:rPr>
                <w:rFonts w:ascii="Arial" w:cs="Arial" w:eastAsia="Arial" w:hAnsi="Arial"/>
                <w:sz w:val="17"/>
                <w:szCs w:val="17"/>
                <w:color w:val="auto"/>
              </w:rPr>
              <w:t>reclassifications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(289)</w:t>
            </w:r>
          </w:p>
        </w:tc>
        <w:tc>
          <w:tcPr>
            <w:tcW w:w="2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208"/>
        </w:trPr>
        <w:tc>
          <w:tcPr>
            <w:tcW w:w="364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9"/>
              </w:rPr>
              <w:t>Amounts reclassified from accumulated other</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comprehensive loss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40" w:type="dxa"/>
            <w:vAlign w:val="bottom"/>
          </w:tcPr>
          <w:p>
            <w:pPr>
              <w:ind w:left="240"/>
              <w:spacing w:after="0"/>
              <w:rPr>
                <w:sz w:val="20"/>
                <w:szCs w:val="20"/>
                <w:color w:val="auto"/>
              </w:rPr>
            </w:pPr>
            <w:r>
              <w:rPr>
                <w:rFonts w:ascii="Arial" w:cs="Arial" w:eastAsia="Arial" w:hAnsi="Arial"/>
                <w:sz w:val="17"/>
                <w:szCs w:val="17"/>
                <w:color w:val="auto"/>
              </w:rPr>
              <w:t>Income taxes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Balance, December 31, 2016</w:t>
            </w: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(2,136)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(2,509)</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(4,643)</w:t>
            </w:r>
          </w:p>
        </w:tc>
        <w:tc>
          <w:tcPr>
            <w:tcW w:w="0" w:type="dxa"/>
            <w:vAlign w:val="bottom"/>
          </w:tcPr>
          <w:p>
            <w:pPr>
              <w:spacing w:after="0"/>
              <w:rPr>
                <w:sz w:val="1"/>
                <w:szCs w:val="1"/>
                <w:color w:val="auto"/>
              </w:rPr>
            </w:pPr>
          </w:p>
        </w:tc>
      </w:tr>
      <w:tr>
        <w:trPr>
          <w:trHeight w:val="208"/>
        </w:trPr>
        <w:tc>
          <w:tcPr>
            <w:tcW w:w="3640" w:type="dxa"/>
            <w:vAlign w:val="bottom"/>
          </w:tcPr>
          <w:p>
            <w:pPr>
              <w:ind w:left="240"/>
              <w:spacing w:after="0"/>
              <w:rPr>
                <w:sz w:val="20"/>
                <w:szCs w:val="20"/>
                <w:color w:val="auto"/>
              </w:rPr>
            </w:pPr>
            <w:r>
              <w:rPr>
                <w:rFonts w:ascii="Arial" w:cs="Arial" w:eastAsia="Arial" w:hAnsi="Arial"/>
                <w:sz w:val="17"/>
                <w:szCs w:val="17"/>
                <w:color w:val="auto"/>
              </w:rPr>
              <w:t>Other comprehensive income (loss) before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40" w:type="dxa"/>
            <w:vAlign w:val="bottom"/>
          </w:tcPr>
          <w:p>
            <w:pPr>
              <w:ind w:left="240"/>
              <w:spacing w:after="0"/>
              <w:rPr>
                <w:sz w:val="20"/>
                <w:szCs w:val="20"/>
                <w:color w:val="auto"/>
              </w:rPr>
            </w:pPr>
            <w:r>
              <w:rPr>
                <w:rFonts w:ascii="Arial" w:cs="Arial" w:eastAsia="Arial" w:hAnsi="Arial"/>
                <w:sz w:val="17"/>
                <w:szCs w:val="17"/>
                <w:color w:val="auto"/>
              </w:rPr>
              <w:t>reclassifications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64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9"/>
              </w:rPr>
              <w:t>Amounts reclassified from accumulated other</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comprehensive loss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40" w:type="dxa"/>
            <w:vAlign w:val="bottom"/>
          </w:tcPr>
          <w:p>
            <w:pPr>
              <w:ind w:left="240"/>
              <w:spacing w:after="0"/>
              <w:rPr>
                <w:sz w:val="20"/>
                <w:szCs w:val="20"/>
                <w:color w:val="auto"/>
              </w:rPr>
            </w:pPr>
            <w:r>
              <w:rPr>
                <w:rFonts w:ascii="Arial" w:cs="Arial" w:eastAsia="Arial" w:hAnsi="Arial"/>
                <w:sz w:val="17"/>
                <w:szCs w:val="17"/>
                <w:color w:val="auto"/>
              </w:rPr>
              <w:t>Income taxes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Balance, December 31, 2017</w:t>
            </w: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40" w:type="dxa"/>
            <w:vAlign w:val="bottom"/>
            <w:vMerge w:val="continue"/>
            <w:shd w:val="clear" w:color="auto" w:fill="CFF0FC"/>
          </w:tcPr>
          <w:p>
            <w:pPr>
              <w:spacing w:after="0"/>
              <w:rPr>
                <w:sz w:val="18"/>
                <w:szCs w:val="18"/>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(2,139)</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(2,151)</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(4,274)</w:t>
            </w: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income was $369 million in 2017. Other comprehensive loss was $85 million in 2016 and $352 billion in 2015.</w:t>
      </w:r>
    </w:p>
    <w:p>
      <w:pPr>
        <w:spacing w:after="0" w:line="318" w:lineRule="exact"/>
        <w:rPr>
          <w:sz w:val="20"/>
          <w:szCs w:val="20"/>
          <w:color w:val="auto"/>
        </w:rPr>
      </w:pPr>
    </w:p>
    <w:p>
      <w:pPr>
        <w:ind w:left="260" w:hanging="256"/>
        <w:spacing w:after="0"/>
        <w:tabs>
          <w:tab w:leader="none" w:pos="2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Stock-based Compensation Plans</w:t>
      </w:r>
    </w:p>
    <w:p>
      <w:pPr>
        <w:spacing w:after="0" w:line="122"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Schlumberger has three types of stock-based compensation programs: (i) stock options, (ii) a restricted stock, restricted stock unit and performance share unit program (collectively referred to as “restricted stock”) and (iii) a discounted stock purchase plan (DSPP).</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6" w:lineRule="exact"/>
        <w:rPr>
          <w:sz w:val="20"/>
          <w:szCs w:val="20"/>
          <w:color w:val="auto"/>
        </w:rPr>
      </w:pPr>
    </w:p>
    <w:p>
      <w:pPr>
        <w:ind w:right="40"/>
        <w:spacing w:after="0" w:line="318" w:lineRule="auto"/>
        <w:rPr>
          <w:sz w:val="20"/>
          <w:szCs w:val="20"/>
          <w:color w:val="auto"/>
        </w:rPr>
      </w:pPr>
      <w:r>
        <w:rPr>
          <w:rFonts w:ascii="Arial" w:cs="Arial" w:eastAsia="Arial" w:hAnsi="Arial"/>
          <w:sz w:val="16"/>
          <w:szCs w:val="16"/>
          <w:color w:val="auto"/>
        </w:rPr>
        <w:t>Key employees are granted stock options under Schlumberger stock option plans. For all stock options granted, the exercise price equals the average of the high and low sales prices of Schlumberger stock on the date of grant; the maximum term is ten years, and the options generally vest in increments over five years.</w:t>
      </w:r>
    </w:p>
    <w:p>
      <w:pPr>
        <w:spacing w:after="0" w:line="136"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4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2015</w:t>
            </w:r>
          </w:p>
        </w:tc>
        <w:tc>
          <w:tcPr>
            <w:tcW w:w="32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14"/>
        </w:trPr>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Dividend yield</w:t>
            </w:r>
          </w:p>
        </w:tc>
        <w:tc>
          <w:tcPr>
            <w:tcW w:w="2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2.3%</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2.3%</w:t>
            </w:r>
          </w:p>
        </w:tc>
        <w:tc>
          <w:tcPr>
            <w:tcW w:w="40" w:type="dxa"/>
            <w:vAlign w:val="bottom"/>
          </w:tcPr>
          <w:p>
            <w:pPr>
              <w:spacing w:after="0"/>
              <w:rPr>
                <w:sz w:val="18"/>
                <w:szCs w:val="18"/>
                <w:color w:val="auto"/>
              </w:rPr>
            </w:pPr>
          </w:p>
        </w:tc>
      </w:tr>
      <w:tr>
        <w:trPr>
          <w:trHeight w:val="221"/>
        </w:trPr>
        <w:tc>
          <w:tcPr>
            <w:tcW w:w="4140" w:type="dxa"/>
            <w:vAlign w:val="bottom"/>
          </w:tcPr>
          <w:p>
            <w:pPr>
              <w:spacing w:after="0"/>
              <w:rPr>
                <w:sz w:val="20"/>
                <w:szCs w:val="20"/>
                <w:color w:val="auto"/>
              </w:rPr>
            </w:pPr>
            <w:r>
              <w:rPr>
                <w:rFonts w:ascii="Arial" w:cs="Arial" w:eastAsia="Arial" w:hAnsi="Arial"/>
                <w:sz w:val="17"/>
                <w:szCs w:val="17"/>
                <w:color w:val="auto"/>
              </w:rPr>
              <w:t>Expected volatility</w:t>
            </w:r>
          </w:p>
        </w:tc>
        <w:tc>
          <w:tcPr>
            <w:tcW w:w="2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19"/>
                <w:szCs w:val="19"/>
                <w:color w:val="auto"/>
              </w:rPr>
            </w:pPr>
          </w:p>
        </w:tc>
      </w:tr>
      <w:tr>
        <w:trPr>
          <w:trHeight w:val="221"/>
        </w:trPr>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2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2.4%</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9"/>
                <w:szCs w:val="19"/>
                <w:color w:val="auto"/>
              </w:rPr>
            </w:pPr>
          </w:p>
        </w:tc>
      </w:tr>
      <w:tr>
        <w:trPr>
          <w:trHeight w:val="221"/>
        </w:trPr>
        <w:tc>
          <w:tcPr>
            <w:tcW w:w="4140" w:type="dxa"/>
            <w:vAlign w:val="bottom"/>
          </w:tcPr>
          <w:p>
            <w:pPr>
              <w:spacing w:after="0"/>
              <w:rPr>
                <w:sz w:val="20"/>
                <w:szCs w:val="20"/>
                <w:color w:val="auto"/>
              </w:rPr>
            </w:pPr>
            <w:r>
              <w:rPr>
                <w:rFonts w:ascii="Arial" w:cs="Arial" w:eastAsia="Arial" w:hAnsi="Arial"/>
                <w:sz w:val="17"/>
                <w:szCs w:val="17"/>
                <w:color w:val="auto"/>
              </w:rPr>
              <w:t>Expected option life in years</w:t>
            </w:r>
          </w:p>
        </w:tc>
        <w:tc>
          <w:tcPr>
            <w:tcW w:w="2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7.0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fair value per share</w:t>
            </w:r>
          </w:p>
        </w:tc>
        <w:tc>
          <w:tcPr>
            <w:tcW w:w="3180" w:type="dxa"/>
            <w:vAlign w:val="bottom"/>
            <w:gridSpan w:val="2"/>
            <w:shd w:val="clear" w:color="auto" w:fill="CFF0FC"/>
          </w:tcPr>
          <w:p>
            <w:pPr>
              <w:jc w:val="right"/>
              <w:ind w:right="693"/>
              <w:spacing w:after="0"/>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98"/>
              </w:rPr>
              <w:t>20.85</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93"/>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17.45</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25.96</w:t>
            </w:r>
          </w:p>
        </w:tc>
        <w:tc>
          <w:tcPr>
            <w:tcW w:w="3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624"/>
        </w:trPr>
        <w:tc>
          <w:tcPr>
            <w:tcW w:w="4140" w:type="dxa"/>
            <w:vAlign w:val="bottom"/>
          </w:tcPr>
          <w:p>
            <w:pPr>
              <w:spacing w:after="0"/>
              <w:rPr>
                <w:sz w:val="24"/>
                <w:szCs w:val="24"/>
                <w:color w:val="auto"/>
              </w:rPr>
            </w:pPr>
          </w:p>
        </w:tc>
        <w:tc>
          <w:tcPr>
            <w:tcW w:w="2320" w:type="dxa"/>
            <w:vAlign w:val="bottom"/>
          </w:tcPr>
          <w:p>
            <w:pPr>
              <w:jc w:val="right"/>
              <w:ind w:right="573"/>
              <w:spacing w:after="0"/>
              <w:rPr>
                <w:sz w:val="20"/>
                <w:szCs w:val="20"/>
                <w:color w:val="auto"/>
              </w:rPr>
            </w:pPr>
            <w:r>
              <w:rPr>
                <w:rFonts w:ascii="Arial" w:cs="Arial" w:eastAsia="Arial" w:hAnsi="Arial"/>
                <w:sz w:val="17"/>
                <w:szCs w:val="17"/>
                <w:color w:val="auto"/>
              </w:rPr>
              <w:t>50</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3"/>
        </w:trPr>
        <w:tc>
          <w:tcPr>
            <w:tcW w:w="41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5" w:right="19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The following table summarizes information related to options outstanding and options exercisable as of December 31, 2017:</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(Shares stated in thousands)</w:t>
            </w:r>
          </w:p>
        </w:tc>
      </w:tr>
      <w:tr>
        <w:trPr>
          <w:trHeight w:val="441"/>
        </w:trPr>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7"/>
                <w:szCs w:val="17"/>
                <w:color w:val="auto"/>
                <w:w w:val="95"/>
              </w:rPr>
              <w:t>Options Outstanding</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jc w:val="center"/>
              <w:ind w:right="120"/>
              <w:spacing w:after="0"/>
              <w:rPr>
                <w:sz w:val="20"/>
                <w:szCs w:val="20"/>
                <w:color w:val="auto"/>
              </w:rPr>
            </w:pPr>
            <w:r>
              <w:rPr>
                <w:rFonts w:ascii="Arial" w:cs="Arial" w:eastAsia="Arial" w:hAnsi="Arial"/>
                <w:sz w:val="17"/>
                <w:szCs w:val="17"/>
                <w:color w:val="auto"/>
                <w:w w:val="92"/>
              </w:rPr>
              <w:t>Options Exercisable</w:t>
            </w:r>
          </w:p>
        </w:tc>
      </w:tr>
      <w:tr>
        <w:trPr>
          <w:trHeight w:val="214"/>
        </w:trPr>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7"/>
                <w:szCs w:val="17"/>
                <w:color w:val="auto"/>
                <w:w w:val="92"/>
              </w:rPr>
              <w:t>Weighted-</w:t>
            </w: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Average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Remaining</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Weighted-</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Weighted-</w:t>
            </w:r>
          </w:p>
        </w:tc>
      </w:tr>
      <w:tr>
        <w:trPr>
          <w:trHeight w:val="221"/>
        </w:trPr>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Options</w:t>
            </w:r>
          </w:p>
        </w:tc>
        <w:tc>
          <w:tcPr>
            <w:tcW w:w="160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Contractual Life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Average</w:t>
            </w: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Options</w:t>
            </w:r>
          </w:p>
        </w:tc>
        <w:tc>
          <w:tcPr>
            <w:tcW w:w="12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Average</w:t>
            </w:r>
          </w:p>
        </w:tc>
      </w:tr>
      <w:tr>
        <w:trPr>
          <w:trHeight w:val="182"/>
        </w:trPr>
        <w:tc>
          <w:tcPr>
            <w:tcW w:w="4480" w:type="dxa"/>
            <w:vAlign w:val="bottom"/>
            <w:gridSpan w:val="3"/>
          </w:tcPr>
          <w:p>
            <w:pPr>
              <w:spacing w:after="0" w:line="182" w:lineRule="exact"/>
              <w:rPr>
                <w:sz w:val="20"/>
                <w:szCs w:val="20"/>
                <w:color w:val="auto"/>
              </w:rPr>
            </w:pPr>
            <w:r>
              <w:rPr>
                <w:rFonts w:ascii="Arial" w:cs="Arial" w:eastAsia="Arial" w:hAnsi="Arial"/>
                <w:sz w:val="17"/>
                <w:szCs w:val="17"/>
                <w:color w:val="auto"/>
              </w:rPr>
              <w:t>Exercise prices range</w:t>
            </w:r>
          </w:p>
        </w:tc>
        <w:tc>
          <w:tcPr>
            <w:tcW w:w="1220" w:type="dxa"/>
            <w:vAlign w:val="bottom"/>
            <w:gridSpan w:val="2"/>
          </w:tcPr>
          <w:p>
            <w:pPr>
              <w:jc w:val="center"/>
              <w:ind w:right="220"/>
              <w:spacing w:after="0" w:line="182" w:lineRule="exact"/>
              <w:rPr>
                <w:sz w:val="20"/>
                <w:szCs w:val="20"/>
                <w:color w:val="auto"/>
              </w:rPr>
            </w:pPr>
            <w:r>
              <w:rPr>
                <w:rFonts w:ascii="Arial" w:cs="Arial" w:eastAsia="Arial" w:hAnsi="Arial"/>
                <w:sz w:val="17"/>
                <w:szCs w:val="17"/>
                <w:color w:val="auto"/>
                <w:w w:val="91"/>
              </w:rPr>
              <w:t>Outstanding</w:t>
            </w:r>
          </w:p>
        </w:tc>
        <w:tc>
          <w:tcPr>
            <w:tcW w:w="1600" w:type="dxa"/>
            <w:vAlign w:val="bottom"/>
            <w:gridSpan w:val="2"/>
          </w:tcPr>
          <w:p>
            <w:pPr>
              <w:jc w:val="center"/>
              <w:ind w:right="180"/>
              <w:spacing w:after="0" w:line="182" w:lineRule="exact"/>
              <w:rPr>
                <w:sz w:val="20"/>
                <w:szCs w:val="20"/>
                <w:color w:val="auto"/>
              </w:rPr>
            </w:pPr>
            <w:r>
              <w:rPr>
                <w:rFonts w:ascii="Arial" w:cs="Arial" w:eastAsia="Arial" w:hAnsi="Arial"/>
                <w:sz w:val="17"/>
                <w:szCs w:val="17"/>
                <w:color w:val="auto"/>
                <w:w w:val="93"/>
              </w:rPr>
              <w:t>(in years)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320"/>
              <w:spacing w:after="0" w:line="182" w:lineRule="exact"/>
              <w:rPr>
                <w:sz w:val="20"/>
                <w:szCs w:val="20"/>
                <w:color w:val="auto"/>
              </w:rPr>
            </w:pPr>
            <w:r>
              <w:rPr>
                <w:rFonts w:ascii="Arial" w:cs="Arial" w:eastAsia="Arial" w:hAnsi="Arial"/>
                <w:sz w:val="17"/>
                <w:szCs w:val="17"/>
                <w:color w:val="auto"/>
                <w:w w:val="92"/>
              </w:rPr>
              <w:t>Exercise Price</w:t>
            </w:r>
          </w:p>
        </w:tc>
        <w:tc>
          <w:tcPr>
            <w:tcW w:w="1180" w:type="dxa"/>
            <w:vAlign w:val="bottom"/>
            <w:gridSpan w:val="2"/>
          </w:tcPr>
          <w:p>
            <w:pPr>
              <w:jc w:val="center"/>
              <w:ind w:right="220"/>
              <w:spacing w:after="0" w:line="182" w:lineRule="exact"/>
              <w:rPr>
                <w:sz w:val="20"/>
                <w:szCs w:val="20"/>
                <w:color w:val="auto"/>
              </w:rPr>
            </w:pPr>
            <w:r>
              <w:rPr>
                <w:rFonts w:ascii="Arial" w:cs="Arial" w:eastAsia="Arial" w:hAnsi="Arial"/>
                <w:sz w:val="17"/>
                <w:szCs w:val="17"/>
                <w:color w:val="auto"/>
                <w:w w:val="91"/>
              </w:rPr>
              <w:t>Exercisable</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82" w:lineRule="exact"/>
              <w:rPr>
                <w:sz w:val="20"/>
                <w:szCs w:val="20"/>
                <w:color w:val="auto"/>
              </w:rPr>
            </w:pPr>
            <w:r>
              <w:rPr>
                <w:rFonts w:ascii="Arial" w:cs="Arial" w:eastAsia="Arial" w:hAnsi="Arial"/>
                <w:sz w:val="17"/>
                <w:szCs w:val="17"/>
                <w:color w:val="auto"/>
                <w:w w:val="90"/>
              </w:rPr>
              <w:t>Exercise Price</w:t>
            </w:r>
          </w:p>
        </w:tc>
      </w:tr>
      <w:tr>
        <w:trPr>
          <w:trHeight w:val="20"/>
        </w:trPr>
        <w:tc>
          <w:tcPr>
            <w:tcW w:w="500" w:type="dxa"/>
            <w:vAlign w:val="bottom"/>
            <w:tcBorders>
              <w:top w:val="single" w:sz="8" w:color="auto"/>
              <w:bottom w:val="single" w:sz="8" w:color="CFF0FC"/>
            </w:tcBorders>
          </w:tcPr>
          <w:p>
            <w:pPr>
              <w:spacing w:after="0" w:line="20" w:lineRule="exact"/>
              <w:rPr>
                <w:sz w:val="1"/>
                <w:szCs w:val="1"/>
                <w:color w:val="auto"/>
              </w:rPr>
            </w:pPr>
          </w:p>
        </w:tc>
        <w:tc>
          <w:tcPr>
            <w:tcW w:w="980" w:type="dxa"/>
            <w:vAlign w:val="bottom"/>
            <w:tcBorders>
              <w:top w:val="single" w:sz="8" w:color="auto"/>
              <w:bottom w:val="single" w:sz="8" w:color="CFF0FC"/>
            </w:tcBorders>
          </w:tcPr>
          <w:p>
            <w:pPr>
              <w:spacing w:after="0" w:line="20" w:lineRule="exact"/>
              <w:rPr>
                <w:sz w:val="1"/>
                <w:szCs w:val="1"/>
                <w:color w:val="auto"/>
              </w:rPr>
            </w:pPr>
          </w:p>
        </w:tc>
        <w:tc>
          <w:tcPr>
            <w:tcW w:w="300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13"/>
        </w:trPr>
        <w:tc>
          <w:tcPr>
            <w:tcW w:w="1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$37.85 - $67.87</w:t>
            </w:r>
          </w:p>
        </w:tc>
        <w:tc>
          <w:tcPr>
            <w:tcW w:w="30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5,696</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56.17</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4,132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53.91</w:t>
            </w:r>
          </w:p>
        </w:tc>
        <w:tc>
          <w:tcPr>
            <w:tcW w:w="100" w:type="dxa"/>
            <w:vAlign w:val="bottom"/>
            <w:shd w:val="clear" w:color="auto" w:fill="CFF0FC"/>
          </w:tcPr>
          <w:p>
            <w:pPr>
              <w:spacing w:after="0"/>
              <w:rPr>
                <w:sz w:val="18"/>
                <w:szCs w:val="18"/>
                <w:color w:val="auto"/>
              </w:rPr>
            </w:pPr>
          </w:p>
        </w:tc>
      </w:tr>
      <w:tr>
        <w:trPr>
          <w:trHeight w:val="221"/>
        </w:trPr>
        <w:tc>
          <w:tcPr>
            <w:tcW w:w="500" w:type="dxa"/>
            <w:vAlign w:val="bottom"/>
          </w:tcPr>
          <w:p>
            <w:pPr>
              <w:spacing w:after="0"/>
              <w:rPr>
                <w:sz w:val="20"/>
                <w:szCs w:val="20"/>
                <w:color w:val="auto"/>
              </w:rPr>
            </w:pPr>
            <w:r>
              <w:rPr>
                <w:rFonts w:ascii="Arial" w:cs="Arial" w:eastAsia="Arial" w:hAnsi="Arial"/>
                <w:sz w:val="17"/>
                <w:szCs w:val="17"/>
                <w:color w:val="auto"/>
                <w:w w:val="92"/>
              </w:rPr>
              <w:t>$68.51</w:t>
            </w:r>
          </w:p>
        </w:tc>
        <w:tc>
          <w:tcPr>
            <w:tcW w:w="980" w:type="dxa"/>
            <w:vAlign w:val="bottom"/>
          </w:tcPr>
          <w:p>
            <w:pPr>
              <w:ind w:left="20"/>
              <w:spacing w:after="0"/>
              <w:rPr>
                <w:sz w:val="20"/>
                <w:szCs w:val="20"/>
                <w:color w:val="auto"/>
              </w:rPr>
            </w:pPr>
            <w:r>
              <w:rPr>
                <w:rFonts w:ascii="Arial" w:cs="Arial" w:eastAsia="Arial" w:hAnsi="Arial"/>
                <w:sz w:val="17"/>
                <w:szCs w:val="17"/>
                <w:color w:val="auto"/>
              </w:rPr>
              <w:t>- $71.06</w:t>
            </w:r>
          </w:p>
        </w:tc>
        <w:tc>
          <w:tcPr>
            <w:tcW w:w="30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6,665</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4.0</w:t>
            </w:r>
          </w:p>
        </w:tc>
        <w:tc>
          <w:tcPr>
            <w:tcW w:w="1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69.93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6,008</w:t>
            </w:r>
          </w:p>
        </w:tc>
        <w:tc>
          <w:tcPr>
            <w:tcW w:w="18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69.82</w:t>
            </w:r>
          </w:p>
        </w:tc>
        <w:tc>
          <w:tcPr>
            <w:tcW w:w="100" w:type="dxa"/>
            <w:vAlign w:val="bottom"/>
          </w:tcPr>
          <w:p>
            <w:pPr>
              <w:spacing w:after="0"/>
              <w:rPr>
                <w:sz w:val="19"/>
                <w:szCs w:val="19"/>
                <w:color w:val="auto"/>
              </w:rPr>
            </w:pPr>
          </w:p>
        </w:tc>
      </w:tr>
      <w:tr>
        <w:trPr>
          <w:trHeight w:val="221"/>
        </w:trPr>
        <w:tc>
          <w:tcPr>
            <w:tcW w:w="1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$72.11 - $79.85</w:t>
            </w:r>
          </w:p>
        </w:tc>
        <w:tc>
          <w:tcPr>
            <w:tcW w:w="30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9,107</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1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73.97</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73.08</w:t>
            </w:r>
          </w:p>
        </w:tc>
        <w:tc>
          <w:tcPr>
            <w:tcW w:w="100" w:type="dxa"/>
            <w:vAlign w:val="bottom"/>
            <w:shd w:val="clear" w:color="auto" w:fill="CFF0FC"/>
          </w:tcPr>
          <w:p>
            <w:pPr>
              <w:spacing w:after="0"/>
              <w:rPr>
                <w:sz w:val="19"/>
                <w:szCs w:val="19"/>
                <w:color w:val="auto"/>
              </w:rPr>
            </w:pPr>
          </w:p>
        </w:tc>
      </w:tr>
      <w:tr>
        <w:trPr>
          <w:trHeight w:val="221"/>
        </w:trPr>
        <w:tc>
          <w:tcPr>
            <w:tcW w:w="500" w:type="dxa"/>
            <w:vAlign w:val="bottom"/>
          </w:tcPr>
          <w:p>
            <w:pPr>
              <w:spacing w:after="0"/>
              <w:rPr>
                <w:sz w:val="20"/>
                <w:szCs w:val="20"/>
                <w:color w:val="auto"/>
              </w:rPr>
            </w:pPr>
            <w:r>
              <w:rPr>
                <w:rFonts w:ascii="Arial" w:cs="Arial" w:eastAsia="Arial" w:hAnsi="Arial"/>
                <w:sz w:val="17"/>
                <w:szCs w:val="17"/>
                <w:color w:val="auto"/>
                <w:w w:val="92"/>
              </w:rPr>
              <w:t>$80.53</w:t>
            </w:r>
          </w:p>
        </w:tc>
        <w:tc>
          <w:tcPr>
            <w:tcW w:w="980" w:type="dxa"/>
            <w:vAlign w:val="bottom"/>
          </w:tcPr>
          <w:p>
            <w:pPr>
              <w:ind w:left="20"/>
              <w:spacing w:after="0"/>
              <w:rPr>
                <w:sz w:val="20"/>
                <w:szCs w:val="20"/>
                <w:color w:val="auto"/>
              </w:rPr>
            </w:pPr>
            <w:r>
              <w:rPr>
                <w:rFonts w:ascii="Arial" w:cs="Arial" w:eastAsia="Arial" w:hAnsi="Arial"/>
                <w:sz w:val="17"/>
                <w:szCs w:val="17"/>
                <w:color w:val="auto"/>
              </w:rPr>
              <w:t>- $87.38</w:t>
            </w:r>
          </w:p>
        </w:tc>
        <w:tc>
          <w:tcPr>
            <w:tcW w:w="30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15,511</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6.1</w:t>
            </w:r>
          </w:p>
        </w:tc>
        <w:tc>
          <w:tcPr>
            <w:tcW w:w="1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84.01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7,186</w:t>
            </w:r>
          </w:p>
        </w:tc>
        <w:tc>
          <w:tcPr>
            <w:tcW w:w="18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83.68</w:t>
            </w:r>
          </w:p>
        </w:tc>
        <w:tc>
          <w:tcPr>
            <w:tcW w:w="100" w:type="dxa"/>
            <w:vAlign w:val="bottom"/>
          </w:tcPr>
          <w:p>
            <w:pPr>
              <w:spacing w:after="0"/>
              <w:rPr>
                <w:sz w:val="19"/>
                <w:szCs w:val="19"/>
                <w:color w:val="auto"/>
              </w:rPr>
            </w:pPr>
          </w:p>
        </w:tc>
      </w:tr>
      <w:tr>
        <w:trPr>
          <w:trHeight w:val="221"/>
        </w:trPr>
        <w:tc>
          <w:tcPr>
            <w:tcW w:w="500" w:type="dxa"/>
            <w:vAlign w:val="bottom"/>
            <w:shd w:val="clear" w:color="auto" w:fill="CFF0FC"/>
          </w:tcPr>
          <w:p>
            <w:pPr>
              <w:spacing w:after="0"/>
              <w:rPr>
                <w:sz w:val="20"/>
                <w:szCs w:val="20"/>
                <w:color w:val="auto"/>
              </w:rPr>
            </w:pPr>
            <w:r>
              <w:rPr>
                <w:rFonts w:ascii="Arial" w:cs="Arial" w:eastAsia="Arial" w:hAnsi="Arial"/>
                <w:sz w:val="17"/>
                <w:szCs w:val="17"/>
                <w:color w:val="auto"/>
                <w:w w:val="92"/>
              </w:rPr>
              <w:t>$88.61</w:t>
            </w:r>
          </w:p>
        </w:tc>
        <w:tc>
          <w:tcPr>
            <w:tcW w:w="980" w:type="dxa"/>
            <w:vAlign w:val="bottom"/>
            <w:shd w:val="clear" w:color="auto" w:fill="CFF0FC"/>
          </w:tcPr>
          <w:p>
            <w:pPr>
              <w:ind w:left="20"/>
              <w:spacing w:after="0"/>
              <w:rPr>
                <w:sz w:val="20"/>
                <w:szCs w:val="20"/>
                <w:color w:val="auto"/>
              </w:rPr>
            </w:pPr>
            <w:r>
              <w:rPr>
                <w:rFonts w:ascii="Arial" w:cs="Arial" w:eastAsia="Arial" w:hAnsi="Arial"/>
                <w:sz w:val="17"/>
                <w:szCs w:val="17"/>
                <w:color w:val="auto"/>
              </w:rPr>
              <w:t>- $114.83</w:t>
            </w:r>
          </w:p>
        </w:tc>
        <w:tc>
          <w:tcPr>
            <w:tcW w:w="30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10,231</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1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95.07</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95.32</w:t>
            </w:r>
          </w:p>
        </w:tc>
        <w:tc>
          <w:tcPr>
            <w:tcW w:w="100" w:type="dxa"/>
            <w:vAlign w:val="bottom"/>
            <w:shd w:val="clear" w:color="auto" w:fill="CFF0FC"/>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47,210</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79.13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30,319</w:t>
            </w:r>
          </w:p>
        </w:tc>
        <w:tc>
          <w:tcPr>
            <w:tcW w:w="1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76.71</w:t>
            </w:r>
          </w:p>
        </w:tc>
        <w:tc>
          <w:tcPr>
            <w:tcW w:w="1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remaining contractual life of stock options exercisable as of December 31, 2017 was 4.3 years.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during the years ended December 31, 2017, 2016 and 2015:</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5"/>
          </w:tcPr>
          <w:p>
            <w:pPr>
              <w:ind w:left="480"/>
              <w:spacing w:after="0"/>
              <w:rPr>
                <w:sz w:val="20"/>
                <w:szCs w:val="20"/>
                <w:color w:val="auto"/>
              </w:rPr>
            </w:pPr>
            <w:r>
              <w:rPr>
                <w:rFonts w:ascii="Arial" w:cs="Arial" w:eastAsia="Arial" w:hAnsi="Arial"/>
                <w:sz w:val="14"/>
                <w:szCs w:val="14"/>
                <w:i w:val="1"/>
                <w:iCs w:val="1"/>
                <w:color w:val="auto"/>
                <w:w w:val="92"/>
              </w:rPr>
              <w:t>(Shares stated in thousands)</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2017</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7"/>
                <w:szCs w:val="17"/>
                <w:color w:val="auto"/>
              </w:rPr>
              <w:t>2016</w:t>
            </w: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2015</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Weighted-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Weighted-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Average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Average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Average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Exercise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Exercise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Exercise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Shares</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6"/>
              </w:rPr>
              <w:t>Price</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Shares</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color w:val="auto"/>
                <w:w w:val="92"/>
              </w:rPr>
              <w:t>Price</w:t>
            </w:r>
          </w:p>
        </w:tc>
        <w:tc>
          <w:tcPr>
            <w:tcW w:w="2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Shares</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color w:val="auto"/>
                <w:w w:val="92"/>
              </w:rPr>
              <w:t>Price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Outstanding at beginning of year</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46,502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78.31</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41,087</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78.73</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38,583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2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5,024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86.55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7,672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76.14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7,118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Assumed in Cameron transaction</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3,088</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63.24</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20" w:type="dxa"/>
            <w:vAlign w:val="bottom"/>
            <w:gridSpan w:val="2"/>
          </w:tcPr>
          <w:p>
            <w:pPr>
              <w:spacing w:after="0"/>
              <w:rPr>
                <w:sz w:val="20"/>
                <w:szCs w:val="20"/>
                <w:color w:val="auto"/>
              </w:rPr>
            </w:pPr>
            <w:r>
              <w:rPr>
                <w:rFonts w:ascii="Arial" w:cs="Arial" w:eastAsia="Arial" w:hAnsi="Arial"/>
                <w:sz w:val="17"/>
                <w:szCs w:val="17"/>
                <w:color w:val="auto"/>
              </w:rPr>
              <w:t>Exercised</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(1,156)</w:t>
            </w: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57.87</w:t>
            </w: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(3,357)</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60.70</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(2,561)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Forfeited</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(3,160)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86.99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(1,988)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84.60</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(2,053)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7"/>
                <w:szCs w:val="17"/>
                <w:color w:val="auto"/>
              </w:rPr>
              <w:t>Outstanding at year-end</w:t>
            </w: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720" w:type="dxa"/>
            <w:vAlign w:val="bottom"/>
            <w:gridSpan w:val="2"/>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47,210</w:t>
            </w:r>
          </w:p>
        </w:tc>
        <w:tc>
          <w:tcPr>
            <w:tcW w:w="1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79.13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46,502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78.31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41,087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stock options outstanding and stock options exercisable as of December 31, 2017 was $64 million and $56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The total intrinsic value of options exercised during the years ended December 31, 2017, 2016 and 2015 was $26 million, $45 million and $62 million, respectively.</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Schlumberger grants performance share units to certain executives. The number of shares earned is determined at the end of each performance period, which is generally three years, based on Schlumberger’s achievement of certain predefined targets as defined in the underlying performance share unit agreement. In the event Schlumberger exceeds the predefined target, shares for up to the maximum of 250% of the target award may be awarded. In the event Schlumberger falls below the predefined target, a reduced number of shares may be granted. If Schlumberger falls below the threshold award performance level, no shares will be awarded. As of December 31, 2017, 1.1 million performance share units were outstanding based assuming the achievement of 100% of target.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All other restricted stock awards generally vest at the end of three years.</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Restricted stock awards generally do not pay dividends or have voting rights prior to vesting. Accordingly, the fair value of a restricted stock award is the quoted market price of Schlumberger’s stock on the date of grant less the present value of the expected dividends not received prior to vesting.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The following table summarizes information related to restricted stock transactions:</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5"/>
          </w:tcPr>
          <w:p>
            <w:pPr>
              <w:ind w:left="600"/>
              <w:spacing w:after="0"/>
              <w:rPr>
                <w:sz w:val="20"/>
                <w:szCs w:val="20"/>
                <w:color w:val="auto"/>
              </w:rPr>
            </w:pPr>
            <w:r>
              <w:rPr>
                <w:rFonts w:ascii="Arial" w:cs="Arial" w:eastAsia="Arial" w:hAnsi="Arial"/>
                <w:sz w:val="14"/>
                <w:szCs w:val="14"/>
                <w:i w:val="1"/>
                <w:iCs w:val="1"/>
                <w:color w:val="auto"/>
                <w:w w:val="93"/>
              </w:rPr>
              <w:t>(Shares stated in thousands)</w:t>
            </w:r>
          </w:p>
        </w:tc>
        <w:tc>
          <w:tcPr>
            <w:tcW w:w="0" w:type="dxa"/>
            <w:vAlign w:val="bottom"/>
          </w:tcPr>
          <w:p>
            <w:pPr>
              <w:spacing w:after="0"/>
              <w:rPr>
                <w:sz w:val="1"/>
                <w:szCs w:val="1"/>
                <w:color w:val="auto"/>
              </w:rPr>
            </w:pPr>
          </w:p>
        </w:tc>
      </w:tr>
      <w:tr>
        <w:trPr>
          <w:trHeight w:val="441"/>
        </w:trPr>
        <w:tc>
          <w:tcPr>
            <w:tcW w:w="4220" w:type="dxa"/>
            <w:vAlign w:val="bottom"/>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2017</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2016</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73"/>
              <w:spacing w:after="0"/>
              <w:rPr>
                <w:sz w:val="20"/>
                <w:szCs w:val="20"/>
                <w:color w:val="auto"/>
              </w:rPr>
            </w:pPr>
            <w:r>
              <w:rPr>
                <w:rFonts w:ascii="Arial" w:cs="Arial" w:eastAsia="Arial" w:hAnsi="Arial"/>
                <w:sz w:val="17"/>
                <w:szCs w:val="17"/>
                <w:b w:val="1"/>
                <w:bCs w:val="1"/>
                <w:color w:val="auto"/>
                <w:w w:val="92"/>
              </w:rPr>
              <w:t>Weighted-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7"/>
                <w:szCs w:val="17"/>
                <w:color w:val="auto"/>
                <w:w w:val="92"/>
              </w:rPr>
              <w:t>Weighted-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Average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Average</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Average</w:t>
            </w: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8"/>
              </w:rPr>
              <w:t>Restricted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6"/>
              </w:rPr>
              <w:t>Grant Date</w:t>
            </w: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Restricted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Grant Date</w:t>
            </w: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Restricted</w:t>
            </w:r>
          </w:p>
        </w:tc>
        <w:tc>
          <w:tcPr>
            <w:tcW w:w="12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Grant Date</w:t>
            </w:r>
          </w:p>
        </w:tc>
        <w:tc>
          <w:tcPr>
            <w:tcW w:w="0" w:type="dxa"/>
            <w:vAlign w:val="bottom"/>
          </w:tcPr>
          <w:p>
            <w:pPr>
              <w:spacing w:after="0"/>
              <w:rPr>
                <w:sz w:val="1"/>
                <w:szCs w:val="1"/>
                <w:color w:val="auto"/>
              </w:rPr>
            </w:pPr>
          </w:p>
        </w:tc>
      </w:tr>
      <w:tr>
        <w:trPr>
          <w:trHeight w:val="226"/>
        </w:trPr>
        <w:tc>
          <w:tcPr>
            <w:tcW w:w="4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Stock</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3"/>
              </w:rPr>
              <w:t>Fair Value</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Stock</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color w:val="auto"/>
                <w:w w:val="92"/>
              </w:rPr>
              <w:t>Fair Value</w:t>
            </w:r>
          </w:p>
        </w:tc>
        <w:tc>
          <w:tcPr>
            <w:tcW w:w="2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Stock</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color w:val="auto"/>
                <w:w w:val="92"/>
              </w:rPr>
              <w:t>Fair Value</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20" w:type="dxa"/>
            <w:vAlign w:val="bottom"/>
            <w:shd w:val="clear" w:color="auto" w:fill="CFF0FC"/>
          </w:tcPr>
          <w:p>
            <w:pPr>
              <w:spacing w:after="0"/>
              <w:rPr>
                <w:sz w:val="20"/>
                <w:szCs w:val="20"/>
                <w:color w:val="auto"/>
              </w:rPr>
            </w:pPr>
            <w:r>
              <w:rPr>
                <w:rFonts w:ascii="Arial" w:cs="Arial" w:eastAsia="Arial" w:hAnsi="Arial"/>
                <w:sz w:val="17"/>
                <w:szCs w:val="17"/>
                <w:color w:val="auto"/>
              </w:rPr>
              <w:t>Unvested at beginning of year</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5,112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78.31</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3,571</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85.04</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4,138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20"/>
                <w:szCs w:val="20"/>
                <w:color w:val="auto"/>
              </w:rPr>
            </w:pPr>
            <w:r>
              <w:rPr>
                <w:rFonts w:ascii="Arial" w:cs="Arial" w:eastAsia="Arial" w:hAnsi="Arial"/>
                <w:sz w:val="17"/>
                <w:szCs w:val="17"/>
                <w:color w:val="auto"/>
              </w:rPr>
              <w:t>Granted</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2,495</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73.09</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1,678</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68.66</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1,254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20" w:type="dxa"/>
            <w:vAlign w:val="bottom"/>
            <w:shd w:val="clear" w:color="auto" w:fill="CFF0FC"/>
          </w:tcPr>
          <w:p>
            <w:pPr>
              <w:spacing w:after="0"/>
              <w:rPr>
                <w:sz w:val="20"/>
                <w:szCs w:val="20"/>
                <w:color w:val="auto"/>
              </w:rPr>
            </w:pPr>
            <w:r>
              <w:rPr>
                <w:rFonts w:ascii="Arial" w:cs="Arial" w:eastAsia="Arial" w:hAnsi="Arial"/>
                <w:sz w:val="17"/>
                <w:szCs w:val="17"/>
                <w:color w:val="auto"/>
              </w:rPr>
              <w:t>Assumed in Cameron transaction</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1,824</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72.12</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20"/>
                <w:szCs w:val="20"/>
                <w:color w:val="auto"/>
              </w:rPr>
            </w:pPr>
            <w:r>
              <w:rPr>
                <w:rFonts w:ascii="Arial" w:cs="Arial" w:eastAsia="Arial" w:hAnsi="Arial"/>
                <w:sz w:val="17"/>
                <w:szCs w:val="17"/>
                <w:color w:val="auto"/>
              </w:rPr>
              <w:t>Vested</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(1,645)</w:t>
            </w:r>
          </w:p>
        </w:tc>
        <w:tc>
          <w:tcPr>
            <w:tcW w:w="2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83.03</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(1,720)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72.64</w:t>
            </w: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(1,495)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20" w:type="dxa"/>
            <w:vAlign w:val="bottom"/>
            <w:shd w:val="clear" w:color="auto" w:fill="CFF0FC"/>
          </w:tcPr>
          <w:p>
            <w:pPr>
              <w:spacing w:after="0"/>
              <w:rPr>
                <w:sz w:val="20"/>
                <w:szCs w:val="20"/>
                <w:color w:val="auto"/>
              </w:rPr>
            </w:pPr>
            <w:r>
              <w:rPr>
                <w:rFonts w:ascii="Arial" w:cs="Arial" w:eastAsia="Arial" w:hAnsi="Arial"/>
                <w:sz w:val="17"/>
                <w:szCs w:val="17"/>
                <w:color w:val="auto"/>
              </w:rPr>
              <w:t>Forfeited</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(534)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80.17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(241)</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80.87</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(326)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Unvested at year-end</w:t>
            </w: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2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5,428</w:t>
            </w: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72.33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5,112</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78.31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3,571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85.04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Discounted Stock Purchase Plan</w:t>
      </w:r>
    </w:p>
    <w:p>
      <w:pPr>
        <w:spacing w:after="0" w:line="116"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spacing w:after="0" w:line="13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fair value of the employees’ purchase rights under the DSPP was estimated using the Black-Scholes model with the following assumptions and resulting weighted-average fair value per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2016</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2015</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4"/>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Dividend yield</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2.7%</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2.3%</w:t>
            </w:r>
          </w:p>
        </w:tc>
      </w:tr>
      <w:tr>
        <w:trPr>
          <w:trHeight w:val="221"/>
        </w:trPr>
        <w:tc>
          <w:tcPr>
            <w:tcW w:w="6560" w:type="dxa"/>
            <w:vAlign w:val="bottom"/>
          </w:tcPr>
          <w:p>
            <w:pPr>
              <w:spacing w:after="0"/>
              <w:rPr>
                <w:sz w:val="20"/>
                <w:szCs w:val="20"/>
                <w:color w:val="auto"/>
              </w:rPr>
            </w:pPr>
            <w:r>
              <w:rPr>
                <w:rFonts w:ascii="Arial" w:cs="Arial" w:eastAsia="Arial" w:hAnsi="Arial"/>
                <w:sz w:val="17"/>
                <w:szCs w:val="17"/>
                <w:color w:val="auto"/>
              </w:rPr>
              <w:t>Expected volatility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7"/>
                <w:szCs w:val="17"/>
                <w:color w:val="auto"/>
              </w:rPr>
              <w:t>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7"/>
                <w:szCs w:val="17"/>
                <w:color w:val="auto"/>
              </w:rPr>
              <w:t>27%</w:t>
            </w:r>
          </w:p>
        </w:tc>
      </w:tr>
      <w:tr>
        <w:trPr>
          <w:trHeight w:val="221"/>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0.5%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0.2%</w:t>
            </w:r>
          </w:p>
        </w:tc>
      </w:tr>
      <w:tr>
        <w:trPr>
          <w:trHeight w:val="226"/>
        </w:trPr>
        <w:tc>
          <w:tcPr>
            <w:tcW w:w="6560" w:type="dxa"/>
            <w:vAlign w:val="bottom"/>
          </w:tcPr>
          <w:p>
            <w:pPr>
              <w:spacing w:after="0"/>
              <w:rPr>
                <w:sz w:val="20"/>
                <w:szCs w:val="20"/>
                <w:color w:val="auto"/>
              </w:rPr>
            </w:pPr>
            <w:r>
              <w:rPr>
                <w:rFonts w:ascii="Arial" w:cs="Arial" w:eastAsia="Arial" w:hAnsi="Arial"/>
                <w:sz w:val="17"/>
                <w:szCs w:val="17"/>
                <w:color w:val="auto"/>
              </w:rPr>
              <w:t>Weighted-average fair value per share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w w:val="90"/>
              </w:rPr>
              <w:t>9.46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12.45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0"/>
        </w:trPr>
        <w:tc>
          <w:tcPr>
            <w:tcW w:w="6560" w:type="dxa"/>
            <w:vAlign w:val="bottom"/>
          </w:tcPr>
          <w:p>
            <w:pPr>
              <w:spacing w:after="0"/>
              <w:rPr>
                <w:sz w:val="20"/>
                <w:szCs w:val="20"/>
                <w:color w:val="auto"/>
              </w:rPr>
            </w:pPr>
            <w:r>
              <w:rPr>
                <w:rFonts w:ascii="Arial" w:cs="Arial" w:eastAsia="Arial" w:hAnsi="Arial"/>
                <w:sz w:val="17"/>
                <w:szCs w:val="17"/>
                <w:b w:val="1"/>
                <w:bCs w:val="1"/>
                <w:i w:val="1"/>
                <w:iCs w:val="1"/>
                <w:color w:val="auto"/>
              </w:rPr>
              <w:t>Total Stock-based Compensation Expense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2"/>
        </w:trPr>
        <w:tc>
          <w:tcPr>
            <w:tcW w:w="6560" w:type="dxa"/>
            <w:vAlign w:val="bottom"/>
          </w:tcPr>
          <w:p>
            <w:pPr>
              <w:spacing w:after="0"/>
              <w:rPr>
                <w:sz w:val="20"/>
                <w:szCs w:val="20"/>
                <w:color w:val="auto"/>
              </w:rPr>
            </w:pPr>
            <w:r>
              <w:rPr>
                <w:rFonts w:ascii="Arial" w:cs="Arial" w:eastAsia="Arial" w:hAnsi="Arial"/>
                <w:sz w:val="17"/>
                <w:szCs w:val="17"/>
                <w:color w:val="auto"/>
              </w:rPr>
              <w:t>The following summarizes stock-based compensation expense recognized in income: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28"/>
        </w:trPr>
        <w:tc>
          <w:tcPr>
            <w:tcW w:w="656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2016</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14"/>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Stock options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81"/>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161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175</w:t>
            </w: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FF0FC"/>
          </w:tcPr>
          <w:p>
            <w:pPr>
              <w:spacing w:after="0"/>
              <w:rPr>
                <w:sz w:val="18"/>
                <w:szCs w:val="18"/>
                <w:color w:val="auto"/>
              </w:rPr>
            </w:pPr>
          </w:p>
        </w:tc>
      </w:tr>
      <w:tr>
        <w:trPr>
          <w:trHeight w:val="221"/>
        </w:trPr>
        <w:tc>
          <w:tcPr>
            <w:tcW w:w="6560" w:type="dxa"/>
            <w:vAlign w:val="bottom"/>
          </w:tcPr>
          <w:p>
            <w:pPr>
              <w:spacing w:after="0"/>
              <w:rPr>
                <w:sz w:val="20"/>
                <w:szCs w:val="20"/>
                <w:color w:val="auto"/>
              </w:rPr>
            </w:pPr>
            <w:r>
              <w:rPr>
                <w:rFonts w:ascii="Arial" w:cs="Arial" w:eastAsia="Arial" w:hAnsi="Arial"/>
                <w:sz w:val="17"/>
                <w:szCs w:val="17"/>
                <w:color w:val="auto"/>
              </w:rPr>
              <w:t>Restricted stock</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r>
      <w:tr>
        <w:trPr>
          <w:trHeight w:val="221"/>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DSPP</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FF0FC"/>
          </w:tcPr>
          <w:p>
            <w:pPr>
              <w:spacing w:after="0"/>
              <w:rPr>
                <w:sz w:val="19"/>
                <w:szCs w:val="19"/>
                <w:color w:val="auto"/>
              </w:rPr>
            </w:pPr>
          </w:p>
        </w:tc>
      </w:tr>
      <w:tr>
        <w:trPr>
          <w:trHeight w:val="214"/>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681"/>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343</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267</w:t>
            </w:r>
          </w:p>
        </w:tc>
        <w:tc>
          <w:tcPr>
            <w:tcW w:w="2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At December 31, 2017, there was $485 million of total unrecognized compensation cost related to nonvested stock-based compensation arrangements, of which $246 million is expected to be recognized in 2018, $158 million in 2019, $58 million in 2020, $22 million in 2021 and $1 million in 2022.</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of December 31, 2017, approximately 45 million shares of Schlumberger common stock were available for future grants under Schlumberger’s stock-based compensation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52" w:name="page53"/>
    <w:bookmarkEnd w:id="52"/>
    <w:p>
      <w:pPr>
        <w:ind w:left="300" w:hanging="296"/>
        <w:spacing w:after="0"/>
        <w:tabs>
          <w:tab w:leader="none" w:pos="30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Income Taxes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Schlumberger operates in more than 100 tax jurisdictions, where statutory tax rates generally vary from 0% to 40%.</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Income (loss) before taxes </w:t>
      </w:r>
      <w:r>
        <w:rPr>
          <w:rFonts w:ascii="Arial" w:cs="Arial" w:eastAsia="Arial" w:hAnsi="Arial"/>
          <w:sz w:val="17"/>
          <w:szCs w:val="17"/>
          <w:color w:val="auto"/>
        </w:rPr>
        <w:t>subject to United States and non-United States income taxes was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8"/>
        </w:trPr>
        <w:tc>
          <w:tcPr>
            <w:tcW w:w="630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2016</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30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960" w:type="dxa"/>
            <w:vAlign w:val="bottom"/>
            <w:shd w:val="clear" w:color="auto" w:fill="CFF0FC"/>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(841)</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(3,103)</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(691)</w:t>
            </w: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Outside United States</w:t>
            </w:r>
          </w:p>
        </w:tc>
        <w:tc>
          <w:tcPr>
            <w:tcW w:w="9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92"/>
              </w:rPr>
              <w:t>(1,183)</w:t>
            </w:r>
          </w:p>
        </w:tc>
        <w:tc>
          <w:tcPr>
            <w:tcW w:w="180" w:type="dxa"/>
            <w:vAlign w:val="bottom"/>
            <w:vMerge w:val="continue"/>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(1,905)</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Schlumberger recorded pretax charges of $3.764 billion in 2017 ($533 million in the US and $3.231 billion outside the US); $3.820 billion in 2016 ($1.848 billion in the US and $1.972 billion outside the US); and $2.575 billion in 2015 ($883 million in the US and $1.692 billion outside the US). These charges and credits are included in the table above and are more fully described in Note 3 – </w:t>
      </w:r>
      <w:r>
        <w:rPr>
          <w:rFonts w:ascii="Arial" w:cs="Arial" w:eastAsia="Arial" w:hAnsi="Arial"/>
          <w:sz w:val="17"/>
          <w:szCs w:val="17"/>
          <w:i w:val="1"/>
          <w:iCs w:val="1"/>
          <w:color w:val="auto"/>
        </w:rPr>
        <w:t>Charges and Credits</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deferred tax assets (liabilities)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8"/>
        </w:trPr>
        <w:tc>
          <w:tcPr>
            <w:tcW w:w="5140" w:type="dxa"/>
            <w:vAlign w:val="bottom"/>
            <w:tcBorders>
              <w:bottom w:val="single" w:sz="8" w:color="CFF0FC"/>
            </w:tcBorders>
          </w:tcPr>
          <w:p>
            <w:pPr>
              <w:spacing w:after="0"/>
              <w:rPr>
                <w:sz w:val="24"/>
                <w:szCs w:val="24"/>
                <w:color w:val="auto"/>
              </w:rPr>
            </w:pPr>
          </w:p>
        </w:tc>
        <w:tc>
          <w:tcPr>
            <w:tcW w:w="2680" w:type="dxa"/>
            <w:vAlign w:val="bottom"/>
            <w:tcBorders>
              <w:bottom w:val="single" w:sz="8" w:color="CFF0FC"/>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2016</w:t>
            </w:r>
          </w:p>
        </w:tc>
        <w:tc>
          <w:tcPr>
            <w:tcW w:w="100" w:type="dxa"/>
            <w:vAlign w:val="bottom"/>
            <w:tcBorders>
              <w:bottom w:val="single" w:sz="8" w:color="CFF0FC"/>
            </w:tcBorders>
          </w:tcPr>
          <w:p>
            <w:pPr>
              <w:spacing w:after="0"/>
              <w:rPr>
                <w:sz w:val="24"/>
                <w:szCs w:val="24"/>
                <w:color w:val="auto"/>
              </w:rPr>
            </w:pPr>
          </w:p>
        </w:tc>
      </w:tr>
      <w:tr>
        <w:trPr>
          <w:trHeight w:val="214"/>
        </w:trPr>
        <w:tc>
          <w:tcPr>
            <w:tcW w:w="5140" w:type="dxa"/>
            <w:vAlign w:val="bottom"/>
            <w:shd w:val="clear" w:color="auto" w:fill="CFF0FC"/>
          </w:tcPr>
          <w:p>
            <w:pPr>
              <w:spacing w:after="0"/>
              <w:rPr>
                <w:sz w:val="20"/>
                <w:szCs w:val="20"/>
                <w:color w:val="auto"/>
              </w:rPr>
            </w:pPr>
            <w:r>
              <w:rPr>
                <w:rFonts w:ascii="Arial" w:cs="Arial" w:eastAsia="Arial" w:hAnsi="Arial"/>
                <w:sz w:val="17"/>
                <w:szCs w:val="17"/>
                <w:color w:val="auto"/>
              </w:rPr>
              <w:t>Postretirement benefits</w:t>
            </w:r>
          </w:p>
        </w:tc>
        <w:tc>
          <w:tcPr>
            <w:tcW w:w="2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73"/>
              <w:spacing w:after="0"/>
              <w:rPr>
                <w:sz w:val="20"/>
                <w:szCs w:val="20"/>
                <w:color w:val="auto"/>
              </w:rPr>
            </w:pPr>
            <w:r>
              <w:rPr>
                <w:rFonts w:ascii="Arial" w:cs="Arial" w:eastAsia="Arial" w:hAnsi="Arial"/>
                <w:sz w:val="17"/>
                <w:szCs w:val="17"/>
                <w:b w:val="1"/>
                <w:bCs w:val="1"/>
                <w:color w:val="auto"/>
                <w:w w:val="84"/>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135</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FF0FC"/>
          </w:tcPr>
          <w:p>
            <w:pPr>
              <w:spacing w:after="0"/>
              <w:rPr>
                <w:sz w:val="18"/>
                <w:szCs w:val="18"/>
                <w:color w:val="auto"/>
              </w:rPr>
            </w:pPr>
          </w:p>
        </w:tc>
      </w:tr>
      <w:tr>
        <w:trPr>
          <w:trHeight w:val="221"/>
        </w:trPr>
        <w:tc>
          <w:tcPr>
            <w:tcW w:w="5140" w:type="dxa"/>
            <w:vAlign w:val="bottom"/>
          </w:tcPr>
          <w:p>
            <w:pPr>
              <w:spacing w:after="0"/>
              <w:rPr>
                <w:sz w:val="20"/>
                <w:szCs w:val="20"/>
                <w:color w:val="auto"/>
              </w:rPr>
            </w:pPr>
            <w:r>
              <w:rPr>
                <w:rFonts w:ascii="Arial" w:cs="Arial" w:eastAsia="Arial" w:hAnsi="Arial"/>
                <w:sz w:val="17"/>
                <w:szCs w:val="17"/>
                <w:color w:val="auto"/>
              </w:rPr>
              <w:t>Intangible assets</w:t>
            </w:r>
          </w:p>
        </w:tc>
        <w:tc>
          <w:tcPr>
            <w:tcW w:w="2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(2,869)</w:t>
            </w:r>
          </w:p>
        </w:tc>
      </w:tr>
      <w:tr>
        <w:trPr>
          <w:trHeight w:val="221"/>
        </w:trPr>
        <w:tc>
          <w:tcPr>
            <w:tcW w:w="5140" w:type="dxa"/>
            <w:vAlign w:val="bottom"/>
            <w:shd w:val="clear" w:color="auto" w:fill="CFF0FC"/>
          </w:tcPr>
          <w:p>
            <w:pPr>
              <w:spacing w:after="0"/>
              <w:rPr>
                <w:sz w:val="20"/>
                <w:szCs w:val="20"/>
                <w:color w:val="auto"/>
              </w:rPr>
            </w:pPr>
            <w:r>
              <w:rPr>
                <w:rFonts w:ascii="Arial" w:cs="Arial" w:eastAsia="Arial" w:hAnsi="Arial"/>
                <w:sz w:val="17"/>
                <w:szCs w:val="17"/>
                <w:color w:val="auto"/>
              </w:rPr>
              <w:t>Investments in non-US subsidiaries</w:t>
            </w:r>
          </w:p>
        </w:tc>
        <w:tc>
          <w:tcPr>
            <w:tcW w:w="2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(224)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(271)</w:t>
            </w:r>
          </w:p>
        </w:tc>
      </w:tr>
      <w:tr>
        <w:trPr>
          <w:trHeight w:val="221"/>
        </w:trPr>
        <w:tc>
          <w:tcPr>
            <w:tcW w:w="5140" w:type="dxa"/>
            <w:vAlign w:val="bottom"/>
          </w:tcPr>
          <w:p>
            <w:pPr>
              <w:spacing w:after="0"/>
              <w:rPr>
                <w:sz w:val="20"/>
                <w:szCs w:val="20"/>
                <w:color w:val="auto"/>
              </w:rPr>
            </w:pPr>
            <w:r>
              <w:rPr>
                <w:rFonts w:ascii="Arial" w:cs="Arial" w:eastAsia="Arial" w:hAnsi="Arial"/>
                <w:sz w:val="17"/>
                <w:szCs w:val="17"/>
                <w:color w:val="auto"/>
              </w:rPr>
              <w:t>Fixed assets, net</w:t>
            </w:r>
          </w:p>
        </w:tc>
        <w:tc>
          <w:tcPr>
            <w:tcW w:w="2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(79)</w:t>
            </w:r>
          </w:p>
        </w:tc>
      </w:tr>
      <w:tr>
        <w:trPr>
          <w:trHeight w:val="221"/>
        </w:trPr>
        <w:tc>
          <w:tcPr>
            <w:tcW w:w="5140" w:type="dxa"/>
            <w:vAlign w:val="bottom"/>
            <w:shd w:val="clear" w:color="auto" w:fill="CFF0FC"/>
          </w:tcPr>
          <w:p>
            <w:pPr>
              <w:spacing w:after="0"/>
              <w:rPr>
                <w:sz w:val="20"/>
                <w:szCs w:val="20"/>
                <w:color w:val="auto"/>
              </w:rPr>
            </w:pPr>
            <w:r>
              <w:rPr>
                <w:rFonts w:ascii="Arial" w:cs="Arial" w:eastAsia="Arial" w:hAnsi="Arial"/>
                <w:sz w:val="17"/>
                <w:szCs w:val="17"/>
                <w:color w:val="auto"/>
              </w:rPr>
              <w:t>Inventories</w:t>
            </w:r>
          </w:p>
        </w:tc>
        <w:tc>
          <w:tcPr>
            <w:tcW w:w="2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FF0FC"/>
          </w:tcPr>
          <w:p>
            <w:pPr>
              <w:spacing w:after="0"/>
              <w:rPr>
                <w:sz w:val="19"/>
                <w:szCs w:val="19"/>
                <w:color w:val="auto"/>
              </w:rPr>
            </w:pPr>
          </w:p>
        </w:tc>
      </w:tr>
      <w:tr>
        <w:trPr>
          <w:trHeight w:val="221"/>
        </w:trPr>
        <w:tc>
          <w:tcPr>
            <w:tcW w:w="51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net</w:t>
            </w:r>
          </w:p>
        </w:tc>
        <w:tc>
          <w:tcPr>
            <w:tcW w:w="26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w:t>
            </w:r>
          </w:p>
        </w:tc>
        <w:tc>
          <w:tcPr>
            <w:tcW w:w="100" w:type="dxa"/>
            <w:vAlign w:val="bottom"/>
            <w:tcBorders>
              <w:bottom w:val="single" w:sz="8" w:color="CFF0FC"/>
            </w:tcBorders>
          </w:tcPr>
          <w:p>
            <w:pPr>
              <w:spacing w:after="0"/>
              <w:rPr>
                <w:sz w:val="19"/>
                <w:szCs w:val="19"/>
                <w:color w:val="auto"/>
              </w:rPr>
            </w:pPr>
          </w:p>
        </w:tc>
      </w:tr>
      <w:tr>
        <w:trPr>
          <w:trHeight w:val="214"/>
        </w:trPr>
        <w:tc>
          <w:tcPr>
            <w:tcW w:w="514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73"/>
              <w:spacing w:after="0"/>
              <w:rPr>
                <w:sz w:val="20"/>
                <w:szCs w:val="20"/>
                <w:color w:val="auto"/>
              </w:rPr>
            </w:pPr>
            <w:r>
              <w:rPr>
                <w:rFonts w:ascii="Arial" w:cs="Arial" w:eastAsia="Arial" w:hAnsi="Arial"/>
                <w:sz w:val="17"/>
                <w:szCs w:val="17"/>
                <w:b w:val="1"/>
                <w:bCs w:val="1"/>
                <w:color w:val="auto"/>
                <w:w w:val="84"/>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96"/>
              </w:rPr>
              <w:t>(1,650)</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(1,880)</w:t>
            </w: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ind w:right="460"/>
        <w:spacing w:after="0" w:line="285" w:lineRule="auto"/>
        <w:rPr>
          <w:sz w:val="20"/>
          <w:szCs w:val="20"/>
          <w:color w:val="auto"/>
        </w:rPr>
      </w:pPr>
      <w:r>
        <w:rPr>
          <w:rFonts w:ascii="Arial" w:cs="Arial" w:eastAsia="Arial" w:hAnsi="Arial"/>
          <w:sz w:val="17"/>
          <w:szCs w:val="17"/>
          <w:color w:val="auto"/>
        </w:rPr>
        <w:t>The above deferred tax balances at December 31, 2017 and 2016 were net of valuation allowances relating to net operating losses in certain countries of $119 million and $97 million, respectively.</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a direct result of Schlumberger’s 2016 acquisition of Cameron, certain non-US subsidiaries of Cameron are either wholly or partially owned by a US subsidiary of Schlumberger. As described in Note 3, Schlumberger recorded a $410 million charge relating to the one-time mandatory tax on previously deferred foreign earnings of Schlumberger’s US subsidiary. After considering the impact of foreign tax credits and tax losses, the resulting cash tax payable as a result of the one-time mandatory tax on previously deferred foreign earnings of Schlumberger’s US subsidiary will not be significant.</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than as described above, Schlumberger generally does not provide for taxes related to its undistributed earnings because such earnings either would not be taxable when remitted or they are considered to be indefinitely reinvested. Taxes that would be incurred if the undistributed earnings of other Schlumberger subsidiaries were distributed to their ultimate parent company would not be material.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 xml:space="preserve">The components of </w:t>
      </w:r>
      <w:r>
        <w:rPr>
          <w:rFonts w:ascii="Arial" w:cs="Arial" w:eastAsia="Arial" w:hAnsi="Arial"/>
          <w:sz w:val="17"/>
          <w:szCs w:val="17"/>
          <w:i w:val="1"/>
          <w:iCs w:val="1"/>
          <w:color w:val="auto"/>
        </w:rPr>
        <w:t>Tax expense (benefit)</w:t>
      </w:r>
      <w:r>
        <w:rPr>
          <w:rFonts w:ascii="Arial" w:cs="Arial" w:eastAsia="Arial" w:hAnsi="Arial"/>
          <w:sz w:val="17"/>
          <w:szCs w:val="17"/>
          <w:color w:val="auto"/>
        </w:rPr>
        <w:t xml:space="preserve"> were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15"/>
        </w:trPr>
        <w:tc>
          <w:tcPr>
            <w:tcW w:w="63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2017</w:t>
            </w: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2016</w:t>
            </w:r>
          </w:p>
        </w:tc>
        <w:tc>
          <w:tcPr>
            <w:tcW w:w="26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300" w:type="dxa"/>
            <w:vAlign w:val="bottom"/>
            <w:shd w:val="clear" w:color="auto" w:fill="CFF0FC"/>
          </w:tcPr>
          <w:p>
            <w:pPr>
              <w:spacing w:after="0"/>
              <w:rPr>
                <w:sz w:val="20"/>
                <w:szCs w:val="20"/>
                <w:color w:val="auto"/>
              </w:rPr>
            </w:pPr>
            <w:r>
              <w:rPr>
                <w:rFonts w:ascii="Arial" w:cs="Arial" w:eastAsia="Arial" w:hAnsi="Arial"/>
                <w:sz w:val="17"/>
                <w:szCs w:val="17"/>
                <w:color w:val="auto"/>
              </w:rPr>
              <w:t>Current: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United States-Federal</w:t>
            </w:r>
          </w:p>
        </w:tc>
        <w:tc>
          <w:tcPr>
            <w:tcW w:w="320" w:type="dxa"/>
            <w:vAlign w:val="bottom"/>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(170)</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(511)</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00" w:type="dxa"/>
            <w:vAlign w:val="bottom"/>
            <w:shd w:val="clear" w:color="auto" w:fill="CFF0FC"/>
          </w:tcPr>
          <w:p>
            <w:pPr>
              <w:spacing w:after="0"/>
              <w:rPr>
                <w:sz w:val="20"/>
                <w:szCs w:val="20"/>
                <w:color w:val="auto"/>
              </w:rPr>
            </w:pPr>
            <w:r>
              <w:rPr>
                <w:rFonts w:ascii="Arial" w:cs="Arial" w:eastAsia="Arial" w:hAnsi="Arial"/>
                <w:sz w:val="17"/>
                <w:szCs w:val="17"/>
                <w:color w:val="auto"/>
              </w:rPr>
              <w:t>United States-State</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(36)</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Outside United States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3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590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7"/>
                <w:szCs w:val="17"/>
                <w:color w:val="auto"/>
              </w:rPr>
              <w:t>Deferred: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00" w:type="dxa"/>
            <w:vAlign w:val="bottom"/>
            <w:shd w:val="clear" w:color="auto" w:fill="CFF0FC"/>
          </w:tcPr>
          <w:p>
            <w:pPr>
              <w:spacing w:after="0"/>
              <w:rPr>
                <w:sz w:val="20"/>
                <w:szCs w:val="20"/>
                <w:color w:val="auto"/>
              </w:rPr>
            </w:pPr>
            <w:r>
              <w:rPr>
                <w:rFonts w:ascii="Arial" w:cs="Arial" w:eastAsia="Arial" w:hAnsi="Arial"/>
                <w:sz w:val="17"/>
                <w:szCs w:val="17"/>
                <w:color w:val="auto"/>
              </w:rPr>
              <w:t>United States-Federal</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(225)</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(352)</w:t>
            </w: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United States-State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1"/>
        </w:trPr>
        <w:tc>
          <w:tcPr>
            <w:tcW w:w="6300" w:type="dxa"/>
            <w:vAlign w:val="bottom"/>
            <w:shd w:val="clear" w:color="auto" w:fill="CFF0FC"/>
          </w:tcPr>
          <w:p>
            <w:pPr>
              <w:spacing w:after="0"/>
              <w:rPr>
                <w:sz w:val="20"/>
                <w:szCs w:val="20"/>
                <w:color w:val="auto"/>
              </w:rPr>
            </w:pPr>
            <w:r>
              <w:rPr>
                <w:rFonts w:ascii="Arial" w:cs="Arial" w:eastAsia="Arial" w:hAnsi="Arial"/>
                <w:sz w:val="17"/>
                <w:szCs w:val="17"/>
                <w:color w:val="auto"/>
              </w:rPr>
              <w:t>Outside United States</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(47)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(51)</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Valuation allowance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6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(260)</w:t>
            </w:r>
          </w:p>
        </w:tc>
        <w:tc>
          <w:tcPr>
            <w:tcW w:w="1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(379)</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3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330</w:t>
            </w:r>
          </w:p>
        </w:tc>
        <w:tc>
          <w:tcPr>
            <w:tcW w:w="18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(278)</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United States statutory federal tax rate (35%) to the consolidated effective tax rate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2017</w:t>
            </w:r>
          </w:p>
        </w:tc>
        <w:tc>
          <w:tcPr>
            <w:tcW w:w="42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color w:val="auto"/>
              </w:rPr>
              <w:t>2016</w:t>
            </w:r>
          </w:p>
        </w:tc>
        <w:tc>
          <w:tcPr>
            <w:tcW w:w="3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2015</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00" w:type="dxa"/>
            <w:vAlign w:val="bottom"/>
            <w:shd w:val="clear" w:color="auto" w:fill="CFF0FC"/>
          </w:tcPr>
          <w:p>
            <w:pPr>
              <w:spacing w:after="0"/>
              <w:rPr>
                <w:sz w:val="20"/>
                <w:szCs w:val="20"/>
                <w:color w:val="auto"/>
              </w:rPr>
            </w:pPr>
            <w:r>
              <w:rPr>
                <w:rFonts w:ascii="Arial" w:cs="Arial" w:eastAsia="Arial" w:hAnsi="Arial"/>
                <w:sz w:val="17"/>
                <w:szCs w:val="17"/>
                <w:color w:val="auto"/>
              </w:rPr>
              <w:t>US federal statutory rate</w:t>
            </w:r>
          </w:p>
        </w:tc>
        <w:tc>
          <w:tcPr>
            <w:tcW w:w="1880" w:type="dxa"/>
            <w:vAlign w:val="bottom"/>
            <w:gridSpan w:val="2"/>
            <w:shd w:val="clear" w:color="auto" w:fill="CFF0FC"/>
          </w:tcPr>
          <w:p>
            <w:pPr>
              <w:jc w:val="right"/>
              <w:ind w:right="153"/>
              <w:spacing w:after="0"/>
              <w:rPr>
                <w:sz w:val="20"/>
                <w:szCs w:val="20"/>
                <w:color w:val="auto"/>
              </w:rPr>
            </w:pPr>
            <w:r>
              <w:rPr>
                <w:rFonts w:ascii="Arial" w:cs="Arial" w:eastAsia="Arial" w:hAnsi="Arial"/>
                <w:sz w:val="17"/>
                <w:szCs w:val="17"/>
                <w:b w:val="1"/>
                <w:bCs w:val="1"/>
                <w:color w:val="auto"/>
              </w:rPr>
              <w:t>35%</w:t>
            </w: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35%</w:t>
            </w: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State tax</w:t>
            </w: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00" w:type="dxa"/>
            <w:vAlign w:val="bottom"/>
            <w:shd w:val="clear" w:color="auto" w:fill="CFF0FC"/>
          </w:tcPr>
          <w:p>
            <w:pPr>
              <w:spacing w:after="0"/>
              <w:rPr>
                <w:sz w:val="20"/>
                <w:szCs w:val="20"/>
                <w:color w:val="auto"/>
              </w:rPr>
            </w:pPr>
            <w:r>
              <w:rPr>
                <w:rFonts w:ascii="Arial" w:cs="Arial" w:eastAsia="Arial" w:hAnsi="Arial"/>
                <w:sz w:val="17"/>
                <w:szCs w:val="17"/>
                <w:color w:val="auto"/>
              </w:rPr>
              <w:t>Non-US income taxed at different rates</w:t>
            </w:r>
          </w:p>
        </w:tc>
        <w:tc>
          <w:tcPr>
            <w:tcW w:w="1880" w:type="dxa"/>
            <w:vAlign w:val="bottom"/>
            <w:gridSpan w:val="2"/>
            <w:shd w:val="clear" w:color="auto" w:fill="CFF0FC"/>
          </w:tcPr>
          <w:p>
            <w:pPr>
              <w:jc w:val="right"/>
              <w:ind w:right="273"/>
              <w:spacing w:after="0"/>
              <w:rPr>
                <w:sz w:val="20"/>
                <w:szCs w:val="20"/>
                <w:color w:val="auto"/>
              </w:rPr>
            </w:pPr>
            <w:r>
              <w:rPr>
                <w:rFonts w:ascii="Arial" w:cs="Arial" w:eastAsia="Arial" w:hAnsi="Arial"/>
                <w:sz w:val="17"/>
                <w:szCs w:val="17"/>
                <w:b w:val="1"/>
                <w:bCs w:val="1"/>
                <w:color w:val="auto"/>
              </w:rPr>
              <w:t>(24)</w:t>
            </w: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(21)</w:t>
            </w: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Charges and credits (See Note 3)</w:t>
            </w:r>
          </w:p>
        </w:tc>
        <w:tc>
          <w:tcPr>
            <w:tcW w:w="1880" w:type="dxa"/>
            <w:vAlign w:val="bottom"/>
            <w:gridSpan w:val="2"/>
          </w:tcPr>
          <w:p>
            <w:pPr>
              <w:jc w:val="right"/>
              <w:ind w:right="273"/>
              <w:spacing w:after="0"/>
              <w:rPr>
                <w:sz w:val="20"/>
                <w:szCs w:val="20"/>
                <w:color w:val="auto"/>
              </w:rPr>
            </w:pPr>
            <w:r>
              <w:rPr>
                <w:rFonts w:ascii="Arial" w:cs="Arial" w:eastAsia="Arial" w:hAnsi="Arial"/>
                <w:sz w:val="17"/>
                <w:szCs w:val="17"/>
                <w:b w:val="1"/>
                <w:bCs w:val="1"/>
                <w:color w:val="auto"/>
              </w:rPr>
              <w:t>(40)</w:t>
            </w:r>
          </w:p>
        </w:tc>
        <w:tc>
          <w:tcPr>
            <w:tcW w:w="180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1480" w:type="dxa"/>
            <w:vAlign w:val="bottom"/>
          </w:tcPr>
          <w:p>
            <w:pPr>
              <w:jc w:val="right"/>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00" w:type="dxa"/>
            <w:vAlign w:val="bottom"/>
            <w:shd w:val="clear" w:color="auto" w:fill="CFF0FC"/>
          </w:tcPr>
          <w:p>
            <w:pPr>
              <w:spacing w:after="0"/>
              <w:rPr>
                <w:sz w:val="20"/>
                <w:szCs w:val="20"/>
                <w:color w:val="auto"/>
              </w:rPr>
            </w:pPr>
            <w:r>
              <w:rPr>
                <w:rFonts w:ascii="Arial" w:cs="Arial" w:eastAsia="Arial" w:hAnsi="Arial"/>
                <w:sz w:val="17"/>
                <w:szCs w:val="17"/>
                <w:color w:val="auto"/>
              </w:rPr>
              <w:t>Enactment of US tax reform</w:t>
            </w:r>
          </w:p>
        </w:tc>
        <w:tc>
          <w:tcPr>
            <w:tcW w:w="1880" w:type="dxa"/>
            <w:vAlign w:val="bottom"/>
            <w:gridSpan w:val="2"/>
            <w:shd w:val="clear" w:color="auto" w:fill="CFF0FC"/>
          </w:tcPr>
          <w:p>
            <w:pPr>
              <w:jc w:val="right"/>
              <w:ind w:right="273"/>
              <w:spacing w:after="0"/>
              <w:rPr>
                <w:sz w:val="20"/>
                <w:szCs w:val="20"/>
                <w:color w:val="auto"/>
              </w:rPr>
            </w:pPr>
            <w:r>
              <w:rPr>
                <w:rFonts w:ascii="Arial" w:cs="Arial" w:eastAsia="Arial" w:hAnsi="Arial"/>
                <w:sz w:val="17"/>
                <w:szCs w:val="17"/>
                <w:b w:val="1"/>
                <w:bCs w:val="1"/>
                <w:color w:val="auto"/>
              </w:rPr>
              <w:t>(6)</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Other</w:t>
            </w: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FF0FC"/>
          </w:tcPr>
          <w:p>
            <w:pPr>
              <w:jc w:val="right"/>
              <w:ind w:right="93"/>
              <w:spacing w:after="0"/>
              <w:rPr>
                <w:sz w:val="20"/>
                <w:szCs w:val="20"/>
                <w:color w:val="auto"/>
              </w:rPr>
            </w:pPr>
            <w:r>
              <w:rPr>
                <w:rFonts w:ascii="Arial" w:cs="Arial" w:eastAsia="Arial" w:hAnsi="Arial"/>
                <w:sz w:val="17"/>
                <w:szCs w:val="17"/>
                <w:b w:val="1"/>
                <w:bCs w:val="1"/>
                <w:color w:val="auto"/>
              </w:rPr>
              <w:t>%</w:t>
            </w:r>
          </w:p>
        </w:tc>
        <w:tc>
          <w:tcPr>
            <w:tcW w:w="14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(28)</w:t>
            </w:r>
          </w:p>
        </w:tc>
        <w:tc>
          <w:tcPr>
            <w:tcW w:w="420" w:type="dxa"/>
            <w:vAlign w:val="bottom"/>
            <w:vMerge w:val="continue"/>
            <w:shd w:val="clear" w:color="auto" w:fill="CFF0FC"/>
          </w:tcPr>
          <w:p>
            <w:pPr>
              <w:spacing w:after="0"/>
              <w:rPr>
                <w:sz w:val="18"/>
                <w:szCs w:val="18"/>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15%</w:t>
            </w: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number of the jurisdictions in which Schlumberger operates have tax laws that are not fully defined and are evolving. Schlumberger’s tax filings are subject to regular audit by the tax authorities. These audits may result in assessments for additional taxes that are resolved with the tax authorities, or potentially through the courts. Tax liabilities are recorded based on estimates of additional taxes that will be due upon the conclusion of these audits. Due to the uncertain and complex application of tax regulations, the ultimate resolution of audits may result in liabilities which could be materially different from these estimates.</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 reconciliation of the beginning and ending amount of liabilities associated with uncertain tax positions for the years ended December 31, 2017, 2016 and 2015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8"/>
        </w:trPr>
        <w:tc>
          <w:tcPr>
            <w:tcW w:w="6300" w:type="dxa"/>
            <w:vAlign w:val="bottom"/>
            <w:tcBorders>
              <w:bottom w:val="single" w:sz="8" w:color="CFF0FC"/>
            </w:tcBorders>
          </w:tcPr>
          <w:p>
            <w:pPr>
              <w:spacing w:after="0"/>
              <w:rPr>
                <w:sz w:val="24"/>
                <w:szCs w:val="24"/>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b w:val="1"/>
                <w:bCs w:val="1"/>
                <w:color w:val="auto"/>
              </w:rPr>
              <w:t>2017</w:t>
            </w: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2016</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300" w:type="dxa"/>
            <w:vAlign w:val="bottom"/>
            <w:shd w:val="clear" w:color="auto" w:fill="CFF0FC"/>
          </w:tcPr>
          <w:p>
            <w:pPr>
              <w:spacing w:after="0"/>
              <w:rPr>
                <w:sz w:val="20"/>
                <w:szCs w:val="20"/>
                <w:color w:val="auto"/>
              </w:rPr>
            </w:pPr>
            <w:r>
              <w:rPr>
                <w:rFonts w:ascii="Arial" w:cs="Arial" w:eastAsia="Arial" w:hAnsi="Arial"/>
                <w:sz w:val="17"/>
                <w:szCs w:val="17"/>
                <w:color w:val="auto"/>
              </w:rPr>
              <w:t>Balance at beginning of year</w:t>
            </w:r>
          </w:p>
        </w:tc>
        <w:tc>
          <w:tcPr>
            <w:tcW w:w="1000" w:type="dxa"/>
            <w:vAlign w:val="bottom"/>
            <w:shd w:val="clear" w:color="auto" w:fill="CFF0FC"/>
          </w:tcPr>
          <w:p>
            <w:pPr>
              <w:jc w:val="right"/>
              <w:ind w:right="841"/>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1,419</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1,285</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Additions based on tax positions related to the current year</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00" w:type="dxa"/>
            <w:vAlign w:val="bottom"/>
            <w:shd w:val="clear" w:color="auto" w:fill="CFF0FC"/>
          </w:tcPr>
          <w:p>
            <w:pPr>
              <w:spacing w:after="0"/>
              <w:rPr>
                <w:sz w:val="20"/>
                <w:szCs w:val="20"/>
                <w:color w:val="auto"/>
              </w:rPr>
            </w:pPr>
            <w:r>
              <w:rPr>
                <w:rFonts w:ascii="Arial" w:cs="Arial" w:eastAsia="Arial" w:hAnsi="Arial"/>
                <w:sz w:val="17"/>
                <w:szCs w:val="17"/>
                <w:color w:val="auto"/>
              </w:rPr>
              <w:t>Additions for tax positions of prior years</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Additions related to acquisitions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00" w:type="dxa"/>
            <w:vAlign w:val="bottom"/>
            <w:shd w:val="clear" w:color="auto" w:fill="CFF0FC"/>
          </w:tcPr>
          <w:p>
            <w:pPr>
              <w:spacing w:after="0"/>
              <w:rPr>
                <w:sz w:val="20"/>
                <w:szCs w:val="20"/>
                <w:color w:val="auto"/>
              </w:rPr>
            </w:pPr>
            <w:r>
              <w:rPr>
                <w:rFonts w:ascii="Arial" w:cs="Arial" w:eastAsia="Arial" w:hAnsi="Arial"/>
                <w:sz w:val="17"/>
                <w:szCs w:val="17"/>
                <w:color w:val="auto"/>
              </w:rPr>
              <w:t>Impact of changes in exchange rates</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Settlements with tax authorities</w:t>
            </w:r>
          </w:p>
        </w:tc>
        <w:tc>
          <w:tcPr>
            <w:tcW w:w="10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1"/>
        </w:trPr>
        <w:tc>
          <w:tcPr>
            <w:tcW w:w="6300" w:type="dxa"/>
            <w:vAlign w:val="bottom"/>
            <w:shd w:val="clear" w:color="auto" w:fill="CFF0FC"/>
          </w:tcPr>
          <w:p>
            <w:pPr>
              <w:spacing w:after="0"/>
              <w:rPr>
                <w:sz w:val="20"/>
                <w:szCs w:val="20"/>
                <w:color w:val="auto"/>
              </w:rPr>
            </w:pPr>
            <w:r>
              <w:rPr>
                <w:rFonts w:ascii="Arial" w:cs="Arial" w:eastAsia="Arial" w:hAnsi="Arial"/>
                <w:sz w:val="17"/>
                <w:szCs w:val="17"/>
                <w:color w:val="auto"/>
              </w:rPr>
              <w:t>Reductions for tax positions of prior years</w:t>
            </w: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(157)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Reductions due to the lapse of the applicable statute of limitations</w:t>
            </w:r>
          </w:p>
        </w:tc>
        <w:tc>
          <w:tcPr>
            <w:tcW w:w="10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Balance at end of year</w:t>
            </w: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30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jc w:val="right"/>
              <w:ind w:right="841"/>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1,393</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1,419</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amounts above exclude accrued interest and penalties of $195 million, $178 million and $176 million at December 31, 2017, 2016 and 2015, respectively. Schlumberger classifies interest and penalties relating to uncertain tax positions within </w:t>
      </w:r>
      <w:r>
        <w:rPr>
          <w:rFonts w:ascii="Arial" w:cs="Arial" w:eastAsia="Arial" w:hAnsi="Arial"/>
          <w:sz w:val="17"/>
          <w:szCs w:val="17"/>
          <w:i w:val="1"/>
          <w:iCs w:val="1"/>
          <w:color w:val="auto"/>
        </w:rPr>
        <w:t>Tax expense (benefit)</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 xml:space="preserve"> </w:t>
      </w:r>
      <w:r>
        <w:rPr>
          <w:rFonts w:ascii="Arial" w:cs="Arial" w:eastAsia="Arial" w:hAnsi="Arial"/>
          <w:sz w:val="17"/>
          <w:szCs w:val="17"/>
          <w:i w:val="1"/>
          <w:iCs w:val="1"/>
          <w:color w:val="auto"/>
        </w:rPr>
        <w:t>(Loss)</w:t>
      </w:r>
      <w:r>
        <w:rPr>
          <w:rFonts w:ascii="Arial" w:cs="Arial" w:eastAsia="Arial" w:hAnsi="Arial"/>
          <w:sz w:val="17"/>
          <w:szCs w:val="17"/>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54" w:name="page55"/>
    <w:bookmarkEnd w:id="54"/>
    <w:p>
      <w:pPr>
        <w:jc w:val="both"/>
        <w:spacing w:after="0" w:line="285" w:lineRule="auto"/>
        <w:rPr>
          <w:sz w:val="20"/>
          <w:szCs w:val="20"/>
          <w:color w:val="auto"/>
        </w:rPr>
      </w:pPr>
      <w:r>
        <w:rPr>
          <w:rFonts w:ascii="Arial" w:cs="Arial" w:eastAsia="Arial" w:hAnsi="Arial"/>
          <w:sz w:val="17"/>
          <w:szCs w:val="17"/>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Brazil</w:t>
            </w:r>
          </w:p>
        </w:tc>
        <w:tc>
          <w:tcPr>
            <w:tcW w:w="4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2012 - 2017</w:t>
            </w:r>
          </w:p>
        </w:tc>
      </w:tr>
      <w:tr>
        <w:trPr>
          <w:trHeight w:val="221"/>
        </w:trPr>
        <w:tc>
          <w:tcPr>
            <w:tcW w:w="4480" w:type="dxa"/>
            <w:vAlign w:val="bottom"/>
          </w:tcPr>
          <w:p>
            <w:pPr>
              <w:spacing w:after="0"/>
              <w:rPr>
                <w:sz w:val="20"/>
                <w:szCs w:val="20"/>
                <w:color w:val="auto"/>
              </w:rPr>
            </w:pPr>
            <w:r>
              <w:rPr>
                <w:rFonts w:ascii="Arial" w:cs="Arial" w:eastAsia="Arial" w:hAnsi="Arial"/>
                <w:sz w:val="17"/>
                <w:szCs w:val="17"/>
                <w:color w:val="auto"/>
              </w:rPr>
              <w:t>Canada</w:t>
            </w:r>
          </w:p>
        </w:tc>
        <w:tc>
          <w:tcPr>
            <w:tcW w:w="4160" w:type="dxa"/>
            <w:vAlign w:val="bottom"/>
          </w:tcPr>
          <w:p>
            <w:pPr>
              <w:jc w:val="right"/>
              <w:spacing w:after="0"/>
              <w:rPr>
                <w:sz w:val="20"/>
                <w:szCs w:val="20"/>
                <w:color w:val="auto"/>
              </w:rPr>
            </w:pPr>
            <w:r>
              <w:rPr>
                <w:rFonts w:ascii="Arial" w:cs="Arial" w:eastAsia="Arial" w:hAnsi="Arial"/>
                <w:sz w:val="17"/>
                <w:szCs w:val="17"/>
                <w:color w:val="auto"/>
              </w:rPr>
              <w:t>2010 - 2017</w:t>
            </w:r>
          </w:p>
        </w:tc>
      </w:tr>
      <w:tr>
        <w:trPr>
          <w:trHeight w:val="221"/>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Ecuador</w:t>
            </w:r>
          </w:p>
        </w:tc>
        <w:tc>
          <w:tcPr>
            <w:tcW w:w="4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2014 - 2017</w:t>
            </w:r>
          </w:p>
        </w:tc>
      </w:tr>
      <w:tr>
        <w:trPr>
          <w:trHeight w:val="221"/>
        </w:trPr>
        <w:tc>
          <w:tcPr>
            <w:tcW w:w="4480" w:type="dxa"/>
            <w:vAlign w:val="bottom"/>
          </w:tcPr>
          <w:p>
            <w:pPr>
              <w:spacing w:after="0"/>
              <w:rPr>
                <w:sz w:val="20"/>
                <w:szCs w:val="20"/>
                <w:color w:val="auto"/>
              </w:rPr>
            </w:pPr>
            <w:r>
              <w:rPr>
                <w:rFonts w:ascii="Arial" w:cs="Arial" w:eastAsia="Arial" w:hAnsi="Arial"/>
                <w:sz w:val="17"/>
                <w:szCs w:val="17"/>
                <w:color w:val="auto"/>
              </w:rPr>
              <w:t>Mexico</w:t>
            </w:r>
          </w:p>
        </w:tc>
        <w:tc>
          <w:tcPr>
            <w:tcW w:w="4160" w:type="dxa"/>
            <w:vAlign w:val="bottom"/>
          </w:tcPr>
          <w:p>
            <w:pPr>
              <w:jc w:val="right"/>
              <w:spacing w:after="0"/>
              <w:rPr>
                <w:sz w:val="20"/>
                <w:szCs w:val="20"/>
                <w:color w:val="auto"/>
              </w:rPr>
            </w:pPr>
            <w:r>
              <w:rPr>
                <w:rFonts w:ascii="Arial" w:cs="Arial" w:eastAsia="Arial" w:hAnsi="Arial"/>
                <w:sz w:val="17"/>
                <w:szCs w:val="17"/>
                <w:color w:val="auto"/>
              </w:rPr>
              <w:t>2011 - 2017</w:t>
            </w:r>
          </w:p>
        </w:tc>
      </w:tr>
      <w:tr>
        <w:trPr>
          <w:trHeight w:val="221"/>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Norway</w:t>
            </w:r>
          </w:p>
        </w:tc>
        <w:tc>
          <w:tcPr>
            <w:tcW w:w="4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2013 - 2017</w:t>
            </w:r>
          </w:p>
        </w:tc>
      </w:tr>
      <w:tr>
        <w:trPr>
          <w:trHeight w:val="221"/>
        </w:trPr>
        <w:tc>
          <w:tcPr>
            <w:tcW w:w="4480" w:type="dxa"/>
            <w:vAlign w:val="bottom"/>
          </w:tcPr>
          <w:p>
            <w:pPr>
              <w:spacing w:after="0"/>
              <w:rPr>
                <w:sz w:val="20"/>
                <w:szCs w:val="20"/>
                <w:color w:val="auto"/>
              </w:rPr>
            </w:pPr>
            <w:r>
              <w:rPr>
                <w:rFonts w:ascii="Arial" w:cs="Arial" w:eastAsia="Arial" w:hAnsi="Arial"/>
                <w:sz w:val="17"/>
                <w:szCs w:val="17"/>
                <w:color w:val="auto"/>
              </w:rPr>
              <w:t>Russia</w:t>
            </w:r>
          </w:p>
        </w:tc>
        <w:tc>
          <w:tcPr>
            <w:tcW w:w="4160" w:type="dxa"/>
            <w:vAlign w:val="bottom"/>
          </w:tcPr>
          <w:p>
            <w:pPr>
              <w:jc w:val="right"/>
              <w:spacing w:after="0"/>
              <w:rPr>
                <w:sz w:val="20"/>
                <w:szCs w:val="20"/>
                <w:color w:val="auto"/>
              </w:rPr>
            </w:pPr>
            <w:r>
              <w:rPr>
                <w:rFonts w:ascii="Arial" w:cs="Arial" w:eastAsia="Arial" w:hAnsi="Arial"/>
                <w:sz w:val="17"/>
                <w:szCs w:val="17"/>
                <w:color w:val="auto"/>
              </w:rPr>
              <w:t>2014 - 2017</w:t>
            </w:r>
          </w:p>
        </w:tc>
      </w:tr>
      <w:tr>
        <w:trPr>
          <w:trHeight w:val="221"/>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Saudi Arabia</w:t>
            </w:r>
          </w:p>
        </w:tc>
        <w:tc>
          <w:tcPr>
            <w:tcW w:w="4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2004 - 2017</w:t>
            </w:r>
          </w:p>
        </w:tc>
      </w:tr>
      <w:tr>
        <w:trPr>
          <w:trHeight w:val="221"/>
        </w:trPr>
        <w:tc>
          <w:tcPr>
            <w:tcW w:w="4480" w:type="dxa"/>
            <w:vAlign w:val="bottom"/>
          </w:tcPr>
          <w:p>
            <w:pPr>
              <w:spacing w:after="0"/>
              <w:rPr>
                <w:sz w:val="20"/>
                <w:szCs w:val="20"/>
                <w:color w:val="auto"/>
              </w:rPr>
            </w:pPr>
            <w:r>
              <w:rPr>
                <w:rFonts w:ascii="Arial" w:cs="Arial" w:eastAsia="Arial" w:hAnsi="Arial"/>
                <w:sz w:val="17"/>
                <w:szCs w:val="17"/>
                <w:color w:val="auto"/>
              </w:rPr>
              <w:t>United Kingdom</w:t>
            </w:r>
          </w:p>
        </w:tc>
        <w:tc>
          <w:tcPr>
            <w:tcW w:w="4160" w:type="dxa"/>
            <w:vAlign w:val="bottom"/>
          </w:tcPr>
          <w:p>
            <w:pPr>
              <w:jc w:val="right"/>
              <w:spacing w:after="0"/>
              <w:rPr>
                <w:sz w:val="20"/>
                <w:szCs w:val="20"/>
                <w:color w:val="auto"/>
              </w:rPr>
            </w:pPr>
            <w:r>
              <w:rPr>
                <w:rFonts w:ascii="Arial" w:cs="Arial" w:eastAsia="Arial" w:hAnsi="Arial"/>
                <w:sz w:val="17"/>
                <w:szCs w:val="17"/>
                <w:color w:val="auto"/>
              </w:rPr>
              <w:t>2015 - 2017</w:t>
            </w:r>
          </w:p>
        </w:tc>
      </w:tr>
      <w:tr>
        <w:trPr>
          <w:trHeight w:val="221"/>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4160" w:type="dxa"/>
            <w:vAlign w:val="bottom"/>
            <w:shd w:val="clear" w:color="auto" w:fill="CFF0FC"/>
          </w:tcPr>
          <w:p>
            <w:pPr>
              <w:jc w:val="right"/>
              <w:spacing w:after="0"/>
              <w:rPr>
                <w:sz w:val="20"/>
                <w:szCs w:val="20"/>
                <w:color w:val="auto"/>
              </w:rPr>
            </w:pPr>
            <w:r>
              <w:rPr>
                <w:rFonts w:ascii="Arial" w:cs="Arial" w:eastAsia="Arial" w:hAnsi="Arial"/>
                <w:sz w:val="17"/>
                <w:szCs w:val="17"/>
                <w:color w:val="auto"/>
                <w:shd w:val="clear" w:color="auto" w:fill="CFF0FC"/>
              </w:rPr>
              <w:t>2014 - 2017</w:t>
            </w:r>
          </w:p>
        </w:tc>
      </w:tr>
    </w:tbl>
    <w:p>
      <w:pPr>
        <w:spacing w:after="0" w:line="23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certain of the jurisdictions noted above, Schlumberger operates through more than one legal entity, each of which may have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300" w:lineRule="exact"/>
        <w:rPr>
          <w:sz w:val="20"/>
          <w:szCs w:val="20"/>
          <w:color w:val="auto"/>
        </w:rPr>
      </w:pPr>
    </w:p>
    <w:p>
      <w:pPr>
        <w:ind w:left="260" w:hanging="256"/>
        <w:spacing w:after="0"/>
        <w:tabs>
          <w:tab w:leader="none" w:pos="26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Leases and Lease Commitments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Total rental expense was $1.1 billion in 2017, $1.2 billion in 2016, and $1.6 billion in 2015.</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rental commitments under noncancelable operating leases for each of the next five years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i w:val="1"/>
                <w:iCs w:val="1"/>
                <w:color w:val="auto"/>
                <w:w w:val="98"/>
              </w:rPr>
              <w:t>(Stated in millions)</w:t>
            </w:r>
          </w:p>
        </w:tc>
      </w:tr>
      <w:tr>
        <w:trPr>
          <w:trHeight w:val="207"/>
        </w:trPr>
        <w:tc>
          <w:tcPr>
            <w:tcW w:w="41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2018</w:t>
            </w:r>
          </w:p>
        </w:tc>
        <w:tc>
          <w:tcPr>
            <w:tcW w:w="3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w:t>
            </w:r>
          </w:p>
        </w:tc>
        <w:tc>
          <w:tcPr>
            <w:tcW w:w="100" w:type="dxa"/>
            <w:vAlign w:val="bottom"/>
            <w:shd w:val="clear" w:color="auto" w:fill="CFF0FC"/>
          </w:tcPr>
          <w:p>
            <w:pPr>
              <w:spacing w:after="0"/>
              <w:rPr>
                <w:sz w:val="19"/>
                <w:szCs w:val="19"/>
                <w:color w:val="auto"/>
              </w:rPr>
            </w:pPr>
          </w:p>
        </w:tc>
      </w:tr>
      <w:tr>
        <w:trPr>
          <w:trHeight w:val="221"/>
        </w:trPr>
        <w:tc>
          <w:tcPr>
            <w:tcW w:w="4100" w:type="dxa"/>
            <w:vAlign w:val="bottom"/>
          </w:tcPr>
          <w:p>
            <w:pPr>
              <w:spacing w:after="0"/>
              <w:rPr>
                <w:sz w:val="20"/>
                <w:szCs w:val="20"/>
                <w:color w:val="auto"/>
              </w:rPr>
            </w:pPr>
            <w:r>
              <w:rPr>
                <w:rFonts w:ascii="Arial" w:cs="Arial" w:eastAsia="Arial" w:hAnsi="Arial"/>
                <w:sz w:val="17"/>
                <w:szCs w:val="17"/>
                <w:color w:val="auto"/>
              </w:rPr>
              <w:t>2019</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9"/>
                <w:szCs w:val="19"/>
                <w:color w:val="auto"/>
              </w:rPr>
            </w:pPr>
          </w:p>
        </w:tc>
      </w:tr>
      <w:tr>
        <w:trPr>
          <w:trHeight w:val="221"/>
        </w:trPr>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3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FF0FC"/>
          </w:tcPr>
          <w:p>
            <w:pPr>
              <w:spacing w:after="0"/>
              <w:rPr>
                <w:sz w:val="19"/>
                <w:szCs w:val="19"/>
                <w:color w:val="auto"/>
              </w:rPr>
            </w:pPr>
          </w:p>
        </w:tc>
      </w:tr>
      <w:tr>
        <w:trPr>
          <w:trHeight w:val="221"/>
        </w:trPr>
        <w:tc>
          <w:tcPr>
            <w:tcW w:w="4100" w:type="dxa"/>
            <w:vAlign w:val="bottom"/>
          </w:tcPr>
          <w:p>
            <w:pPr>
              <w:spacing w:after="0"/>
              <w:rPr>
                <w:sz w:val="20"/>
                <w:szCs w:val="20"/>
                <w:color w:val="auto"/>
              </w:rPr>
            </w:pPr>
            <w:r>
              <w:rPr>
                <w:rFonts w:ascii="Arial" w:cs="Arial" w:eastAsia="Arial" w:hAnsi="Arial"/>
                <w:sz w:val="17"/>
                <w:szCs w:val="17"/>
                <w:color w:val="auto"/>
              </w:rPr>
              <w:t>2021</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9"/>
                <w:szCs w:val="19"/>
                <w:color w:val="auto"/>
              </w:rPr>
            </w:pPr>
          </w:p>
        </w:tc>
      </w:tr>
      <w:tr>
        <w:trPr>
          <w:trHeight w:val="221"/>
        </w:trPr>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3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FF0FC"/>
          </w:tcPr>
          <w:p>
            <w:pPr>
              <w:spacing w:after="0"/>
              <w:rPr>
                <w:sz w:val="19"/>
                <w:szCs w:val="19"/>
                <w:color w:val="auto"/>
              </w:rPr>
            </w:pPr>
          </w:p>
        </w:tc>
      </w:tr>
      <w:tr>
        <w:trPr>
          <w:trHeight w:val="221"/>
        </w:trPr>
        <w:tc>
          <w:tcPr>
            <w:tcW w:w="4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33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Borders>
              <w:bottom w:val="single" w:sz="8" w:color="CFF0FC"/>
            </w:tcBorders>
          </w:tcPr>
          <w:p>
            <w:pPr>
              <w:spacing w:after="0"/>
              <w:rPr>
                <w:sz w:val="19"/>
                <w:szCs w:val="19"/>
                <w:color w:val="auto"/>
              </w:rPr>
            </w:pPr>
          </w:p>
        </w:tc>
      </w:tr>
      <w:tr>
        <w:trPr>
          <w:trHeight w:val="214"/>
        </w:trPr>
        <w:tc>
          <w:tcPr>
            <w:tcW w:w="410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1,432</w:t>
            </w:r>
          </w:p>
        </w:tc>
        <w:tc>
          <w:tcPr>
            <w:tcW w:w="100" w:type="dxa"/>
            <w:vAlign w:val="bottom"/>
            <w:shd w:val="clear" w:color="auto" w:fill="CFF0FC"/>
          </w:tcPr>
          <w:p>
            <w:pPr>
              <w:spacing w:after="0"/>
              <w:rPr>
                <w:sz w:val="18"/>
                <w:szCs w:val="18"/>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33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71" w:lineRule="exact"/>
        <w:rPr>
          <w:sz w:val="20"/>
          <w:szCs w:val="20"/>
          <w:color w:val="auto"/>
        </w:rPr>
      </w:pPr>
    </w:p>
    <w:p>
      <w:pPr>
        <w:ind w:left="260" w:hanging="256"/>
        <w:spacing w:after="0"/>
        <w:tabs>
          <w:tab w:leader="none" w:pos="26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Contingencies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Schlumberger and its subsidiaries are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348" w:lineRule="exact"/>
        <w:rPr>
          <w:sz w:val="20"/>
          <w:szCs w:val="20"/>
          <w:color w:val="auto"/>
        </w:rPr>
      </w:pPr>
    </w:p>
    <w:p>
      <w:pPr>
        <w:ind w:left="260" w:hanging="256"/>
        <w:spacing w:after="0"/>
        <w:tabs>
          <w:tab w:leader="none" w:pos="2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Segment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Schlumberger’s segments are as follows:</w:t>
      </w:r>
    </w:p>
    <w:p>
      <w:pPr>
        <w:spacing w:after="0" w:line="116" w:lineRule="exact"/>
        <w:rPr>
          <w:sz w:val="20"/>
          <w:szCs w:val="20"/>
          <w:color w:val="auto"/>
        </w:rPr>
      </w:pPr>
    </w:p>
    <w:p>
      <w:pPr>
        <w:ind w:left="760" w:hanging="379"/>
        <w:spacing w:after="0" w:line="285" w:lineRule="auto"/>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Reservoir Characterization Group </w:t>
      </w:r>
      <w:r>
        <w:rPr>
          <w:rFonts w:ascii="Arial" w:cs="Arial" w:eastAsia="Arial" w:hAnsi="Arial"/>
          <w:sz w:val="17"/>
          <w:szCs w:val="17"/>
          <w:color w:val="auto"/>
        </w:rPr>
        <w:t>– Consists of the principal Technologies involved in finding and defining hydrocarbon resources. These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WesternGeco, Wireline, Testing Services, OneSurface, Software Integrated Solutions and Integrated Services Management.</w:t>
      </w:r>
    </w:p>
    <w:p>
      <w:pPr>
        <w:spacing w:after="0" w:line="55" w:lineRule="exact"/>
        <w:rPr>
          <w:rFonts w:ascii="Arial" w:cs="Arial" w:eastAsia="Arial" w:hAnsi="Arial"/>
          <w:sz w:val="17"/>
          <w:szCs w:val="17"/>
          <w:color w:val="auto"/>
        </w:rPr>
      </w:pPr>
    </w:p>
    <w:p>
      <w:pPr>
        <w:ind w:left="760" w:hanging="379"/>
        <w:spacing w:after="0" w:line="285" w:lineRule="auto"/>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Drilling Group </w:t>
      </w:r>
      <w:r>
        <w:rPr>
          <w:rFonts w:ascii="Arial" w:cs="Arial" w:eastAsia="Arial" w:hAnsi="Arial"/>
          <w:sz w:val="17"/>
          <w:szCs w:val="17"/>
          <w:color w:val="auto"/>
        </w:rPr>
        <w:t>– Consists of the principal Technologies involved in the drilling and positioning of oil and gas wells. These include Bits &amp; Drilling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Tools, M-I SWACO, Drilling &amp; Measurements, Land Rigs and Integrated Drilling Services.</w:t>
      </w:r>
    </w:p>
    <w:p>
      <w:pPr>
        <w:spacing w:after="0" w:line="55" w:lineRule="exact"/>
        <w:rPr>
          <w:rFonts w:ascii="Arial" w:cs="Arial" w:eastAsia="Arial" w:hAnsi="Arial"/>
          <w:sz w:val="17"/>
          <w:szCs w:val="17"/>
          <w:color w:val="auto"/>
        </w:rPr>
      </w:pPr>
    </w:p>
    <w:p>
      <w:pPr>
        <w:ind w:left="760" w:hanging="379"/>
        <w:spacing w:after="0" w:line="285" w:lineRule="auto"/>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Production Group </w:t>
      </w:r>
      <w:r>
        <w:rPr>
          <w:rFonts w:ascii="Arial" w:cs="Arial" w:eastAsia="Arial" w:hAnsi="Arial"/>
          <w:sz w:val="17"/>
          <w:szCs w:val="17"/>
          <w:color w:val="auto"/>
        </w:rPr>
        <w:t>– Consists of the principal Technologies involved in the lifetime production of oil and gas reservoirs. These include Well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OneStim, Completions, Artificial Lift, Integrated Production Services and Schlumberger Production Management.</w:t>
      </w:r>
    </w:p>
    <w:p>
      <w:pPr>
        <w:spacing w:after="0" w:line="55" w:lineRule="exact"/>
        <w:rPr>
          <w:rFonts w:ascii="Arial" w:cs="Arial" w:eastAsia="Arial" w:hAnsi="Arial"/>
          <w:sz w:val="17"/>
          <w:szCs w:val="17"/>
          <w:color w:val="auto"/>
        </w:rPr>
      </w:pPr>
    </w:p>
    <w:p>
      <w:pPr>
        <w:ind w:left="760"/>
        <w:spacing w:after="0" w:line="285"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Cameron Group</w:t>
      </w:r>
      <w:r>
        <w:rPr>
          <w:rFonts w:ascii="Arial" w:cs="Arial" w:eastAsia="Arial" w:hAnsi="Arial"/>
          <w:sz w:val="17"/>
          <w:szCs w:val="17"/>
          <w:color w:val="auto"/>
        </w:rPr>
        <w:t xml:space="preserve"> – Consists of the principal Technologies involved in pressure and flow control for drilling and intervention rigs, oil and gas wells and production facilities. These include OneSubsea, Surface Systems, Drilling Systems and Valves &amp; Measurements.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Financial information for the years ended December 31, 2017, 2016 and 2015, by segment, is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2"/>
              </w:rPr>
              <w:t>(Stated in millions)</w:t>
            </w:r>
          </w:p>
        </w:tc>
        <w:tc>
          <w:tcPr>
            <w:tcW w:w="80" w:type="dxa"/>
            <w:vAlign w:val="bottom"/>
          </w:tcPr>
          <w:p>
            <w:pPr>
              <w:spacing w:after="0"/>
              <w:rPr>
                <w:sz w:val="15"/>
                <w:szCs w:val="15"/>
                <w:color w:val="auto"/>
              </w:rPr>
            </w:pPr>
          </w:p>
        </w:tc>
      </w:tr>
      <w:tr>
        <w:trPr>
          <w:trHeight w:val="428"/>
        </w:trPr>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2017</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4"/>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Depreciation</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4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7"/>
                <w:szCs w:val="17"/>
                <w:color w:val="auto"/>
                <w:w w:val="93"/>
              </w:rPr>
              <w:t>Income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w w:val="84"/>
              </w:rPr>
              <w:t>and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7"/>
                <w:szCs w:val="17"/>
                <w:color w:val="auto"/>
                <w:w w:val="94"/>
              </w:rPr>
              <w:t>Capital</w:t>
            </w:r>
          </w:p>
        </w:tc>
        <w:tc>
          <w:tcPr>
            <w:tcW w:w="80" w:type="dxa"/>
            <w:vAlign w:val="bottom"/>
          </w:tcPr>
          <w:p>
            <w:pPr>
              <w:spacing w:after="0"/>
              <w:rPr>
                <w:sz w:val="19"/>
                <w:szCs w:val="19"/>
                <w:color w:val="auto"/>
              </w:rPr>
            </w:pPr>
          </w:p>
        </w:tc>
      </w:tr>
      <w:tr>
        <w:trPr>
          <w:trHeight w:val="221"/>
        </w:trPr>
        <w:tc>
          <w:tcPr>
            <w:tcW w:w="4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7"/>
                <w:szCs w:val="17"/>
                <w:color w:val="auto"/>
                <w:w w:val="91"/>
              </w:rPr>
              <w:t>Revenue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7"/>
                <w:szCs w:val="17"/>
                <w:color w:val="auto"/>
                <w:w w:val="90"/>
              </w:rPr>
              <w:t>Before Taxes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Assets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Amortization</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Expenditures</w:t>
            </w:r>
          </w:p>
        </w:tc>
        <w:tc>
          <w:tcPr>
            <w:tcW w:w="80" w:type="dxa"/>
            <w:vAlign w:val="bottom"/>
          </w:tcPr>
          <w:p>
            <w:pPr>
              <w:spacing w:after="0"/>
              <w:rPr>
                <w:sz w:val="19"/>
                <w:szCs w:val="19"/>
                <w:color w:val="auto"/>
              </w:rPr>
            </w:pPr>
          </w:p>
        </w:tc>
      </w:tr>
      <w:tr>
        <w:trPr>
          <w:trHeight w:val="214"/>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Reservoir Characterization</w:t>
            </w:r>
          </w:p>
        </w:tc>
        <w:tc>
          <w:tcPr>
            <w:tcW w:w="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gridSpan w:val="2"/>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6,786</w:t>
            </w: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1,251</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4,892</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988</w:t>
            </w: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305</w:t>
            </w: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left w:val="single" w:sz="8" w:color="CFF0FC"/>
            </w:tcBorders>
          </w:tcPr>
          <w:p>
            <w:pPr>
              <w:spacing w:after="0"/>
              <w:rPr>
                <w:sz w:val="18"/>
                <w:szCs w:val="18"/>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Drilling</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8,392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1,151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5,421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rPr>
              <w:t>685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629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Production</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10,639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928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12,326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1,249</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889</w:t>
            </w:r>
          </w:p>
        </w:tc>
        <w:tc>
          <w:tcPr>
            <w:tcW w:w="80" w:type="dxa"/>
            <w:vAlign w:val="bottom"/>
            <w:shd w:val="clear" w:color="auto" w:fill="CFF0FC"/>
          </w:tcPr>
          <w:p>
            <w:pPr>
              <w:spacing w:after="0"/>
              <w:rPr>
                <w:sz w:val="19"/>
                <w:szCs w:val="19"/>
                <w:color w:val="auto"/>
              </w:rPr>
            </w:pPr>
          </w:p>
        </w:tc>
        <w:tc>
          <w:tcPr>
            <w:tcW w:w="80" w:type="dxa"/>
            <w:vAlign w:val="bottom"/>
            <w:tcBorders>
              <w:left w:val="single" w:sz="8" w:color="CFF0FC"/>
            </w:tcBorders>
          </w:tcPr>
          <w:p>
            <w:pPr>
              <w:spacing w:after="0"/>
              <w:rPr>
                <w:sz w:val="19"/>
                <w:szCs w:val="19"/>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Cameron</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5,205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733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3,978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rPr>
              <w:t>264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Eliminations &amp; other</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(582)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(142)</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1,881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213</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134</w:t>
            </w:r>
          </w:p>
        </w:tc>
        <w:tc>
          <w:tcPr>
            <w:tcW w:w="80" w:type="dxa"/>
            <w:vAlign w:val="bottom"/>
            <w:shd w:val="clear" w:color="auto" w:fill="CFF0FC"/>
          </w:tcPr>
          <w:p>
            <w:pPr>
              <w:spacing w:after="0"/>
              <w:rPr>
                <w:sz w:val="19"/>
                <w:szCs w:val="19"/>
                <w:color w:val="auto"/>
              </w:rPr>
            </w:pPr>
          </w:p>
        </w:tc>
        <w:tc>
          <w:tcPr>
            <w:tcW w:w="80" w:type="dxa"/>
            <w:vAlign w:val="bottom"/>
            <w:tcBorders>
              <w:left w:val="single" w:sz="8" w:color="CFF0FC"/>
            </w:tcBorders>
          </w:tcPr>
          <w:p>
            <w:pPr>
              <w:spacing w:after="0"/>
              <w:rPr>
                <w:sz w:val="19"/>
                <w:szCs w:val="19"/>
                <w:color w:val="auto"/>
              </w:rPr>
            </w:pPr>
          </w:p>
        </w:tc>
      </w:tr>
      <w:tr>
        <w:trPr>
          <w:trHeight w:val="214"/>
        </w:trPr>
        <w:tc>
          <w:tcPr>
            <w:tcW w:w="4500" w:type="dxa"/>
            <w:vAlign w:val="bottom"/>
          </w:tcPr>
          <w:p>
            <w:pPr>
              <w:ind w:left="240"/>
              <w:spacing w:after="0"/>
              <w:rPr>
                <w:sz w:val="20"/>
                <w:szCs w:val="20"/>
                <w:color w:val="auto"/>
              </w:rPr>
            </w:pPr>
            <w:r>
              <w:rPr>
                <w:rFonts w:ascii="Arial" w:cs="Arial" w:eastAsia="Arial" w:hAnsi="Arial"/>
                <w:sz w:val="17"/>
                <w:szCs w:val="17"/>
                <w:color w:val="auto"/>
              </w:rPr>
              <w:t>Pretax operating income</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3,921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Goodwill and intangible assets</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34,472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left w:val="single" w:sz="8" w:color="CFF0FC"/>
            </w:tcBorders>
          </w:tcPr>
          <w:p>
            <w:pPr>
              <w:spacing w:after="0"/>
              <w:rPr>
                <w:sz w:val="19"/>
                <w:szCs w:val="19"/>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Cash and short term investments</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5,089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All other assets</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3,928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left w:val="single" w:sz="8" w:color="CFF0FC"/>
            </w:tcBorders>
          </w:tcPr>
          <w:p>
            <w:pPr>
              <w:spacing w:after="0"/>
              <w:rPr>
                <w:sz w:val="19"/>
                <w:szCs w:val="19"/>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 xml:space="preserve">Corporate &amp; other </w:t>
            </w:r>
            <w:r>
              <w:rPr>
                <w:rFonts w:ascii="Arial" w:cs="Arial" w:eastAsia="Arial" w:hAnsi="Arial"/>
                <w:sz w:val="14"/>
                <w:szCs w:val="14"/>
                <w:color w:val="auto"/>
              </w:rPr>
              <w:t>(1)</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(934)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rPr>
              <w:t>438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income </w:t>
            </w:r>
            <w:r>
              <w:rPr>
                <w:rFonts w:ascii="Arial" w:cs="Arial" w:eastAsia="Arial" w:hAnsi="Arial"/>
                <w:sz w:val="14"/>
                <w:szCs w:val="14"/>
                <w:color w:val="auto"/>
              </w:rPr>
              <w:t>(2)</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107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left w:val="single" w:sz="8" w:color="CFF0FC"/>
            </w:tcBorders>
          </w:tcPr>
          <w:p>
            <w:pPr>
              <w:spacing w:after="0"/>
              <w:rPr>
                <w:sz w:val="19"/>
                <w:szCs w:val="19"/>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(513)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14"/>
                <w:szCs w:val="14"/>
                <w:color w:val="auto"/>
              </w:rPr>
              <w:t>(4)</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(3,764)</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left w:val="single" w:sz="8" w:color="CFF0FC"/>
            </w:tcBorders>
          </w:tcPr>
          <w:p>
            <w:pPr>
              <w:spacing w:after="0"/>
              <w:rPr>
                <w:sz w:val="19"/>
                <w:szCs w:val="19"/>
                <w:color w:val="auto"/>
              </w:rPr>
            </w:pPr>
          </w:p>
        </w:tc>
      </w:tr>
      <w:tr>
        <w:trPr>
          <w:trHeight w:val="214"/>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(1,183)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71,987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3,837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2,107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73"/>
        </w:trPr>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i w:val="1"/>
                <w:iCs w:val="1"/>
                <w:color w:val="auto"/>
                <w:w w:val="98"/>
              </w:rPr>
              <w:t>(Stated in millions)</w:t>
            </w:r>
          </w:p>
        </w:tc>
        <w:tc>
          <w:tcPr>
            <w:tcW w:w="80" w:type="dxa"/>
            <w:vAlign w:val="bottom"/>
          </w:tcPr>
          <w:p>
            <w:pPr>
              <w:spacing w:after="0"/>
              <w:rPr>
                <w:sz w:val="24"/>
                <w:szCs w:val="24"/>
                <w:color w:val="auto"/>
              </w:rPr>
            </w:pPr>
          </w:p>
        </w:tc>
      </w:tr>
      <w:tr>
        <w:trPr>
          <w:trHeight w:val="428"/>
        </w:trPr>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2016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4"/>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7"/>
                <w:szCs w:val="17"/>
                <w:color w:val="auto"/>
                <w:w w:val="94"/>
              </w:rPr>
              <w:t>Depreciation</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4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7"/>
                <w:szCs w:val="17"/>
                <w:color w:val="auto"/>
                <w:w w:val="93"/>
              </w:rPr>
              <w:t>Income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and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7"/>
                <w:szCs w:val="17"/>
                <w:color w:val="auto"/>
                <w:w w:val="94"/>
              </w:rPr>
              <w:t>Capital</w:t>
            </w:r>
          </w:p>
        </w:tc>
        <w:tc>
          <w:tcPr>
            <w:tcW w:w="80" w:type="dxa"/>
            <w:vAlign w:val="bottom"/>
          </w:tcPr>
          <w:p>
            <w:pPr>
              <w:spacing w:after="0"/>
              <w:rPr>
                <w:sz w:val="19"/>
                <w:szCs w:val="19"/>
                <w:color w:val="auto"/>
              </w:rPr>
            </w:pPr>
          </w:p>
        </w:tc>
      </w:tr>
      <w:tr>
        <w:trPr>
          <w:trHeight w:val="221"/>
        </w:trPr>
        <w:tc>
          <w:tcPr>
            <w:tcW w:w="450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color w:val="auto"/>
                <w:w w:val="96"/>
              </w:rPr>
              <w:t>Revenue</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color w:val="auto"/>
                <w:w w:val="90"/>
              </w:rPr>
              <w:t>Before Taxes</w:t>
            </w:r>
          </w:p>
        </w:tc>
        <w:tc>
          <w:tcPr>
            <w:tcW w:w="140" w:type="dxa"/>
            <w:vAlign w:val="bottom"/>
            <w:tcBorders>
              <w:bottom w:val="single" w:sz="8" w:color="CFF0FC"/>
            </w:tcBorders>
            <w:gridSpan w:val="2"/>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97"/>
              </w:rPr>
              <w:t>Assets</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7"/>
              </w:rPr>
              <w:t>Amortization</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0"/>
              </w:rPr>
              <w:t>Expenditures</w:t>
            </w:r>
          </w:p>
        </w:tc>
        <w:tc>
          <w:tcPr>
            <w:tcW w:w="120" w:type="dxa"/>
            <w:vAlign w:val="bottom"/>
            <w:tcBorders>
              <w:bottom w:val="single" w:sz="8" w:color="CFF0FC"/>
            </w:tcBorders>
            <w:gridSpan w:val="2"/>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Reservoir Characterization</w:t>
            </w: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6,648</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1,249</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6,890</w:t>
            </w:r>
          </w:p>
        </w:tc>
        <w:tc>
          <w:tcPr>
            <w:tcW w:w="8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19"/>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1,104</w:t>
            </w:r>
          </w:p>
        </w:tc>
        <w:tc>
          <w:tcPr>
            <w:tcW w:w="4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532</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Drilling</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8,561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6,747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Production</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8,804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507</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10,476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Cameron</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4,211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Eliminations &amp; other</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(414)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(130)</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4500" w:type="dxa"/>
            <w:vAlign w:val="bottom"/>
          </w:tcPr>
          <w:p>
            <w:pPr>
              <w:ind w:left="240"/>
              <w:spacing w:after="0"/>
              <w:rPr>
                <w:sz w:val="20"/>
                <w:szCs w:val="20"/>
                <w:color w:val="auto"/>
              </w:rPr>
            </w:pPr>
            <w:r>
              <w:rPr>
                <w:rFonts w:ascii="Arial" w:cs="Arial" w:eastAsia="Arial" w:hAnsi="Arial"/>
                <w:sz w:val="17"/>
                <w:szCs w:val="17"/>
                <w:color w:val="auto"/>
              </w:rPr>
              <w:t>Pretax operating income</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Goodwill and intangible assets</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34,845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w w:val="99"/>
              </w:rPr>
              <w:t>Cash, short term investments and fixed income investments</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9,495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All other assets</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 xml:space="preserve">Corporate &amp; other </w:t>
            </w:r>
            <w:r>
              <w:rPr>
                <w:rFonts w:ascii="Arial" w:cs="Arial" w:eastAsia="Arial" w:hAnsi="Arial"/>
                <w:sz w:val="14"/>
                <w:szCs w:val="14"/>
                <w:color w:val="auto"/>
              </w:rPr>
              <w:t>(1)</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7"/>
                <w:szCs w:val="17"/>
                <w:color w:val="auto"/>
              </w:rPr>
              <w:t>(925)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income </w:t>
            </w:r>
            <w:r>
              <w:rPr>
                <w:rFonts w:ascii="Arial" w:cs="Arial" w:eastAsia="Arial" w:hAnsi="Arial"/>
                <w:sz w:val="14"/>
                <w:szCs w:val="14"/>
                <w:color w:val="auto"/>
              </w:rPr>
              <w:t>(2)</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7"/>
                <w:szCs w:val="17"/>
                <w:color w:val="auto"/>
              </w:rPr>
              <w:t>(517)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14"/>
                <w:szCs w:val="14"/>
                <w:color w:val="auto"/>
              </w:rPr>
              <w:t>(4)</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(3,820)</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2"/>
        </w:trPr>
        <w:tc>
          <w:tcPr>
            <w:tcW w:w="45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27,810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3"/>
          </w:tcPr>
          <w:p>
            <w:pPr>
              <w:jc w:val="right"/>
              <w:ind w:right="80"/>
              <w:spacing w:after="0"/>
              <w:rPr>
                <w:sz w:val="20"/>
                <w:szCs w:val="20"/>
                <w:color w:val="auto"/>
              </w:rPr>
            </w:pPr>
            <w:r>
              <w:rPr>
                <w:rFonts w:ascii="Arial" w:cs="Arial" w:eastAsia="Arial" w:hAnsi="Arial"/>
                <w:sz w:val="17"/>
                <w:szCs w:val="17"/>
                <w:color w:val="auto"/>
              </w:rPr>
              <w:t>(1,905)</w:t>
            </w:r>
          </w:p>
        </w:tc>
        <w:tc>
          <w:tcPr>
            <w:tcW w:w="28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77,956</w:t>
            </w:r>
          </w:p>
        </w:tc>
        <w:tc>
          <w:tcPr>
            <w:tcW w:w="80" w:type="dxa"/>
            <w:vAlign w:val="bottom"/>
          </w:tcPr>
          <w:p>
            <w:pPr>
              <w:spacing w:after="0"/>
              <w:rPr>
                <w:sz w:val="24"/>
                <w:szCs w:val="24"/>
                <w:color w:val="auto"/>
              </w:rPr>
            </w:pPr>
          </w:p>
        </w:tc>
        <w:tc>
          <w:tcPr>
            <w:tcW w:w="300" w:type="dxa"/>
            <w:vAlign w:val="bottom"/>
            <w:gridSpan w:val="3"/>
          </w:tcPr>
          <w:p>
            <w:pPr>
              <w:jc w:val="right"/>
              <w:ind w:right="19"/>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4,094</w:t>
            </w:r>
          </w:p>
        </w:tc>
        <w:tc>
          <w:tcPr>
            <w:tcW w:w="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2,055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23"/>
        </w:trPr>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56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3"/>
        </w:trPr>
        <w:tc>
          <w:tcPr>
            <w:tcW w:w="4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5" w:right="1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428"/>
        </w:trPr>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2015</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4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3"/>
              <w:spacing w:after="0"/>
              <w:rPr>
                <w:sz w:val="20"/>
                <w:szCs w:val="20"/>
                <w:color w:val="auto"/>
              </w:rPr>
            </w:pPr>
            <w:r>
              <w:rPr>
                <w:rFonts w:ascii="Arial" w:cs="Arial" w:eastAsia="Arial" w:hAnsi="Arial"/>
                <w:sz w:val="17"/>
                <w:szCs w:val="17"/>
                <w:color w:val="auto"/>
                <w:w w:val="94"/>
              </w:rPr>
              <w:t>Depreciation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4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Income</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3"/>
              <w:spacing w:after="0"/>
              <w:rPr>
                <w:sz w:val="20"/>
                <w:szCs w:val="20"/>
                <w:color w:val="auto"/>
              </w:rPr>
            </w:pPr>
            <w:r>
              <w:rPr>
                <w:rFonts w:ascii="Arial" w:cs="Arial" w:eastAsia="Arial" w:hAnsi="Arial"/>
                <w:sz w:val="17"/>
                <w:szCs w:val="17"/>
                <w:color w:val="auto"/>
                <w:w w:val="91"/>
              </w:rPr>
              <w:t>and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220"/>
              <w:spacing w:after="0"/>
              <w:rPr>
                <w:sz w:val="20"/>
                <w:szCs w:val="20"/>
                <w:color w:val="auto"/>
              </w:rPr>
            </w:pPr>
            <w:r>
              <w:rPr>
                <w:rFonts w:ascii="Arial" w:cs="Arial" w:eastAsia="Arial" w:hAnsi="Arial"/>
                <w:sz w:val="17"/>
                <w:szCs w:val="17"/>
                <w:color w:val="auto"/>
              </w:rPr>
              <w:t>Capital</w:t>
            </w:r>
          </w:p>
        </w:tc>
      </w:tr>
      <w:tr>
        <w:trPr>
          <w:trHeight w:val="221"/>
        </w:trPr>
        <w:tc>
          <w:tcPr>
            <w:tcW w:w="446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96"/>
              </w:rPr>
              <w:t>Revenue</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92"/>
              </w:rPr>
              <w:t>Before Taxes</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Assets</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color w:val="auto"/>
                <w:w w:val="97"/>
              </w:rPr>
              <w:t>Amortization</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90"/>
              </w:rPr>
              <w:t>Expenditures</w:t>
            </w:r>
          </w:p>
        </w:tc>
        <w:tc>
          <w:tcPr>
            <w:tcW w:w="100" w:type="dxa"/>
            <w:vAlign w:val="bottom"/>
            <w:tcBorders>
              <w:bottom w:val="single" w:sz="8" w:color="CFF0FC"/>
            </w:tcBorders>
          </w:tcPr>
          <w:p>
            <w:pPr>
              <w:spacing w:after="0"/>
              <w:rPr>
                <w:sz w:val="19"/>
                <w:szCs w:val="19"/>
                <w:color w:val="auto"/>
              </w:rPr>
            </w:pPr>
          </w:p>
        </w:tc>
      </w:tr>
      <w:tr>
        <w:trPr>
          <w:trHeight w:val="214"/>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Reservoir Characterization</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9,501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2,450</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8,266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648</w:t>
            </w:r>
          </w:p>
        </w:tc>
        <w:tc>
          <w:tcPr>
            <w:tcW w:w="100" w:type="dxa"/>
            <w:vAlign w:val="bottom"/>
            <w:shd w:val="clear" w:color="auto" w:fill="CFF0FC"/>
          </w:tcPr>
          <w:p>
            <w:pPr>
              <w:spacing w:after="0"/>
              <w:rPr>
                <w:sz w:val="18"/>
                <w:szCs w:val="18"/>
                <w:color w:val="auto"/>
              </w:rPr>
            </w:pPr>
          </w:p>
        </w:tc>
      </w:tr>
      <w:tr>
        <w:trPr>
          <w:trHeight w:val="221"/>
        </w:trPr>
        <w:tc>
          <w:tcPr>
            <w:tcW w:w="4460" w:type="dxa"/>
            <w:vAlign w:val="bottom"/>
          </w:tcPr>
          <w:p>
            <w:pPr>
              <w:spacing w:after="0"/>
              <w:rPr>
                <w:sz w:val="20"/>
                <w:szCs w:val="20"/>
                <w:color w:val="auto"/>
              </w:rPr>
            </w:pPr>
            <w:r>
              <w:rPr>
                <w:rFonts w:ascii="Arial" w:cs="Arial" w:eastAsia="Arial" w:hAnsi="Arial"/>
                <w:sz w:val="17"/>
                <w:szCs w:val="17"/>
                <w:color w:val="auto"/>
              </w:rPr>
              <w:t>Drilling</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2,538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8,562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673</w:t>
            </w:r>
          </w:p>
        </w:tc>
        <w:tc>
          <w:tcPr>
            <w:tcW w:w="100" w:type="dxa"/>
            <w:vAlign w:val="bottom"/>
          </w:tcPr>
          <w:p>
            <w:pPr>
              <w:spacing w:after="0"/>
              <w:rPr>
                <w:sz w:val="19"/>
                <w:szCs w:val="19"/>
                <w:color w:val="auto"/>
              </w:rPr>
            </w:pPr>
          </w:p>
        </w:tc>
      </w:tr>
      <w:tr>
        <w:trPr>
          <w:trHeight w:val="221"/>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Production</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12,548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1,585</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9,938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824</w:t>
            </w:r>
          </w:p>
        </w:tc>
        <w:tc>
          <w:tcPr>
            <w:tcW w:w="100" w:type="dxa"/>
            <w:vAlign w:val="bottom"/>
            <w:shd w:val="clear" w:color="auto" w:fill="CFF0FC"/>
          </w:tcPr>
          <w:p>
            <w:pPr>
              <w:spacing w:after="0"/>
              <w:rPr>
                <w:sz w:val="19"/>
                <w:szCs w:val="19"/>
                <w:color w:val="auto"/>
              </w:rPr>
            </w:pPr>
          </w:p>
        </w:tc>
      </w:tr>
      <w:tr>
        <w:trPr>
          <w:trHeight w:val="221"/>
        </w:trPr>
        <w:tc>
          <w:tcPr>
            <w:tcW w:w="4460" w:type="dxa"/>
            <w:vAlign w:val="bottom"/>
          </w:tcPr>
          <w:p>
            <w:pPr>
              <w:spacing w:after="0"/>
              <w:rPr>
                <w:sz w:val="20"/>
                <w:szCs w:val="20"/>
                <w:color w:val="auto"/>
              </w:rPr>
            </w:pPr>
            <w:r>
              <w:rPr>
                <w:rFonts w:ascii="Arial" w:cs="Arial" w:eastAsia="Arial" w:hAnsi="Arial"/>
                <w:sz w:val="17"/>
                <w:szCs w:val="17"/>
                <w:color w:val="auto"/>
              </w:rPr>
              <w:t>Eliminations &amp; other</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(63)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19"/>
                <w:szCs w:val="19"/>
                <w:color w:val="auto"/>
              </w:rPr>
            </w:pPr>
          </w:p>
        </w:tc>
      </w:tr>
      <w:tr>
        <w:trPr>
          <w:trHeight w:val="214"/>
        </w:trPr>
        <w:tc>
          <w:tcPr>
            <w:tcW w:w="44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Pretax operating income</w:t>
            </w: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6,510</w:t>
            </w:r>
          </w:p>
        </w:tc>
        <w:tc>
          <w:tcPr>
            <w:tcW w:w="18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4460" w:type="dxa"/>
            <w:vAlign w:val="bottom"/>
          </w:tcPr>
          <w:p>
            <w:pPr>
              <w:spacing w:after="0"/>
              <w:rPr>
                <w:sz w:val="20"/>
                <w:szCs w:val="20"/>
                <w:color w:val="auto"/>
              </w:rPr>
            </w:pPr>
            <w:r>
              <w:rPr>
                <w:rFonts w:ascii="Arial" w:cs="Arial" w:eastAsia="Arial" w:hAnsi="Arial"/>
                <w:sz w:val="17"/>
                <w:szCs w:val="17"/>
                <w:color w:val="auto"/>
              </w:rPr>
              <w:t>Goodwill and intangible assets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20,174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w w:val="98"/>
              </w:rPr>
              <w:t>Cash, short term investments and fixed income investments</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13,452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4460" w:type="dxa"/>
            <w:vAlign w:val="bottom"/>
          </w:tcPr>
          <w:p>
            <w:pPr>
              <w:spacing w:after="0"/>
              <w:rPr>
                <w:sz w:val="20"/>
                <w:szCs w:val="20"/>
                <w:color w:val="auto"/>
              </w:rPr>
            </w:pPr>
            <w:r>
              <w:rPr>
                <w:rFonts w:ascii="Arial" w:cs="Arial" w:eastAsia="Arial" w:hAnsi="Arial"/>
                <w:sz w:val="17"/>
                <w:szCs w:val="17"/>
                <w:color w:val="auto"/>
              </w:rPr>
              <w:t>All other assets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Corporate &amp; other </w:t>
            </w:r>
            <w:r>
              <w:rPr>
                <w:rFonts w:ascii="Arial" w:cs="Arial" w:eastAsia="Arial" w:hAnsi="Arial"/>
                <w:sz w:val="14"/>
                <w:szCs w:val="14"/>
                <w:color w:val="auto"/>
              </w:rPr>
              <w:t>(1)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(768)</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4460" w:type="dxa"/>
            <w:vAlign w:val="bottom"/>
          </w:tcPr>
          <w:p>
            <w:pPr>
              <w:spacing w:after="0"/>
              <w:rPr>
                <w:sz w:val="20"/>
                <w:szCs w:val="20"/>
                <w:color w:val="auto"/>
              </w:rPr>
            </w:pPr>
            <w:r>
              <w:rPr>
                <w:rFonts w:ascii="Arial" w:cs="Arial" w:eastAsia="Arial" w:hAnsi="Arial"/>
                <w:sz w:val="17"/>
                <w:szCs w:val="17"/>
                <w:color w:val="auto"/>
              </w:rPr>
              <w:t xml:space="preserve">Interest income </w:t>
            </w:r>
            <w:r>
              <w:rPr>
                <w:rFonts w:ascii="Arial" w:cs="Arial" w:eastAsia="Arial" w:hAnsi="Arial"/>
                <w:sz w:val="14"/>
                <w:szCs w:val="14"/>
                <w:color w:val="auto"/>
              </w:rPr>
              <w:t>(2)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(316)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4460" w:type="dxa"/>
            <w:vAlign w:val="bottom"/>
          </w:tcPr>
          <w:p>
            <w:pPr>
              <w:spacing w:after="0"/>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14"/>
                <w:szCs w:val="14"/>
                <w:color w:val="auto"/>
              </w:rPr>
              <w:t>(4)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(2,575)</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4"/>
        </w:trPr>
        <w:tc>
          <w:tcPr>
            <w:tcW w:w="44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35,475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2,881</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68,005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4,078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2,410</w:t>
            </w:r>
          </w:p>
        </w:tc>
        <w:tc>
          <w:tcPr>
            <w:tcW w:w="100" w:type="dxa"/>
            <w:vAlign w:val="bottom"/>
            <w:shd w:val="clear" w:color="auto" w:fill="CFF0FC"/>
          </w:tcPr>
          <w:p>
            <w:pPr>
              <w:spacing w:after="0"/>
              <w:rPr>
                <w:sz w:val="18"/>
                <w:szCs w:val="18"/>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1" w:lineRule="exact"/>
        <w:rPr>
          <w:sz w:val="20"/>
          <w:szCs w:val="20"/>
          <w:color w:val="auto"/>
        </w:rPr>
      </w:pPr>
    </w:p>
    <w:p>
      <w:pPr>
        <w:ind w:left="380" w:hanging="376"/>
        <w:spacing w:after="0" w:line="222" w:lineRule="auto"/>
        <w:tabs>
          <w:tab w:leader="none" w:pos="380" w:val="left"/>
        </w:tabs>
        <w:numPr>
          <w:ilvl w:val="0"/>
          <w:numId w:val="48"/>
        </w:numPr>
        <w:rPr>
          <w:rFonts w:ascii="Arial" w:cs="Arial" w:eastAsia="Arial" w:hAnsi="Arial"/>
          <w:sz w:val="23"/>
          <w:szCs w:val="23"/>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(including intangible asset amortization expense resulting from the 2016 acquisition of Cameron), certain centrally managed initiatives and other nonoperating items.</w:t>
      </w:r>
    </w:p>
    <w:p>
      <w:pPr>
        <w:spacing w:after="0" w:line="24" w:lineRule="exact"/>
        <w:rPr>
          <w:rFonts w:ascii="Arial" w:cs="Arial" w:eastAsia="Arial" w:hAnsi="Arial"/>
          <w:sz w:val="23"/>
          <w:szCs w:val="23"/>
          <w:color w:val="auto"/>
          <w:vertAlign w:val="superscript"/>
        </w:rPr>
      </w:pPr>
    </w:p>
    <w:p>
      <w:pPr>
        <w:ind w:left="380" w:hanging="376"/>
        <w:spacing w:after="0"/>
        <w:tabs>
          <w:tab w:leader="none" w:pos="380" w:val="left"/>
        </w:tabs>
        <w:numPr>
          <w:ilvl w:val="0"/>
          <w:numId w:val="48"/>
        </w:numPr>
        <w:rPr>
          <w:rFonts w:ascii="Arial" w:cs="Arial" w:eastAsia="Arial" w:hAnsi="Arial"/>
          <w:sz w:val="25"/>
          <w:szCs w:val="25"/>
          <w:color w:val="auto"/>
          <w:vertAlign w:val="superscript"/>
        </w:rPr>
      </w:pPr>
      <w:r>
        <w:rPr>
          <w:rFonts w:ascii="Arial" w:cs="Arial" w:eastAsia="Arial" w:hAnsi="Arial"/>
          <w:sz w:val="16"/>
          <w:szCs w:val="16"/>
          <w:color w:val="auto"/>
        </w:rPr>
        <w:t>Interest income excludes amounts which are included in the segments’ income (2017: $21 million; 2016: $26 million; 2015: $22 million).</w:t>
      </w:r>
    </w:p>
    <w:p>
      <w:pPr>
        <w:spacing w:after="0" w:line="126" w:lineRule="exact"/>
        <w:rPr>
          <w:rFonts w:ascii="Arial" w:cs="Arial" w:eastAsia="Arial" w:hAnsi="Arial"/>
          <w:sz w:val="25"/>
          <w:szCs w:val="25"/>
          <w:color w:val="auto"/>
          <w:vertAlign w:val="superscript"/>
        </w:rPr>
      </w:pPr>
    </w:p>
    <w:p>
      <w:pPr>
        <w:ind w:left="380" w:hanging="376"/>
        <w:spacing w:after="0" w:line="183" w:lineRule="auto"/>
        <w:tabs>
          <w:tab w:leader="none" w:pos="38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Interest expense excludes amounts which are included in the segments’ income (2017: $53 million; 2016: $53 million; 2015: $30 million).</w:t>
      </w:r>
    </w:p>
    <w:p>
      <w:pPr>
        <w:spacing w:after="0" w:line="127" w:lineRule="exact"/>
        <w:rPr>
          <w:rFonts w:ascii="Arial" w:cs="Arial" w:eastAsia="Arial" w:hAnsi="Arial"/>
          <w:sz w:val="21"/>
          <w:szCs w:val="21"/>
          <w:color w:val="auto"/>
          <w:vertAlign w:val="superscript"/>
        </w:rPr>
      </w:pPr>
    </w:p>
    <w:p>
      <w:pPr>
        <w:ind w:left="380" w:hanging="376"/>
        <w:spacing w:after="0" w:line="183" w:lineRule="auto"/>
        <w:tabs>
          <w:tab w:leader="none" w:pos="38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 xml:space="preserve">See Note 3 – </w:t>
      </w:r>
      <w:r>
        <w:rPr>
          <w:rFonts w:ascii="Arial" w:cs="Arial" w:eastAsia="Arial" w:hAnsi="Arial"/>
          <w:sz w:val="13"/>
          <w:szCs w:val="13"/>
          <w:i w:val="1"/>
          <w:iCs w:val="1"/>
          <w:color w:val="auto"/>
        </w:rPr>
        <w:t>Charges and Credits</w:t>
      </w:r>
      <w:r>
        <w:rPr>
          <w:rFonts w:ascii="Arial" w:cs="Arial" w:eastAsia="Arial" w:hAnsi="Arial"/>
          <w:sz w:val="13"/>
          <w:szCs w:val="13"/>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Segment assets consist of receivables, inventories, fixed assets, multiclient seismic data and SPM investments.</w:t>
      </w:r>
    </w:p>
    <w:p>
      <w:pPr>
        <w:spacing w:after="0" w:line="220"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Depreciation and amortization includes depreciation of property, plant and equipment and amortization of intangible assets, multiclient seismic data costs and SPM investments.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by geographic area for the years ended December 31, 2017, 2016 and 2015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428"/>
        </w:trPr>
        <w:tc>
          <w:tcPr>
            <w:tcW w:w="4100" w:type="dxa"/>
            <w:vAlign w:val="bottom"/>
          </w:tcPr>
          <w:p>
            <w:pPr>
              <w:spacing w:after="0"/>
              <w:rPr>
                <w:sz w:val="24"/>
                <w:szCs w:val="24"/>
                <w:color w:val="auto"/>
              </w:rPr>
            </w:pPr>
          </w:p>
        </w:tc>
        <w:tc>
          <w:tcPr>
            <w:tcW w:w="348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2017</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33"/>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36"/>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24"/>
                <w:szCs w:val="24"/>
                <w:color w:val="auto"/>
              </w:rPr>
            </w:pPr>
          </w:p>
        </w:tc>
      </w:tr>
      <w:tr>
        <w:trPr>
          <w:trHeight w:val="214"/>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North America</w:t>
            </w:r>
          </w:p>
        </w:tc>
        <w:tc>
          <w:tcPr>
            <w:tcW w:w="26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704"/>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9,487</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6,665</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9,811</w:t>
            </w: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4100" w:type="dxa"/>
            <w:vAlign w:val="bottom"/>
          </w:tcPr>
          <w:p>
            <w:pPr>
              <w:spacing w:after="0"/>
              <w:rPr>
                <w:sz w:val="20"/>
                <w:szCs w:val="20"/>
                <w:color w:val="auto"/>
              </w:rPr>
            </w:pPr>
            <w:r>
              <w:rPr>
                <w:rFonts w:ascii="Arial" w:cs="Arial" w:eastAsia="Arial" w:hAnsi="Arial"/>
                <w:sz w:val="17"/>
                <w:szCs w:val="17"/>
                <w:color w:val="auto"/>
              </w:rPr>
              <w:t>Latin America</w:t>
            </w:r>
          </w:p>
        </w:tc>
        <w:tc>
          <w:tcPr>
            <w:tcW w:w="2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3,976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6,014</w:t>
            </w:r>
          </w:p>
        </w:tc>
        <w:tc>
          <w:tcPr>
            <w:tcW w:w="100" w:type="dxa"/>
            <w:vAlign w:val="bottom"/>
          </w:tcPr>
          <w:p>
            <w:pPr>
              <w:spacing w:after="0"/>
              <w:rPr>
                <w:sz w:val="19"/>
                <w:szCs w:val="19"/>
                <w:color w:val="auto"/>
              </w:rPr>
            </w:pPr>
          </w:p>
        </w:tc>
      </w:tr>
      <w:tr>
        <w:trPr>
          <w:trHeight w:val="221"/>
        </w:trPr>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Europe/CIS/Africa</w:t>
            </w:r>
          </w:p>
        </w:tc>
        <w:tc>
          <w:tcPr>
            <w:tcW w:w="26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7,047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7,351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9,284</w:t>
            </w:r>
          </w:p>
        </w:tc>
        <w:tc>
          <w:tcPr>
            <w:tcW w:w="100" w:type="dxa"/>
            <w:vAlign w:val="bottom"/>
            <w:shd w:val="clear" w:color="auto" w:fill="CFF0FC"/>
          </w:tcPr>
          <w:p>
            <w:pPr>
              <w:spacing w:after="0"/>
              <w:rPr>
                <w:sz w:val="19"/>
                <w:szCs w:val="19"/>
                <w:color w:val="auto"/>
              </w:rPr>
            </w:pPr>
          </w:p>
        </w:tc>
      </w:tr>
      <w:tr>
        <w:trPr>
          <w:trHeight w:val="221"/>
        </w:trPr>
        <w:tc>
          <w:tcPr>
            <w:tcW w:w="4100" w:type="dxa"/>
            <w:vAlign w:val="bottom"/>
          </w:tcPr>
          <w:p>
            <w:pPr>
              <w:spacing w:after="0"/>
              <w:rPr>
                <w:sz w:val="20"/>
                <w:szCs w:val="20"/>
                <w:color w:val="auto"/>
              </w:rPr>
            </w:pPr>
            <w:r>
              <w:rPr>
                <w:rFonts w:ascii="Arial" w:cs="Arial" w:eastAsia="Arial" w:hAnsi="Arial"/>
                <w:sz w:val="17"/>
                <w:szCs w:val="17"/>
                <w:color w:val="auto"/>
              </w:rPr>
              <w:t>Middle East &amp; Asia</w:t>
            </w:r>
          </w:p>
        </w:tc>
        <w:tc>
          <w:tcPr>
            <w:tcW w:w="2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9,419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9,286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9,898</w:t>
            </w:r>
          </w:p>
        </w:tc>
        <w:tc>
          <w:tcPr>
            <w:tcW w:w="100" w:type="dxa"/>
            <w:vAlign w:val="bottom"/>
          </w:tcPr>
          <w:p>
            <w:pPr>
              <w:spacing w:after="0"/>
              <w:rPr>
                <w:sz w:val="19"/>
                <w:szCs w:val="19"/>
                <w:color w:val="auto"/>
              </w:rPr>
            </w:pPr>
          </w:p>
        </w:tc>
      </w:tr>
      <w:tr>
        <w:trPr>
          <w:trHeight w:val="221"/>
        </w:trPr>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Eliminations &amp; other</w:t>
            </w:r>
          </w:p>
        </w:tc>
        <w:tc>
          <w:tcPr>
            <w:tcW w:w="26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511</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278</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w:t>
            </w:r>
          </w:p>
        </w:tc>
        <w:tc>
          <w:tcPr>
            <w:tcW w:w="100" w:type="dxa"/>
            <w:vAlign w:val="bottom"/>
            <w:shd w:val="clear" w:color="auto" w:fill="CFF0FC"/>
          </w:tcPr>
          <w:p>
            <w:pPr>
              <w:spacing w:after="0"/>
              <w:rPr>
                <w:sz w:val="19"/>
                <w:szCs w:val="19"/>
                <w:color w:val="auto"/>
              </w:rPr>
            </w:pPr>
          </w:p>
        </w:tc>
      </w:tr>
      <w:tr>
        <w:trPr>
          <w:trHeight w:val="214"/>
        </w:trPr>
        <w:tc>
          <w:tcPr>
            <w:tcW w:w="4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30,440</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27,810</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35,475</w:t>
            </w:r>
          </w:p>
        </w:tc>
        <w:tc>
          <w:tcPr>
            <w:tcW w:w="10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Revenue is based on the location where services are provided and products are sold.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During each of the three years ended December 31, 2017, 2016 and 2015, no single customer exceeded 10% of consolidated revenue.</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Schlumberger did not have revenue from third-party customers in its country of domicile during the last three years. Revenue in the United States in 2017, 2016 and 2015 was $8.1 billion, $5.4 billion and $8.5 billion, respectively.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99"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i w:val="1"/>
          <w:iCs w:val="1"/>
          <w:color w:val="auto"/>
        </w:rPr>
        <w:t xml:space="preserve">Fixed Assets less accumulated depreciation </w:t>
      </w:r>
      <w:r>
        <w:rPr>
          <w:rFonts w:ascii="Arial" w:cs="Arial" w:eastAsia="Arial" w:hAnsi="Arial"/>
          <w:sz w:val="17"/>
          <w:szCs w:val="17"/>
          <w:color w:val="auto"/>
        </w:rPr>
        <w:t>by geographic area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428"/>
        </w:trPr>
        <w:tc>
          <w:tcPr>
            <w:tcW w:w="4060" w:type="dxa"/>
            <w:vAlign w:val="bottom"/>
          </w:tcPr>
          <w:p>
            <w:pPr>
              <w:spacing w:after="0"/>
              <w:rPr>
                <w:sz w:val="24"/>
                <w:szCs w:val="24"/>
                <w:color w:val="auto"/>
              </w:rPr>
            </w:pPr>
          </w:p>
        </w:tc>
        <w:tc>
          <w:tcPr>
            <w:tcW w:w="3520" w:type="dxa"/>
            <w:vAlign w:val="bottom"/>
            <w:gridSpan w:val="2"/>
          </w:tcPr>
          <w:p>
            <w:pPr>
              <w:jc w:val="right"/>
              <w:spacing w:after="0"/>
              <w:rPr>
                <w:sz w:val="20"/>
                <w:szCs w:val="20"/>
                <w:color w:val="auto"/>
              </w:rPr>
            </w:pPr>
            <w:r>
              <w:rPr>
                <w:rFonts w:ascii="Arial" w:cs="Arial" w:eastAsia="Arial" w:hAnsi="Arial"/>
                <w:sz w:val="17"/>
                <w:szCs w:val="17"/>
                <w:b w:val="1"/>
                <w:bCs w:val="1"/>
                <w:color w:val="auto"/>
              </w:rPr>
              <w:t>2017</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33"/>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36"/>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24"/>
                <w:szCs w:val="24"/>
                <w:color w:val="auto"/>
              </w:rPr>
            </w:pPr>
          </w:p>
        </w:tc>
      </w:tr>
      <w:tr>
        <w:trPr>
          <w:trHeight w:val="214"/>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North America</w:t>
            </w:r>
          </w:p>
        </w:tc>
        <w:tc>
          <w:tcPr>
            <w:tcW w:w="26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704"/>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5,120</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4,428</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4,392</w:t>
            </w: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4060" w:type="dxa"/>
            <w:vAlign w:val="bottom"/>
          </w:tcPr>
          <w:p>
            <w:pPr>
              <w:spacing w:after="0"/>
              <w:rPr>
                <w:sz w:val="20"/>
                <w:szCs w:val="20"/>
                <w:color w:val="auto"/>
              </w:rPr>
            </w:pPr>
            <w:r>
              <w:rPr>
                <w:rFonts w:ascii="Arial" w:cs="Arial" w:eastAsia="Arial" w:hAnsi="Arial"/>
                <w:sz w:val="17"/>
                <w:szCs w:val="17"/>
                <w:color w:val="auto"/>
              </w:rPr>
              <w:t>Latin America</w:t>
            </w:r>
          </w:p>
        </w:tc>
        <w:tc>
          <w:tcPr>
            <w:tcW w:w="2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1,042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1,728</w:t>
            </w:r>
          </w:p>
        </w:tc>
        <w:tc>
          <w:tcPr>
            <w:tcW w:w="100" w:type="dxa"/>
            <w:vAlign w:val="bottom"/>
          </w:tcPr>
          <w:p>
            <w:pPr>
              <w:spacing w:after="0"/>
              <w:rPr>
                <w:sz w:val="19"/>
                <w:szCs w:val="19"/>
                <w:color w:val="auto"/>
              </w:rPr>
            </w:pPr>
          </w:p>
        </w:tc>
      </w:tr>
      <w:tr>
        <w:trPr>
          <w:trHeight w:val="221"/>
        </w:trPr>
        <w:tc>
          <w:tcPr>
            <w:tcW w:w="4060" w:type="dxa"/>
            <w:vAlign w:val="bottom"/>
            <w:shd w:val="clear" w:color="auto" w:fill="CFF0FC"/>
          </w:tcPr>
          <w:p>
            <w:pPr>
              <w:spacing w:after="0"/>
              <w:rPr>
                <w:sz w:val="20"/>
                <w:szCs w:val="20"/>
                <w:color w:val="auto"/>
              </w:rPr>
            </w:pPr>
            <w:r>
              <w:rPr>
                <w:rFonts w:ascii="Arial" w:cs="Arial" w:eastAsia="Arial" w:hAnsi="Arial"/>
                <w:sz w:val="17"/>
                <w:szCs w:val="17"/>
                <w:color w:val="auto"/>
              </w:rPr>
              <w:t>Europe/CIS/Africa</w:t>
            </w:r>
          </w:p>
        </w:tc>
        <w:tc>
          <w:tcPr>
            <w:tcW w:w="26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2,540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2,706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2,978</w:t>
            </w:r>
          </w:p>
        </w:tc>
        <w:tc>
          <w:tcPr>
            <w:tcW w:w="100" w:type="dxa"/>
            <w:vAlign w:val="bottom"/>
            <w:shd w:val="clear" w:color="auto" w:fill="CFF0FC"/>
          </w:tcPr>
          <w:p>
            <w:pPr>
              <w:spacing w:after="0"/>
              <w:rPr>
                <w:sz w:val="19"/>
                <w:szCs w:val="19"/>
                <w:color w:val="auto"/>
              </w:rPr>
            </w:pPr>
          </w:p>
        </w:tc>
      </w:tr>
      <w:tr>
        <w:trPr>
          <w:trHeight w:val="221"/>
        </w:trPr>
        <w:tc>
          <w:tcPr>
            <w:tcW w:w="4060" w:type="dxa"/>
            <w:vAlign w:val="bottom"/>
          </w:tcPr>
          <w:p>
            <w:pPr>
              <w:spacing w:after="0"/>
              <w:rPr>
                <w:sz w:val="20"/>
                <w:szCs w:val="20"/>
                <w:color w:val="auto"/>
              </w:rPr>
            </w:pPr>
            <w:r>
              <w:rPr>
                <w:rFonts w:ascii="Arial" w:cs="Arial" w:eastAsia="Arial" w:hAnsi="Arial"/>
                <w:sz w:val="17"/>
                <w:szCs w:val="17"/>
                <w:color w:val="auto"/>
              </w:rPr>
              <w:t>Middle East &amp; Asia</w:t>
            </w:r>
          </w:p>
        </w:tc>
        <w:tc>
          <w:tcPr>
            <w:tcW w:w="2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2,771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3,078</w:t>
            </w:r>
          </w:p>
        </w:tc>
        <w:tc>
          <w:tcPr>
            <w:tcW w:w="100" w:type="dxa"/>
            <w:vAlign w:val="bottom"/>
          </w:tcPr>
          <w:p>
            <w:pPr>
              <w:spacing w:after="0"/>
              <w:rPr>
                <w:sz w:val="19"/>
                <w:szCs w:val="19"/>
                <w:color w:val="auto"/>
              </w:rPr>
            </w:pPr>
          </w:p>
        </w:tc>
      </w:tr>
      <w:tr>
        <w:trPr>
          <w:trHeight w:val="221"/>
        </w:trPr>
        <w:tc>
          <w:tcPr>
            <w:tcW w:w="40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Unallocated </w:t>
            </w:r>
            <w:r>
              <w:rPr>
                <w:rFonts w:ascii="Arial" w:cs="Arial" w:eastAsia="Arial" w:hAnsi="Arial"/>
                <w:sz w:val="14"/>
                <w:szCs w:val="14"/>
                <w:color w:val="auto"/>
              </w:rPr>
              <w:t>(1)</w:t>
            </w:r>
          </w:p>
        </w:tc>
        <w:tc>
          <w:tcPr>
            <w:tcW w:w="26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103</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1,078</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1,239</w:t>
            </w:r>
          </w:p>
        </w:tc>
        <w:tc>
          <w:tcPr>
            <w:tcW w:w="100" w:type="dxa"/>
            <w:vAlign w:val="bottom"/>
            <w:shd w:val="clear" w:color="auto" w:fill="CFF0FC"/>
          </w:tcPr>
          <w:p>
            <w:pPr>
              <w:spacing w:after="0"/>
              <w:rPr>
                <w:sz w:val="19"/>
                <w:szCs w:val="19"/>
                <w:color w:val="auto"/>
              </w:rPr>
            </w:pPr>
          </w:p>
        </w:tc>
      </w:tr>
      <w:tr>
        <w:trPr>
          <w:trHeight w:val="214"/>
        </w:trPr>
        <w:tc>
          <w:tcPr>
            <w:tcW w:w="40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11,576</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12,821</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13,415</w:t>
            </w:r>
          </w:p>
        </w:tc>
        <w:tc>
          <w:tcPr>
            <w:tcW w:w="10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5" w:lineRule="exact"/>
        <w:rPr>
          <w:sz w:val="20"/>
          <w:szCs w:val="20"/>
          <w:color w:val="auto"/>
        </w:rPr>
      </w:pPr>
    </w:p>
    <w:p>
      <w:pPr>
        <w:ind w:left="380" w:hanging="376"/>
        <w:spacing w:after="0"/>
        <w:tabs>
          <w:tab w:leader="none" w:pos="380"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Represents seismic vessels, including the related on-board equipment, which frequently transition between geographic areas.</w:t>
      </w:r>
    </w:p>
    <w:p>
      <w:pPr>
        <w:spacing w:after="0" w:line="299" w:lineRule="exact"/>
        <w:rPr>
          <w:sz w:val="20"/>
          <w:szCs w:val="20"/>
          <w:color w:val="auto"/>
        </w:rPr>
      </w:pPr>
    </w:p>
    <w:p>
      <w:pPr>
        <w:ind w:left="300" w:hanging="296"/>
        <w:spacing w:after="0"/>
        <w:tabs>
          <w:tab w:leader="none" w:pos="30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Pension and Other Benefit Plans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Plans</w:t>
      </w:r>
    </w:p>
    <w:p>
      <w:pPr>
        <w:spacing w:after="0" w:line="116"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Schlumberger sponsors several defined benefit pension plans that cover substantially all US employees hired prior to October 1, 2004. The benefits are based on years of service and compensation, on a career-average pay basis.</w:t>
      </w:r>
    </w:p>
    <w:p>
      <w:pPr>
        <w:spacing w:after="0" w:line="159"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In addition to the US defined benefit pension plans, Schlumberger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162"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The weighted-average assumed discount rate, compensation increases and expected long-term rate of return on plan assets used to determine the net pension cost for the US and International plans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7"/>
                <w:szCs w:val="17"/>
                <w:color w:val="auto"/>
                <w:w w:val="92"/>
              </w:rPr>
              <w:t>US</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7"/>
                <w:szCs w:val="17"/>
                <w:color w:val="auto"/>
                <w:w w:val="94"/>
              </w:rPr>
              <w:t>International</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454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7"/>
                <w:szCs w:val="17"/>
                <w:b w:val="1"/>
                <w:bCs w:val="1"/>
                <w:color w:val="auto"/>
              </w:rPr>
              <w:t>2017</w:t>
            </w:r>
          </w:p>
        </w:tc>
        <w:tc>
          <w:tcPr>
            <w:tcW w:w="2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2016</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95"/>
              </w:rPr>
              <w:t>2015</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2016</w:t>
            </w:r>
          </w:p>
        </w:tc>
        <w:tc>
          <w:tcPr>
            <w:tcW w:w="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2015</w:t>
            </w: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4"/>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Discount rate</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4.20%</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4.50%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4.15%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4.13%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4.36%</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4.07%</w:t>
            </w:r>
          </w:p>
        </w:tc>
      </w:tr>
      <w:tr>
        <w:trPr>
          <w:trHeight w:val="221"/>
        </w:trPr>
        <w:tc>
          <w:tcPr>
            <w:tcW w:w="4540" w:type="dxa"/>
            <w:vAlign w:val="bottom"/>
          </w:tcPr>
          <w:p>
            <w:pPr>
              <w:spacing w:after="0"/>
              <w:rPr>
                <w:sz w:val="20"/>
                <w:szCs w:val="20"/>
                <w:color w:val="auto"/>
              </w:rPr>
            </w:pPr>
            <w:r>
              <w:rPr>
                <w:rFonts w:ascii="Arial" w:cs="Arial" w:eastAsia="Arial" w:hAnsi="Arial"/>
                <w:sz w:val="17"/>
                <w:szCs w:val="17"/>
                <w:color w:val="auto"/>
              </w:rPr>
              <w:t>Compensation increases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4.81%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4.81%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4.79%</w:t>
            </w:r>
          </w:p>
        </w:tc>
      </w:tr>
      <w:tr>
        <w:trPr>
          <w:trHeight w:val="221"/>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Return on plan assets</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7.25%</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7.25%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7.40%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7.40%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7.40%</w:t>
            </w:r>
          </w:p>
        </w:tc>
      </w:tr>
      <w:tr>
        <w:trPr>
          <w:trHeight w:val="455"/>
        </w:trPr>
        <w:tc>
          <w:tcPr>
            <w:tcW w:w="5800" w:type="dxa"/>
            <w:vAlign w:val="bottom"/>
            <w:gridSpan w:val="7"/>
          </w:tcPr>
          <w:p>
            <w:pPr>
              <w:spacing w:after="0"/>
              <w:rPr>
                <w:sz w:val="20"/>
                <w:szCs w:val="20"/>
                <w:color w:val="auto"/>
              </w:rPr>
            </w:pPr>
            <w:r>
              <w:rPr>
                <w:rFonts w:ascii="Arial" w:cs="Arial" w:eastAsia="Arial" w:hAnsi="Arial"/>
                <w:sz w:val="17"/>
                <w:szCs w:val="17"/>
                <w:color w:val="auto"/>
                <w:w w:val="98"/>
              </w:rPr>
              <w:t>Net pension cost for 2017, 2016 and 2015 included the following components: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r>
      <w:tr>
        <w:trPr>
          <w:trHeight w:val="415"/>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7"/>
                <w:szCs w:val="17"/>
                <w:color w:val="auto"/>
                <w:w w:val="92"/>
              </w:rPr>
              <w:t>US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color w:val="auto"/>
              </w:rPr>
              <w:t>International</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45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2016</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2015</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2016</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2015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4"/>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Service cost - benefits earned during the period</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57</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95</w:t>
            </w:r>
          </w:p>
        </w:tc>
        <w:tc>
          <w:tcPr>
            <w:tcW w:w="100" w:type="dxa"/>
            <w:vAlign w:val="bottom"/>
            <w:shd w:val="clear" w:color="auto" w:fill="CFF0FC"/>
          </w:tcPr>
          <w:p>
            <w:pPr>
              <w:spacing w:after="0"/>
              <w:rPr>
                <w:sz w:val="18"/>
                <w:szCs w:val="18"/>
                <w:color w:val="auto"/>
              </w:rPr>
            </w:pPr>
          </w:p>
        </w:tc>
        <w:tc>
          <w:tcPr>
            <w:tcW w:w="260" w:type="dxa"/>
            <w:vAlign w:val="bottom"/>
            <w:gridSpan w:val="3"/>
            <w:shd w:val="clear" w:color="auto" w:fill="CFF0FC"/>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FF0FC"/>
          </w:tcPr>
          <w:p>
            <w:pPr>
              <w:spacing w:after="0"/>
              <w:rPr>
                <w:sz w:val="18"/>
                <w:szCs w:val="18"/>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7"/>
                <w:szCs w:val="17"/>
                <w:color w:val="auto"/>
              </w:rPr>
              <w:t>Interest cost on projected benefit obligation</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b w:val="1"/>
                <w:bCs w:val="1"/>
                <w:color w:val="auto"/>
              </w:rPr>
              <w:t>175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306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9"/>
                <w:szCs w:val="19"/>
                <w:color w:val="auto"/>
              </w:rPr>
            </w:pPr>
          </w:p>
        </w:tc>
      </w:tr>
      <w:tr>
        <w:trPr>
          <w:trHeight w:val="221"/>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Expected return on plan assets</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(242)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(235)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(229)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(541)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(517)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(498)</w:t>
            </w:r>
          </w:p>
        </w:tc>
      </w:tr>
      <w:tr>
        <w:trPr>
          <w:trHeight w:val="221"/>
        </w:trPr>
        <w:tc>
          <w:tcPr>
            <w:tcW w:w="4540" w:type="dxa"/>
            <w:vAlign w:val="bottom"/>
          </w:tcPr>
          <w:p>
            <w:pPr>
              <w:spacing w:after="0"/>
              <w:rPr>
                <w:sz w:val="20"/>
                <w:szCs w:val="20"/>
                <w:color w:val="auto"/>
              </w:rPr>
            </w:pPr>
            <w:r>
              <w:rPr>
                <w:rFonts w:ascii="Arial" w:cs="Arial" w:eastAsia="Arial" w:hAnsi="Arial"/>
                <w:sz w:val="17"/>
                <w:szCs w:val="17"/>
                <w:color w:val="auto"/>
              </w:rPr>
              <w:t>Amortization of prior service cost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b w:val="1"/>
                <w:bCs w:val="1"/>
                <w:color w:val="auto"/>
              </w:rPr>
              <w:t>12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97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9"/>
                <w:szCs w:val="19"/>
                <w:color w:val="auto"/>
              </w:rPr>
            </w:pPr>
          </w:p>
        </w:tc>
      </w:tr>
      <w:tr>
        <w:trPr>
          <w:trHeight w:val="221"/>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Amortization of net loss</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39</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120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FF0FC"/>
          </w:tcPr>
          <w:p>
            <w:pPr>
              <w:spacing w:after="0"/>
              <w:rPr>
                <w:sz w:val="19"/>
                <w:szCs w:val="19"/>
                <w:color w:val="auto"/>
              </w:rPr>
            </w:pPr>
          </w:p>
        </w:tc>
      </w:tr>
      <w:tr>
        <w:trPr>
          <w:trHeight w:val="214"/>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7"/>
                <w:szCs w:val="17"/>
                <w:b w:val="1"/>
                <w:bCs w:val="1"/>
                <w:color w:val="auto"/>
              </w:rPr>
              <w:t>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77</w:t>
            </w:r>
          </w:p>
        </w:tc>
        <w:tc>
          <w:tcPr>
            <w:tcW w:w="100" w:type="dxa"/>
            <w:vAlign w:val="bottom"/>
          </w:tcPr>
          <w:p>
            <w:pPr>
              <w:spacing w:after="0"/>
              <w:rPr>
                <w:sz w:val="18"/>
                <w:szCs w:val="18"/>
                <w:color w:val="auto"/>
              </w:rPr>
            </w:pPr>
          </w:p>
        </w:tc>
        <w:tc>
          <w:tcPr>
            <w:tcW w:w="2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8"/>
                <w:szCs w:val="18"/>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The weighted-average assumed discount rate and compensation increases used to determine the projected benefit obligations for the US and International plans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US</w:t>
            </w:r>
          </w:p>
        </w:tc>
        <w:tc>
          <w:tcPr>
            <w:tcW w:w="11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Borders>
              <w:bottom w:val="single" w:sz="8" w:color="auto"/>
            </w:tcBorders>
            <w:gridSpan w:val="3"/>
          </w:tcPr>
          <w:p>
            <w:pPr>
              <w:ind w:left="860"/>
              <w:spacing w:after="0"/>
              <w:rPr>
                <w:sz w:val="20"/>
                <w:szCs w:val="20"/>
                <w:color w:val="auto"/>
              </w:rPr>
            </w:pPr>
            <w:r>
              <w:rPr>
                <w:rFonts w:ascii="Arial" w:cs="Arial" w:eastAsia="Arial" w:hAnsi="Arial"/>
                <w:sz w:val="17"/>
                <w:szCs w:val="17"/>
                <w:color w:val="auto"/>
                <w:w w:val="98"/>
              </w:rPr>
              <w:t>International</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4"/>
        </w:trPr>
        <w:tc>
          <w:tcPr>
            <w:tcW w:w="57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2016</w:t>
            </w:r>
          </w:p>
        </w:tc>
        <w:tc>
          <w:tcPr>
            <w:tcW w:w="30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2017</w:t>
            </w:r>
          </w:p>
        </w:tc>
        <w:tc>
          <w:tcPr>
            <w:tcW w:w="3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2016</w:t>
            </w:r>
          </w:p>
        </w:tc>
        <w:tc>
          <w:tcPr>
            <w:tcW w:w="16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65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Discount rate</w:t>
            </w:r>
          </w:p>
        </w:tc>
        <w:tc>
          <w:tcPr>
            <w:tcW w:w="68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b w:val="1"/>
                <w:bCs w:val="1"/>
                <w:color w:val="auto"/>
              </w:rPr>
              <w:t>3.70%</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4.20%</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3.55%</w:t>
            </w:r>
          </w:p>
        </w:tc>
        <w:tc>
          <w:tcPr>
            <w:tcW w:w="3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4.13%</w:t>
            </w:r>
          </w:p>
        </w:tc>
        <w:tc>
          <w:tcPr>
            <w:tcW w:w="40" w:type="dxa"/>
            <w:vAlign w:val="bottom"/>
          </w:tcPr>
          <w:p>
            <w:pPr>
              <w:spacing w:after="0"/>
              <w:rPr>
                <w:sz w:val="18"/>
                <w:szCs w:val="18"/>
                <w:color w:val="auto"/>
              </w:rPr>
            </w:pPr>
          </w:p>
        </w:tc>
      </w:tr>
      <w:tr>
        <w:trPr>
          <w:trHeight w:val="226"/>
        </w:trPr>
        <w:tc>
          <w:tcPr>
            <w:tcW w:w="6500" w:type="dxa"/>
            <w:vAlign w:val="bottom"/>
            <w:gridSpan w:val="2"/>
          </w:tcPr>
          <w:p>
            <w:pPr>
              <w:spacing w:after="0"/>
              <w:rPr>
                <w:sz w:val="20"/>
                <w:szCs w:val="20"/>
                <w:color w:val="auto"/>
              </w:rPr>
            </w:pPr>
            <w:r>
              <w:rPr>
                <w:rFonts w:ascii="Arial" w:cs="Arial" w:eastAsia="Arial" w:hAnsi="Arial"/>
                <w:sz w:val="17"/>
                <w:szCs w:val="17"/>
                <w:color w:val="auto"/>
              </w:rPr>
              <w:t>Compensation increases</w:t>
            </w:r>
          </w:p>
        </w:tc>
        <w:tc>
          <w:tcPr>
            <w:tcW w:w="680" w:type="dxa"/>
            <w:vAlign w:val="bottom"/>
            <w:gridSpan w:val="2"/>
          </w:tcPr>
          <w:p>
            <w:pPr>
              <w:jc w:val="right"/>
              <w:ind w:right="53"/>
              <w:spacing w:after="0"/>
              <w:rPr>
                <w:sz w:val="20"/>
                <w:szCs w:val="20"/>
                <w:color w:val="auto"/>
              </w:rPr>
            </w:pPr>
            <w:r>
              <w:rPr>
                <w:rFonts w:ascii="Arial" w:cs="Arial" w:eastAsia="Arial" w:hAnsi="Arial"/>
                <w:sz w:val="17"/>
                <w:szCs w:val="17"/>
                <w:b w:val="1"/>
                <w:bCs w:val="1"/>
                <w:color w:val="auto"/>
              </w:rPr>
              <w:t>4.00%</w:t>
            </w: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4.00%</w:t>
            </w:r>
          </w:p>
        </w:tc>
        <w:tc>
          <w:tcPr>
            <w:tcW w:w="14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4.81%</w:t>
            </w: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4.81%</w:t>
            </w:r>
          </w:p>
        </w:tc>
        <w:tc>
          <w:tcPr>
            <w:tcW w:w="40" w:type="dxa"/>
            <w:vAlign w:val="bottom"/>
          </w:tcPr>
          <w:p>
            <w:pPr>
              <w:spacing w:after="0"/>
              <w:rPr>
                <w:sz w:val="19"/>
                <w:szCs w:val="19"/>
                <w:color w:val="auto"/>
              </w:rPr>
            </w:pPr>
          </w:p>
        </w:tc>
      </w:tr>
      <w:tr>
        <w:trPr>
          <w:trHeight w:val="410"/>
        </w:trPr>
        <w:tc>
          <w:tcPr>
            <w:tcW w:w="6500" w:type="dxa"/>
            <w:vAlign w:val="bottom"/>
            <w:gridSpan w:val="2"/>
          </w:tcPr>
          <w:p>
            <w:pPr>
              <w:jc w:val="right"/>
              <w:ind w:right="613"/>
              <w:spacing w:after="0"/>
              <w:rPr>
                <w:sz w:val="20"/>
                <w:szCs w:val="20"/>
                <w:color w:val="auto"/>
              </w:rPr>
            </w:pPr>
            <w:r>
              <w:rPr>
                <w:rFonts w:ascii="Arial" w:cs="Arial" w:eastAsia="Arial" w:hAnsi="Arial"/>
                <w:sz w:val="17"/>
                <w:szCs w:val="17"/>
                <w:color w:val="auto"/>
              </w:rPr>
              <w:t>58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3"/>
        </w:trPr>
        <w:tc>
          <w:tcPr>
            <w:tcW w:w="5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5" w:right="19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The changes in the projected benefit obligation, plan assets and funded status of the plans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415"/>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US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6"/>
          </w:tcPr>
          <w:p>
            <w:pPr>
              <w:jc w:val="right"/>
              <w:ind w:right="960"/>
              <w:spacing w:after="0"/>
              <w:rPr>
                <w:sz w:val="20"/>
                <w:szCs w:val="20"/>
                <w:color w:val="auto"/>
              </w:rPr>
            </w:pPr>
            <w:r>
              <w:rPr>
                <w:rFonts w:ascii="Arial" w:cs="Arial" w:eastAsia="Arial" w:hAnsi="Arial"/>
                <w:sz w:val="17"/>
                <w:szCs w:val="17"/>
                <w:color w:val="auto"/>
              </w:rPr>
              <w:t>International</w:t>
            </w:r>
          </w:p>
        </w:tc>
        <w:tc>
          <w:tcPr>
            <w:tcW w:w="0" w:type="dxa"/>
            <w:vAlign w:val="bottom"/>
          </w:tcPr>
          <w:p>
            <w:pPr>
              <w:spacing w:after="0"/>
              <w:rPr>
                <w:sz w:val="1"/>
                <w:szCs w:val="1"/>
                <w:color w:val="auto"/>
              </w:rPr>
            </w:pPr>
          </w:p>
        </w:tc>
      </w:tr>
      <w:tr>
        <w:trPr>
          <w:trHeight w:val="214"/>
        </w:trPr>
        <w:tc>
          <w:tcPr>
            <w:tcW w:w="59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2017</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color w:val="auto"/>
              </w:rPr>
              <w:t>2016</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2017</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color w:val="auto"/>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FF0FC"/>
          </w:tcPr>
          <w:p>
            <w:pPr>
              <w:spacing w:after="0"/>
              <w:rPr>
                <w:sz w:val="20"/>
                <w:szCs w:val="20"/>
                <w:color w:val="auto"/>
              </w:rPr>
            </w:pPr>
            <w:r>
              <w:rPr>
                <w:rFonts w:ascii="Arial" w:cs="Arial" w:eastAsia="Arial" w:hAnsi="Arial"/>
                <w:sz w:val="17"/>
                <w:szCs w:val="17"/>
                <w:b w:val="1"/>
                <w:bCs w:val="1"/>
                <w:i w:val="1"/>
                <w:iCs w:val="1"/>
                <w:color w:val="auto"/>
              </w:rPr>
              <w:t>Change in Projected Benefit Obligations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Projected benefit obligation at beginning of year</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4,240</w:t>
            </w:r>
          </w:p>
        </w:tc>
        <w:tc>
          <w:tcPr>
            <w:tcW w:w="24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4,025</w:t>
            </w:r>
          </w:p>
        </w:tc>
        <w:tc>
          <w:tcPr>
            <w:tcW w:w="160" w:type="dxa"/>
            <w:vAlign w:val="bottom"/>
          </w:tcPr>
          <w:p>
            <w:pPr>
              <w:spacing w:after="0"/>
              <w:rPr>
                <w:sz w:val="19"/>
                <w:szCs w:val="19"/>
                <w:color w:val="auto"/>
              </w:rPr>
            </w:pPr>
          </w:p>
        </w:tc>
        <w:tc>
          <w:tcPr>
            <w:tcW w:w="340" w:type="dxa"/>
            <w:vAlign w:val="bottom"/>
            <w:gridSpan w:val="2"/>
          </w:tcPr>
          <w:p>
            <w:pPr>
              <w:jc w:val="right"/>
              <w:ind w:right="104"/>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7,793</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Service cost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Interest cost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Contribution by plan participants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Actuarial (gains) losses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616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Currency effect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Benefits paid</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(194)</w:t>
            </w: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20" w:type="dxa"/>
            <w:vAlign w:val="bottom"/>
          </w:tcPr>
          <w:p>
            <w:pPr>
              <w:spacing w:after="0"/>
              <w:rPr>
                <w:sz w:val="20"/>
                <w:szCs w:val="20"/>
                <w:color w:val="auto"/>
              </w:rPr>
            </w:pPr>
            <w:r>
              <w:rPr>
                <w:rFonts w:ascii="Arial" w:cs="Arial" w:eastAsia="Arial" w:hAnsi="Arial"/>
                <w:sz w:val="17"/>
                <w:szCs w:val="17"/>
                <w:color w:val="auto"/>
              </w:rPr>
              <w:t>Projected benefit obligation at end of year</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4,603</w:t>
            </w:r>
          </w:p>
        </w:tc>
        <w:tc>
          <w:tcPr>
            <w:tcW w:w="2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8,752</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i w:val="1"/>
                <w:iCs w:val="1"/>
                <w:color w:val="auto"/>
              </w:rPr>
              <w:t>Change in Plan Assets</w:t>
            </w: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Plan assets at fair value at beginning of year</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3,625</w:t>
            </w:r>
          </w:p>
        </w:tc>
        <w:tc>
          <w:tcPr>
            <w:tcW w:w="24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3,467</w:t>
            </w:r>
          </w:p>
        </w:tc>
        <w:tc>
          <w:tcPr>
            <w:tcW w:w="160" w:type="dxa"/>
            <w:vAlign w:val="bottom"/>
          </w:tcPr>
          <w:p>
            <w:pPr>
              <w:spacing w:after="0"/>
              <w:rPr>
                <w:sz w:val="19"/>
                <w:szCs w:val="19"/>
                <w:color w:val="auto"/>
              </w:rPr>
            </w:pPr>
          </w:p>
        </w:tc>
        <w:tc>
          <w:tcPr>
            <w:tcW w:w="340" w:type="dxa"/>
            <w:vAlign w:val="bottom"/>
            <w:gridSpan w:val="2"/>
          </w:tcPr>
          <w:p>
            <w:pPr>
              <w:jc w:val="right"/>
              <w:ind w:right="104"/>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7,194</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Actual return on plan assets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622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Currency effect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Company contributions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Contributions by plan participants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Benefits paid</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(194)</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(183)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(293)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59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Plan assets at fair value at end of year</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4,058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3,625</w:t>
            </w:r>
          </w:p>
        </w:tc>
        <w:tc>
          <w:tcPr>
            <w:tcW w:w="16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8,507</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Unfunded Liability</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20" w:type="dxa"/>
            <w:vAlign w:val="bottom"/>
            <w:vMerge w:val="continue"/>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(545)</w:t>
            </w:r>
          </w:p>
        </w:tc>
        <w:tc>
          <w:tcPr>
            <w:tcW w:w="240" w:type="dxa"/>
            <w:vAlign w:val="bottom"/>
            <w:vMerge w:val="continue"/>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(615)</w:t>
            </w:r>
          </w:p>
        </w:tc>
        <w:tc>
          <w:tcPr>
            <w:tcW w:w="80" w:type="dxa"/>
            <w:vAlign w:val="bottom"/>
            <w:vMerge w:val="continue"/>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(245)</w:t>
            </w:r>
          </w:p>
        </w:tc>
        <w:tc>
          <w:tcPr>
            <w:tcW w:w="140" w:type="dxa"/>
            <w:vAlign w:val="bottom"/>
            <w:vMerge w:val="continue"/>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(599)</w:t>
            </w:r>
          </w:p>
        </w:tc>
        <w:tc>
          <w:tcPr>
            <w:tcW w:w="0" w:type="dxa"/>
            <w:vAlign w:val="bottom"/>
          </w:tcPr>
          <w:p>
            <w:pPr>
              <w:spacing w:after="0"/>
              <w:rPr>
                <w:sz w:val="1"/>
                <w:szCs w:val="1"/>
                <w:color w:val="auto"/>
              </w:rPr>
            </w:pPr>
          </w:p>
        </w:tc>
      </w:tr>
      <w:tr>
        <w:trPr>
          <w:trHeight w:val="214"/>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i w:val="1"/>
                <w:iCs w:val="1"/>
                <w:color w:val="auto"/>
              </w:rPr>
              <w:t>Amounts Recognized in Balance Sheet</w:t>
            </w: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Postretirement Benefits</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(545)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(615)</w:t>
            </w:r>
          </w:p>
        </w:tc>
        <w:tc>
          <w:tcPr>
            <w:tcW w:w="340" w:type="dxa"/>
            <w:vAlign w:val="bottom"/>
            <w:gridSpan w:val="2"/>
          </w:tcPr>
          <w:p>
            <w:pPr>
              <w:jc w:val="right"/>
              <w:ind w:right="104"/>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(418)</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(724)</w:t>
            </w: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(545)</w:t>
            </w:r>
          </w:p>
        </w:tc>
        <w:tc>
          <w:tcPr>
            <w:tcW w:w="2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(615)</w:t>
            </w:r>
          </w:p>
        </w:tc>
        <w:tc>
          <w:tcPr>
            <w:tcW w:w="8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(245)</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(599)</w:t>
            </w:r>
          </w:p>
        </w:tc>
        <w:tc>
          <w:tcPr>
            <w:tcW w:w="0" w:type="dxa"/>
            <w:vAlign w:val="bottom"/>
          </w:tcPr>
          <w:p>
            <w:pPr>
              <w:spacing w:after="0"/>
              <w:rPr>
                <w:sz w:val="1"/>
                <w:szCs w:val="1"/>
                <w:color w:val="auto"/>
              </w:rPr>
            </w:pPr>
          </w:p>
        </w:tc>
      </w:tr>
      <w:tr>
        <w:trPr>
          <w:trHeight w:val="214"/>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i w:val="1"/>
                <w:iCs w:val="1"/>
                <w:color w:val="auto"/>
              </w:rPr>
              <w:t>Amounts Recognized in Accumulated Other Comprehensive Loss</w:t>
            </w: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tcPr>
          <w:p>
            <w:pPr>
              <w:spacing w:after="0"/>
              <w:rPr>
                <w:sz w:val="20"/>
                <w:szCs w:val="20"/>
                <w:color w:val="auto"/>
              </w:rPr>
            </w:pPr>
            <w:r>
              <w:rPr>
                <w:rFonts w:ascii="Arial" w:cs="Arial" w:eastAsia="Arial" w:hAnsi="Arial"/>
                <w:sz w:val="17"/>
                <w:szCs w:val="17"/>
                <w:color w:val="auto"/>
              </w:rPr>
              <w:t>Actuarial losses</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887</w:t>
            </w:r>
          </w:p>
        </w:tc>
        <w:tc>
          <w:tcPr>
            <w:tcW w:w="24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982</w:t>
            </w:r>
          </w:p>
        </w:tc>
        <w:tc>
          <w:tcPr>
            <w:tcW w:w="160" w:type="dxa"/>
            <w:vAlign w:val="bottom"/>
          </w:tcPr>
          <w:p>
            <w:pPr>
              <w:spacing w:after="0"/>
              <w:rPr>
                <w:sz w:val="19"/>
                <w:szCs w:val="19"/>
                <w:color w:val="auto"/>
              </w:rPr>
            </w:pPr>
          </w:p>
        </w:tc>
        <w:tc>
          <w:tcPr>
            <w:tcW w:w="340" w:type="dxa"/>
            <w:vAlign w:val="bottom"/>
            <w:gridSpan w:val="2"/>
          </w:tcPr>
          <w:p>
            <w:pPr>
              <w:jc w:val="right"/>
              <w:ind w:right="104"/>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1,419</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Prior service cost</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917</w:t>
            </w:r>
          </w:p>
        </w:tc>
        <w:tc>
          <w:tcPr>
            <w:tcW w:w="2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1,436</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Accumulated benefit obligation</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4,347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3,999</w:t>
            </w:r>
          </w:p>
        </w:tc>
        <w:tc>
          <w:tcPr>
            <w:tcW w:w="16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8,400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unfunded liability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allocation of plan assets and the target allocations by asset category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7"/>
                <w:szCs w:val="17"/>
                <w:color w:val="auto"/>
              </w:rPr>
              <w:t>US</w:t>
            </w: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7"/>
                <w:szCs w:val="17"/>
                <w:color w:val="auto"/>
              </w:rPr>
              <w:t>International</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4"/>
        </w:trPr>
        <w:tc>
          <w:tcPr>
            <w:tcW w:w="45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Target</w:t>
            </w: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2016</w:t>
            </w:r>
          </w:p>
        </w:tc>
        <w:tc>
          <w:tcPr>
            <w:tcW w:w="28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7"/>
                <w:szCs w:val="17"/>
                <w:color w:val="auto"/>
              </w:rPr>
              <w:t>Target</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2016</w:t>
            </w:r>
          </w:p>
        </w:tc>
        <w:tc>
          <w:tcPr>
            <w:tcW w:w="160" w:type="dxa"/>
            <w:vAlign w:val="bottom"/>
            <w:tcBorders>
              <w:bottom w:val="single" w:sz="8" w:color="CFF0FC"/>
            </w:tcBorders>
          </w:tcPr>
          <w:p>
            <w:pPr>
              <w:spacing w:after="0"/>
              <w:rPr>
                <w:sz w:val="18"/>
                <w:szCs w:val="18"/>
                <w:color w:val="auto"/>
              </w:rPr>
            </w:pPr>
          </w:p>
        </w:tc>
      </w:tr>
      <w:tr>
        <w:trPr>
          <w:trHeight w:val="214"/>
        </w:trPr>
        <w:tc>
          <w:tcPr>
            <w:tcW w:w="452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w w:val="99"/>
              </w:rPr>
              <w:t>56%</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51%</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52%</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- 71%</w:t>
            </w:r>
          </w:p>
        </w:tc>
        <w:tc>
          <w:tcPr>
            <w:tcW w:w="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64%</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64%</w:t>
            </w:r>
          </w:p>
        </w:tc>
      </w:tr>
      <w:tr>
        <w:trPr>
          <w:trHeight w:val="221"/>
        </w:trPr>
        <w:tc>
          <w:tcPr>
            <w:tcW w:w="4520" w:type="dxa"/>
            <w:vAlign w:val="bottom"/>
          </w:tcPr>
          <w:p>
            <w:pPr>
              <w:spacing w:after="0"/>
              <w:rPr>
                <w:sz w:val="20"/>
                <w:szCs w:val="20"/>
                <w:color w:val="auto"/>
              </w:rPr>
            </w:pPr>
            <w:r>
              <w:rPr>
                <w:rFonts w:ascii="Arial" w:cs="Arial" w:eastAsia="Arial" w:hAnsi="Arial"/>
                <w:sz w:val="17"/>
                <w:szCs w:val="17"/>
                <w:color w:val="auto"/>
              </w:rPr>
              <w:t>Debt securities</w:t>
            </w:r>
          </w:p>
        </w:tc>
        <w:tc>
          <w:tcPr>
            <w:tcW w:w="560" w:type="dxa"/>
            <w:vAlign w:val="bottom"/>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62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38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w:t>
            </w:r>
          </w:p>
        </w:tc>
        <w:tc>
          <w:tcPr>
            <w:tcW w:w="340" w:type="dxa"/>
            <w:vAlign w:val="bottom"/>
          </w:tcPr>
          <w:p>
            <w:pPr>
              <w:jc w:val="right"/>
              <w:spacing w:after="0"/>
              <w:rPr>
                <w:sz w:val="20"/>
                <w:szCs w:val="20"/>
                <w:color w:val="auto"/>
              </w:rPr>
            </w:pPr>
            <w:r>
              <w:rPr>
                <w:rFonts w:ascii="Arial" w:cs="Arial" w:eastAsia="Arial" w:hAnsi="Arial"/>
                <w:sz w:val="17"/>
                <w:szCs w:val="17"/>
                <w:color w:val="auto"/>
              </w:rPr>
              <w:t>- 35</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b w:val="1"/>
                <w:bCs w:val="1"/>
                <w:color w:val="auto"/>
              </w:rPr>
              <w:t>23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9"/>
                <w:szCs w:val="19"/>
                <w:color w:val="auto"/>
              </w:rPr>
            </w:pPr>
          </w:p>
        </w:tc>
      </w:tr>
      <w:tr>
        <w:trPr>
          <w:trHeight w:val="221"/>
        </w:trPr>
        <w:tc>
          <w:tcPr>
            <w:tcW w:w="45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5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8"/>
              </w:rPr>
              <w:t>0 - 3</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8"/>
              </w:rPr>
              <w:t>0 - 5</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4</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FF0FC"/>
          </w:tcPr>
          <w:p>
            <w:pPr>
              <w:spacing w:after="0"/>
              <w:rPr>
                <w:sz w:val="19"/>
                <w:szCs w:val="19"/>
                <w:color w:val="auto"/>
              </w:rPr>
            </w:pPr>
          </w:p>
        </w:tc>
      </w:tr>
      <w:tr>
        <w:trPr>
          <w:trHeight w:val="221"/>
        </w:trPr>
        <w:tc>
          <w:tcPr>
            <w:tcW w:w="45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Alternative investments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10</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- 25</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60" w:type="dxa"/>
            <w:vAlign w:val="bottom"/>
            <w:tcBorders>
              <w:bottom w:val="single" w:sz="8" w:color="CFF0FC"/>
            </w:tcBorders>
          </w:tcPr>
          <w:p>
            <w:pPr>
              <w:spacing w:after="0"/>
              <w:rPr>
                <w:sz w:val="19"/>
                <w:szCs w:val="19"/>
                <w:color w:val="auto"/>
              </w:rPr>
            </w:pPr>
          </w:p>
        </w:tc>
      </w:tr>
      <w:tr>
        <w:trPr>
          <w:trHeight w:val="214"/>
        </w:trPr>
        <w:tc>
          <w:tcPr>
            <w:tcW w:w="45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100%</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100%</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100%</w:t>
            </w:r>
          </w:p>
        </w:tc>
        <w:tc>
          <w:tcPr>
            <w:tcW w:w="5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100%</w:t>
            </w:r>
          </w:p>
        </w:tc>
        <w:tc>
          <w:tcPr>
            <w:tcW w:w="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100%</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Asset performance is monitored frequently with an overall expectation that plan assets will meet or exceed the weighted index of its target asset allocation and component benchmark over rolling five-year periods.</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expected rate of return on assets assumptions reflect the long-term average rate of earnings expected on funds invested or to be invested.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59" w:name="page60"/>
    <w:bookmarkEnd w:id="59"/>
    <w:p>
      <w:pPr>
        <w:ind w:right="40"/>
        <w:spacing w:after="0" w:line="285" w:lineRule="auto"/>
        <w:rPr>
          <w:sz w:val="20"/>
          <w:szCs w:val="20"/>
          <w:color w:val="auto"/>
        </w:rPr>
      </w:pPr>
      <w:r>
        <w:rPr>
          <w:rFonts w:ascii="Arial" w:cs="Arial" w:eastAsia="Arial" w:hAnsi="Arial"/>
          <w:sz w:val="17"/>
          <w:szCs w:val="17"/>
          <w:color w:val="auto"/>
        </w:rPr>
        <w:t>The fair value of Schlumberger’s pension plan assets at December 31, 2017 and 2016, by asset category, is presented below and was determined based on valuation techniques categorized as follows:</w:t>
      </w:r>
    </w:p>
    <w:p>
      <w:pPr>
        <w:spacing w:after="0" w:line="55" w:lineRule="exact"/>
        <w:rPr>
          <w:sz w:val="20"/>
          <w:szCs w:val="20"/>
          <w:color w:val="auto"/>
        </w:rPr>
      </w:pPr>
    </w:p>
    <w:p>
      <w:pPr>
        <w:ind w:left="1020" w:hanging="379"/>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Level One: The use of quoted prices in active markets for identical instruments.</w:t>
      </w:r>
    </w:p>
    <w:p>
      <w:pPr>
        <w:spacing w:after="0" w:line="116" w:lineRule="exact"/>
        <w:rPr>
          <w:rFonts w:ascii="Arial" w:cs="Arial" w:eastAsia="Arial" w:hAnsi="Arial"/>
          <w:sz w:val="17"/>
          <w:szCs w:val="17"/>
          <w:color w:val="auto"/>
        </w:rPr>
      </w:pPr>
    </w:p>
    <w:p>
      <w:pPr>
        <w:ind w:left="1040" w:right="40" w:hanging="386"/>
        <w:spacing w:after="0" w:line="285" w:lineRule="auto"/>
        <w:tabs>
          <w:tab w:leader="none" w:pos="10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55" w:lineRule="exact"/>
        <w:rPr>
          <w:rFonts w:ascii="Arial" w:cs="Arial" w:eastAsia="Arial" w:hAnsi="Arial"/>
          <w:sz w:val="17"/>
          <w:szCs w:val="17"/>
          <w:color w:val="auto"/>
        </w:rPr>
      </w:pPr>
    </w:p>
    <w:p>
      <w:pPr>
        <w:ind w:left="1040" w:right="40" w:hanging="386"/>
        <w:spacing w:after="0" w:line="285" w:lineRule="auto"/>
        <w:tabs>
          <w:tab w:leader="none" w:pos="10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Level Three: The use of significant unobservable inputs that typically require the use of management’s estimates of assumptions that market participants would use in pricing.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5"/>
          </w:tcPr>
          <w:p>
            <w:pPr>
              <w:ind w:left="52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3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220"/>
              <w:spacing w:after="0"/>
              <w:rPr>
                <w:sz w:val="20"/>
                <w:szCs w:val="20"/>
                <w:color w:val="auto"/>
              </w:rPr>
            </w:pPr>
            <w:r>
              <w:rPr>
                <w:rFonts w:ascii="Arial" w:cs="Arial" w:eastAsia="Arial" w:hAnsi="Arial"/>
                <w:sz w:val="17"/>
                <w:szCs w:val="17"/>
                <w:color w:val="auto"/>
              </w:rPr>
              <w:t>US Plan Assets</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2017</w:t>
            </w: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2016</w:t>
            </w: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center"/>
              <w:ind w:right="53"/>
              <w:spacing w:after="0"/>
              <w:rPr>
                <w:sz w:val="20"/>
                <w:szCs w:val="20"/>
                <w:color w:val="auto"/>
              </w:rPr>
            </w:pPr>
            <w:r>
              <w:rPr>
                <w:rFonts w:ascii="Arial" w:cs="Arial" w:eastAsia="Arial" w:hAnsi="Arial"/>
                <w:sz w:val="17"/>
                <w:szCs w:val="17"/>
                <w:color w:val="auto"/>
                <w:w w:val="93"/>
              </w:rPr>
              <w:t>Level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center"/>
              <w:ind w:right="53"/>
              <w:spacing w:after="0"/>
              <w:rPr>
                <w:sz w:val="20"/>
                <w:szCs w:val="20"/>
                <w:color w:val="auto"/>
              </w:rPr>
            </w:pPr>
            <w:r>
              <w:rPr>
                <w:rFonts w:ascii="Arial" w:cs="Arial" w:eastAsia="Arial" w:hAnsi="Arial"/>
                <w:sz w:val="17"/>
                <w:szCs w:val="17"/>
                <w:color w:val="auto"/>
                <w:w w:val="93"/>
              </w:rPr>
              <w:t>Level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7"/>
                <w:szCs w:val="17"/>
                <w:color w:val="auto"/>
              </w:rPr>
              <w:t>Level</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7"/>
                <w:szCs w:val="17"/>
                <w:color w:val="auto"/>
                <w:w w:val="98"/>
              </w:rPr>
              <w:t>Level</w:t>
            </w:r>
          </w:p>
        </w:tc>
        <w:tc>
          <w:tcPr>
            <w:tcW w:w="140" w:type="dxa"/>
            <w:vAlign w:val="bottom"/>
          </w:tcPr>
          <w:p>
            <w:pPr>
              <w:spacing w:after="0"/>
              <w:rPr>
                <w:sz w:val="18"/>
                <w:szCs w:val="18"/>
                <w:color w:val="auto"/>
              </w:rPr>
            </w:pPr>
          </w:p>
        </w:tc>
        <w:tc>
          <w:tcPr>
            <w:tcW w:w="620" w:type="dxa"/>
            <w:vAlign w:val="bottom"/>
          </w:tcPr>
          <w:p>
            <w:pPr>
              <w:jc w:val="center"/>
              <w:ind w:right="75"/>
              <w:spacing w:after="0"/>
              <w:rPr>
                <w:sz w:val="20"/>
                <w:szCs w:val="20"/>
                <w:color w:val="auto"/>
              </w:rPr>
            </w:pPr>
            <w:r>
              <w:rPr>
                <w:rFonts w:ascii="Arial" w:cs="Arial" w:eastAsia="Arial" w:hAnsi="Arial"/>
                <w:sz w:val="17"/>
                <w:szCs w:val="17"/>
                <w:color w:val="auto"/>
                <w:w w:val="93"/>
              </w:rPr>
              <w:t>Level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7"/>
                <w:szCs w:val="17"/>
                <w:color w:val="auto"/>
              </w:rPr>
              <w:t>Level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40" w:type="dxa"/>
            <w:vAlign w:val="bottom"/>
          </w:tcPr>
          <w:p>
            <w:pPr>
              <w:spacing w:after="0"/>
              <w:rPr>
                <w:sz w:val="19"/>
                <w:szCs w:val="19"/>
                <w:color w:val="auto"/>
              </w:rPr>
            </w:pPr>
          </w:p>
        </w:tc>
        <w:tc>
          <w:tcPr>
            <w:tcW w:w="600" w:type="dxa"/>
            <w:vAlign w:val="bottom"/>
          </w:tcPr>
          <w:p>
            <w:pPr>
              <w:jc w:val="center"/>
              <w:ind w:right="53"/>
              <w:spacing w:after="0"/>
              <w:rPr>
                <w:sz w:val="20"/>
                <w:szCs w:val="20"/>
                <w:color w:val="auto"/>
              </w:rPr>
            </w:pPr>
            <w:r>
              <w:rPr>
                <w:rFonts w:ascii="Arial" w:cs="Arial" w:eastAsia="Arial" w:hAnsi="Arial"/>
                <w:sz w:val="17"/>
                <w:szCs w:val="17"/>
                <w:color w:val="auto"/>
                <w:w w:val="93"/>
              </w:rPr>
              <w:t>One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center"/>
              <w:ind w:right="53"/>
              <w:spacing w:after="0"/>
              <w:rPr>
                <w:sz w:val="20"/>
                <w:szCs w:val="20"/>
                <w:color w:val="auto"/>
              </w:rPr>
            </w:pPr>
            <w:r>
              <w:rPr>
                <w:rFonts w:ascii="Arial" w:cs="Arial" w:eastAsia="Arial" w:hAnsi="Arial"/>
                <w:sz w:val="17"/>
                <w:szCs w:val="17"/>
                <w:color w:val="auto"/>
                <w:w w:val="93"/>
              </w:rPr>
              <w:t>Two</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7"/>
                <w:szCs w:val="17"/>
                <w:color w:val="auto"/>
              </w:rPr>
              <w:t>Three</w:t>
            </w:r>
          </w:p>
        </w:tc>
        <w:tc>
          <w:tcPr>
            <w:tcW w:w="14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9"/>
                <w:szCs w:val="19"/>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7"/>
                <w:szCs w:val="17"/>
                <w:color w:val="auto"/>
                <w:w w:val="86"/>
              </w:rPr>
              <w:t>One</w:t>
            </w:r>
          </w:p>
        </w:tc>
        <w:tc>
          <w:tcPr>
            <w:tcW w:w="140" w:type="dxa"/>
            <w:vAlign w:val="bottom"/>
          </w:tcPr>
          <w:p>
            <w:pPr>
              <w:spacing w:after="0"/>
              <w:rPr>
                <w:sz w:val="19"/>
                <w:szCs w:val="19"/>
                <w:color w:val="auto"/>
              </w:rPr>
            </w:pPr>
          </w:p>
        </w:tc>
        <w:tc>
          <w:tcPr>
            <w:tcW w:w="620" w:type="dxa"/>
            <w:vAlign w:val="bottom"/>
          </w:tcPr>
          <w:p>
            <w:pPr>
              <w:jc w:val="center"/>
              <w:ind w:right="75"/>
              <w:spacing w:after="0"/>
              <w:rPr>
                <w:sz w:val="20"/>
                <w:szCs w:val="20"/>
                <w:color w:val="auto"/>
              </w:rPr>
            </w:pPr>
            <w:r>
              <w:rPr>
                <w:rFonts w:ascii="Arial" w:cs="Arial" w:eastAsia="Arial" w:hAnsi="Arial"/>
                <w:sz w:val="17"/>
                <w:szCs w:val="17"/>
                <w:color w:val="auto"/>
                <w:w w:val="93"/>
              </w:rPr>
              <w:t>Two</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7"/>
                <w:szCs w:val="17"/>
                <w:color w:val="auto"/>
              </w:rPr>
              <w:t>Three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 Category:</w:t>
            </w: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7"/>
                <w:szCs w:val="17"/>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112</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92</w:t>
            </w:r>
          </w:p>
        </w:tc>
        <w:tc>
          <w:tcPr>
            <w:tcW w:w="3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320" w:type="dxa"/>
            <w:vAlign w:val="bottom"/>
            <w:gridSpan w:val="2"/>
          </w:tcPr>
          <w:p>
            <w:pPr>
              <w:ind w:left="200"/>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45</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Equity Securities: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tcPr>
          <w:p>
            <w:pPr>
              <w:ind w:left="240"/>
              <w:spacing w:after="0"/>
              <w:rPr>
                <w:sz w:val="20"/>
                <w:szCs w:val="20"/>
                <w:color w:val="auto"/>
              </w:rPr>
            </w:pPr>
            <w:r>
              <w:rPr>
                <w:rFonts w:ascii="Arial" w:cs="Arial" w:eastAsia="Arial" w:hAnsi="Arial"/>
                <w:sz w:val="17"/>
                <w:szCs w:val="17"/>
                <w:color w:val="auto"/>
              </w:rPr>
              <w:t xml:space="preserve">US </w:t>
            </w:r>
            <w:r>
              <w:rPr>
                <w:rFonts w:ascii="Arial" w:cs="Arial" w:eastAsia="Arial" w:hAnsi="Arial"/>
                <w:sz w:val="14"/>
                <w:szCs w:val="14"/>
                <w:color w:val="auto"/>
              </w:rPr>
              <w:t>(a)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1,324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1,148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International </w:t>
            </w:r>
            <w:r>
              <w:rPr>
                <w:rFonts w:ascii="Arial" w:cs="Arial" w:eastAsia="Arial" w:hAnsi="Arial"/>
                <w:sz w:val="14"/>
                <w:szCs w:val="14"/>
                <w:color w:val="auto"/>
              </w:rPr>
              <w:t>(b)</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757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7"/>
                <w:szCs w:val="17"/>
                <w:b w:val="1"/>
                <w:bCs w:val="1"/>
                <w:color w:val="auto"/>
              </w:rPr>
              <w:t>Debt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Corporate bonds </w:t>
            </w:r>
            <w:r>
              <w:rPr>
                <w:rFonts w:ascii="Arial" w:cs="Arial" w:eastAsia="Arial" w:hAnsi="Arial"/>
                <w:sz w:val="14"/>
                <w:szCs w:val="14"/>
                <w:color w:val="auto"/>
              </w:rPr>
              <w:t>(c)</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771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771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60" w:type="dxa"/>
            <w:vAlign w:val="bottom"/>
          </w:tcPr>
          <w:p>
            <w:pPr>
              <w:ind w:left="240"/>
              <w:spacing w:after="0"/>
              <w:rPr>
                <w:sz w:val="20"/>
                <w:szCs w:val="20"/>
                <w:color w:val="auto"/>
              </w:rPr>
            </w:pPr>
            <w:r>
              <w:rPr>
                <w:rFonts w:ascii="Arial" w:cs="Arial" w:eastAsia="Arial" w:hAnsi="Arial"/>
                <w:sz w:val="17"/>
                <w:szCs w:val="17"/>
                <w:color w:val="auto"/>
                <w:w w:val="94"/>
              </w:rPr>
              <w:t>Government and government-related debt securities</w:t>
            </w: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643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164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479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960" w:type="dxa"/>
            <w:vAlign w:val="bottom"/>
          </w:tcPr>
          <w:p>
            <w:pPr>
              <w:ind w:left="240"/>
              <w:spacing w:after="0" w:line="169" w:lineRule="exact"/>
              <w:rPr>
                <w:sz w:val="20"/>
                <w:szCs w:val="20"/>
                <w:color w:val="auto"/>
              </w:rPr>
            </w:pPr>
            <w:r>
              <w:rPr>
                <w:rFonts w:ascii="Arial" w:cs="Arial" w:eastAsia="Arial" w:hAnsi="Arial"/>
                <w:sz w:val="15"/>
                <w:szCs w:val="15"/>
                <w:color w:val="auto"/>
              </w:rPr>
              <w:t>(d)</w:t>
            </w: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8"/>
              </w:rPr>
              <w:t>Collateralized mortgage obligations and mortgage</w:t>
            </w: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108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108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backed securities </w:t>
            </w:r>
            <w:r>
              <w:rPr>
                <w:rFonts w:ascii="Arial" w:cs="Arial" w:eastAsia="Arial" w:hAnsi="Arial"/>
                <w:sz w:val="14"/>
                <w:szCs w:val="14"/>
                <w:color w:val="auto"/>
              </w:rPr>
              <w:t>(e)</w:t>
            </w:r>
          </w:p>
        </w:tc>
        <w:tc>
          <w:tcPr>
            <w:tcW w:w="14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7"/>
                <w:szCs w:val="17"/>
                <w:b w:val="1"/>
                <w:bCs w:val="1"/>
                <w:color w:val="auto"/>
              </w:rPr>
              <w:t>Alternative Investments: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Private equity </w:t>
            </w:r>
            <w:r>
              <w:rPr>
                <w:rFonts w:ascii="Arial" w:cs="Arial" w:eastAsia="Arial" w:hAnsi="Arial"/>
                <w:sz w:val="14"/>
                <w:szCs w:val="14"/>
                <w:color w:val="auto"/>
              </w:rPr>
              <w:t>(f)</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 xml:space="preserve">Real estate </w:t>
            </w:r>
            <w:r>
              <w:rPr>
                <w:rFonts w:ascii="Arial" w:cs="Arial" w:eastAsia="Arial" w:hAnsi="Arial"/>
                <w:sz w:val="14"/>
                <w:szCs w:val="14"/>
                <w:color w:val="auto"/>
              </w:rPr>
              <w:t>(g)</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12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4,058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2,150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1,578</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330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3,625</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1,877</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1,415</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333</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5"/>
          </w:tcPr>
          <w:p>
            <w:pPr>
              <w:ind w:left="52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ind w:left="200"/>
              <w:spacing w:after="0"/>
              <w:rPr>
                <w:sz w:val="20"/>
                <w:szCs w:val="20"/>
                <w:color w:val="auto"/>
              </w:rPr>
            </w:pPr>
            <w:r>
              <w:rPr>
                <w:rFonts w:ascii="Arial" w:cs="Arial" w:eastAsia="Arial" w:hAnsi="Arial"/>
                <w:sz w:val="17"/>
                <w:szCs w:val="17"/>
                <w:color w:val="auto"/>
                <w:w w:val="98"/>
              </w:rPr>
              <w:t>International Plan Assets</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2017</w:t>
            </w: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2016</w:t>
            </w: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center"/>
              <w:ind w:right="53"/>
              <w:spacing w:after="0"/>
              <w:rPr>
                <w:sz w:val="20"/>
                <w:szCs w:val="20"/>
                <w:color w:val="auto"/>
              </w:rPr>
            </w:pPr>
            <w:r>
              <w:rPr>
                <w:rFonts w:ascii="Arial" w:cs="Arial" w:eastAsia="Arial" w:hAnsi="Arial"/>
                <w:sz w:val="17"/>
                <w:szCs w:val="17"/>
                <w:color w:val="auto"/>
                <w:w w:val="93"/>
              </w:rPr>
              <w:t>Level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center"/>
              <w:ind w:right="53"/>
              <w:spacing w:after="0"/>
              <w:rPr>
                <w:sz w:val="20"/>
                <w:szCs w:val="20"/>
                <w:color w:val="auto"/>
              </w:rPr>
            </w:pPr>
            <w:r>
              <w:rPr>
                <w:rFonts w:ascii="Arial" w:cs="Arial" w:eastAsia="Arial" w:hAnsi="Arial"/>
                <w:sz w:val="17"/>
                <w:szCs w:val="17"/>
                <w:color w:val="auto"/>
                <w:w w:val="93"/>
              </w:rPr>
              <w:t>Level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7"/>
                <w:szCs w:val="17"/>
                <w:color w:val="auto"/>
              </w:rPr>
              <w:t>Level</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7"/>
                <w:szCs w:val="17"/>
                <w:color w:val="auto"/>
                <w:w w:val="98"/>
              </w:rPr>
              <w:t>Level</w:t>
            </w:r>
          </w:p>
        </w:tc>
        <w:tc>
          <w:tcPr>
            <w:tcW w:w="140" w:type="dxa"/>
            <w:vAlign w:val="bottom"/>
          </w:tcPr>
          <w:p>
            <w:pPr>
              <w:spacing w:after="0"/>
              <w:rPr>
                <w:sz w:val="18"/>
                <w:szCs w:val="18"/>
                <w:color w:val="auto"/>
              </w:rPr>
            </w:pPr>
          </w:p>
        </w:tc>
        <w:tc>
          <w:tcPr>
            <w:tcW w:w="620" w:type="dxa"/>
            <w:vAlign w:val="bottom"/>
          </w:tcPr>
          <w:p>
            <w:pPr>
              <w:jc w:val="center"/>
              <w:ind w:right="75"/>
              <w:spacing w:after="0"/>
              <w:rPr>
                <w:sz w:val="20"/>
                <w:szCs w:val="20"/>
                <w:color w:val="auto"/>
              </w:rPr>
            </w:pPr>
            <w:r>
              <w:rPr>
                <w:rFonts w:ascii="Arial" w:cs="Arial" w:eastAsia="Arial" w:hAnsi="Arial"/>
                <w:sz w:val="17"/>
                <w:szCs w:val="17"/>
                <w:color w:val="auto"/>
                <w:w w:val="93"/>
              </w:rPr>
              <w:t>Level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7"/>
                <w:szCs w:val="17"/>
                <w:color w:val="auto"/>
              </w:rPr>
              <w:t>Level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40" w:type="dxa"/>
            <w:vAlign w:val="bottom"/>
          </w:tcPr>
          <w:p>
            <w:pPr>
              <w:spacing w:after="0"/>
              <w:rPr>
                <w:sz w:val="19"/>
                <w:szCs w:val="19"/>
                <w:color w:val="auto"/>
              </w:rPr>
            </w:pPr>
          </w:p>
        </w:tc>
        <w:tc>
          <w:tcPr>
            <w:tcW w:w="600" w:type="dxa"/>
            <w:vAlign w:val="bottom"/>
          </w:tcPr>
          <w:p>
            <w:pPr>
              <w:jc w:val="center"/>
              <w:ind w:right="53"/>
              <w:spacing w:after="0"/>
              <w:rPr>
                <w:sz w:val="20"/>
                <w:szCs w:val="20"/>
                <w:color w:val="auto"/>
              </w:rPr>
            </w:pPr>
            <w:r>
              <w:rPr>
                <w:rFonts w:ascii="Arial" w:cs="Arial" w:eastAsia="Arial" w:hAnsi="Arial"/>
                <w:sz w:val="17"/>
                <w:szCs w:val="17"/>
                <w:color w:val="auto"/>
                <w:w w:val="93"/>
              </w:rPr>
              <w:t>One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center"/>
              <w:ind w:right="53"/>
              <w:spacing w:after="0"/>
              <w:rPr>
                <w:sz w:val="20"/>
                <w:szCs w:val="20"/>
                <w:color w:val="auto"/>
              </w:rPr>
            </w:pPr>
            <w:r>
              <w:rPr>
                <w:rFonts w:ascii="Arial" w:cs="Arial" w:eastAsia="Arial" w:hAnsi="Arial"/>
                <w:sz w:val="17"/>
                <w:szCs w:val="17"/>
                <w:color w:val="auto"/>
                <w:w w:val="93"/>
              </w:rPr>
              <w:t>Two</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7"/>
                <w:szCs w:val="17"/>
                <w:color w:val="auto"/>
              </w:rPr>
              <w:t>Three</w:t>
            </w:r>
          </w:p>
        </w:tc>
        <w:tc>
          <w:tcPr>
            <w:tcW w:w="14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9"/>
                <w:szCs w:val="19"/>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7"/>
                <w:szCs w:val="17"/>
                <w:color w:val="auto"/>
                <w:w w:val="86"/>
              </w:rPr>
              <w:t>One</w:t>
            </w:r>
          </w:p>
        </w:tc>
        <w:tc>
          <w:tcPr>
            <w:tcW w:w="140" w:type="dxa"/>
            <w:vAlign w:val="bottom"/>
          </w:tcPr>
          <w:p>
            <w:pPr>
              <w:spacing w:after="0"/>
              <w:rPr>
                <w:sz w:val="19"/>
                <w:szCs w:val="19"/>
                <w:color w:val="auto"/>
              </w:rPr>
            </w:pPr>
          </w:p>
        </w:tc>
        <w:tc>
          <w:tcPr>
            <w:tcW w:w="620" w:type="dxa"/>
            <w:vAlign w:val="bottom"/>
          </w:tcPr>
          <w:p>
            <w:pPr>
              <w:jc w:val="center"/>
              <w:ind w:right="75"/>
              <w:spacing w:after="0"/>
              <w:rPr>
                <w:sz w:val="20"/>
                <w:szCs w:val="20"/>
                <w:color w:val="auto"/>
              </w:rPr>
            </w:pPr>
            <w:r>
              <w:rPr>
                <w:rFonts w:ascii="Arial" w:cs="Arial" w:eastAsia="Arial" w:hAnsi="Arial"/>
                <w:sz w:val="17"/>
                <w:szCs w:val="17"/>
                <w:color w:val="auto"/>
                <w:w w:val="93"/>
              </w:rPr>
              <w:t>Two</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7"/>
                <w:szCs w:val="17"/>
                <w:color w:val="auto"/>
              </w:rPr>
              <w:t>Three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 Category:</w:t>
            </w: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7"/>
                <w:szCs w:val="17"/>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307</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69</w:t>
            </w:r>
          </w:p>
        </w:tc>
        <w:tc>
          <w:tcPr>
            <w:tcW w:w="3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238</w:t>
            </w:r>
          </w:p>
        </w:tc>
        <w:tc>
          <w:tcPr>
            <w:tcW w:w="320" w:type="dxa"/>
            <w:vAlign w:val="bottom"/>
            <w:gridSpan w:val="2"/>
          </w:tcPr>
          <w:p>
            <w:pPr>
              <w:ind w:left="200"/>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184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Equity Securities: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tcPr>
          <w:p>
            <w:pPr>
              <w:ind w:left="240"/>
              <w:spacing w:after="0"/>
              <w:rPr>
                <w:sz w:val="20"/>
                <w:szCs w:val="20"/>
                <w:color w:val="auto"/>
              </w:rPr>
            </w:pPr>
            <w:r>
              <w:rPr>
                <w:rFonts w:ascii="Arial" w:cs="Arial" w:eastAsia="Arial" w:hAnsi="Arial"/>
                <w:sz w:val="17"/>
                <w:szCs w:val="17"/>
                <w:color w:val="auto"/>
              </w:rPr>
              <w:t xml:space="preserve">US </w:t>
            </w:r>
            <w:r>
              <w:rPr>
                <w:rFonts w:ascii="Arial" w:cs="Arial" w:eastAsia="Arial" w:hAnsi="Arial"/>
                <w:sz w:val="14"/>
                <w:szCs w:val="14"/>
                <w:color w:val="auto"/>
              </w:rPr>
              <w:t>(a)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3,286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2,642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International </w:t>
            </w:r>
            <w:r>
              <w:rPr>
                <w:rFonts w:ascii="Arial" w:cs="Arial" w:eastAsia="Arial" w:hAnsi="Arial"/>
                <w:sz w:val="14"/>
                <w:szCs w:val="14"/>
                <w:color w:val="auto"/>
              </w:rPr>
              <w:t>(b)</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2,160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1,871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289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7"/>
                <w:szCs w:val="17"/>
                <w:b w:val="1"/>
                <w:bCs w:val="1"/>
                <w:color w:val="auto"/>
              </w:rPr>
              <w:t>Debt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Corporate bonds </w:t>
            </w:r>
            <w:r>
              <w:rPr>
                <w:rFonts w:ascii="Arial" w:cs="Arial" w:eastAsia="Arial" w:hAnsi="Arial"/>
                <w:sz w:val="14"/>
                <w:szCs w:val="14"/>
                <w:color w:val="auto"/>
              </w:rPr>
              <w:t>(c)</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841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60" w:type="dxa"/>
            <w:vAlign w:val="bottom"/>
          </w:tcPr>
          <w:p>
            <w:pPr>
              <w:ind w:left="240"/>
              <w:spacing w:after="0"/>
              <w:rPr>
                <w:sz w:val="20"/>
                <w:szCs w:val="20"/>
                <w:color w:val="auto"/>
              </w:rPr>
            </w:pPr>
            <w:r>
              <w:rPr>
                <w:rFonts w:ascii="Arial" w:cs="Arial" w:eastAsia="Arial" w:hAnsi="Arial"/>
                <w:sz w:val="17"/>
                <w:szCs w:val="17"/>
                <w:color w:val="auto"/>
                <w:w w:val="94"/>
              </w:rPr>
              <w:t>Government and government-related debt securities</w:t>
            </w: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1,001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991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960" w:type="dxa"/>
            <w:vAlign w:val="bottom"/>
          </w:tcPr>
          <w:p>
            <w:pPr>
              <w:ind w:left="240"/>
              <w:spacing w:after="0" w:line="169" w:lineRule="exact"/>
              <w:rPr>
                <w:sz w:val="20"/>
                <w:szCs w:val="20"/>
                <w:color w:val="auto"/>
              </w:rPr>
            </w:pPr>
            <w:r>
              <w:rPr>
                <w:rFonts w:ascii="Arial" w:cs="Arial" w:eastAsia="Arial" w:hAnsi="Arial"/>
                <w:sz w:val="15"/>
                <w:szCs w:val="15"/>
                <w:color w:val="auto"/>
              </w:rPr>
              <w:t>(d)</w:t>
            </w: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8"/>
              </w:rPr>
              <w:t>Collateralized mortgage obligations and mortgage</w:t>
            </w: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150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150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backed securities </w:t>
            </w:r>
            <w:r>
              <w:rPr>
                <w:rFonts w:ascii="Arial" w:cs="Arial" w:eastAsia="Arial" w:hAnsi="Arial"/>
                <w:sz w:val="14"/>
                <w:szCs w:val="14"/>
                <w:color w:val="auto"/>
              </w:rPr>
              <w:t>(e)</w:t>
            </w:r>
          </w:p>
        </w:tc>
        <w:tc>
          <w:tcPr>
            <w:tcW w:w="14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7"/>
                <w:szCs w:val="17"/>
                <w:b w:val="1"/>
                <w:bCs w:val="1"/>
                <w:color w:val="auto"/>
              </w:rPr>
              <w:t>Alternative Investments: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Private equity </w:t>
            </w:r>
            <w:r>
              <w:rPr>
                <w:rFonts w:ascii="Arial" w:cs="Arial" w:eastAsia="Arial" w:hAnsi="Arial"/>
                <w:sz w:val="14"/>
                <w:szCs w:val="14"/>
                <w:color w:val="auto"/>
              </w:rPr>
              <w:t>(f)</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477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477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tcPr>
          <w:p>
            <w:pPr>
              <w:ind w:left="240"/>
              <w:spacing w:after="0"/>
              <w:rPr>
                <w:sz w:val="20"/>
                <w:szCs w:val="20"/>
                <w:color w:val="auto"/>
              </w:rPr>
            </w:pPr>
            <w:r>
              <w:rPr>
                <w:rFonts w:ascii="Arial" w:cs="Arial" w:eastAsia="Arial" w:hAnsi="Arial"/>
                <w:sz w:val="17"/>
                <w:szCs w:val="17"/>
                <w:color w:val="auto"/>
              </w:rPr>
              <w:t xml:space="preserve">Real estate </w:t>
            </w:r>
            <w:r>
              <w:rPr>
                <w:rFonts w:ascii="Arial" w:cs="Arial" w:eastAsia="Arial" w:hAnsi="Arial"/>
                <w:sz w:val="14"/>
                <w:szCs w:val="14"/>
                <w:color w:val="auto"/>
              </w:rPr>
              <w:t>(g)</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168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133</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tcPr>
          <w:p>
            <w:pPr>
              <w:spacing w:after="0"/>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8,507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4,593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3,136</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778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7,194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3,944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2,636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84"/>
              </w:rPr>
              <w:t>60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5" w:right="199" w:bottom="1440" w:gutter="0" w:footer="0" w:header="0"/>
        </w:sectPr>
      </w:pPr>
    </w:p>
    <w:bookmarkStart w:id="60" w:name="page61"/>
    <w:bookmarkEnd w:id="60"/>
    <w:p>
      <w:pPr>
        <w:ind w:left="520" w:right="40" w:hanging="516"/>
        <w:spacing w:after="0" w:line="191" w:lineRule="auto"/>
        <w:tabs>
          <w:tab w:leader="none" w:pos="52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US equities include companies that are well-diversified by industry sector and equity style (i.e., growth and value strategies). Active and passive management strategies are employed. Investments are primarily in large capitalization stocks and, to a lesser extent, mid- and small-cap stocks.</w:t>
      </w:r>
    </w:p>
    <w:p>
      <w:pPr>
        <w:spacing w:after="0" w:line="100" w:lineRule="exact"/>
        <w:rPr>
          <w:rFonts w:ascii="Arial" w:cs="Arial" w:eastAsia="Arial" w:hAnsi="Arial"/>
          <w:sz w:val="27"/>
          <w:szCs w:val="27"/>
          <w:color w:val="auto"/>
          <w:vertAlign w:val="superscript"/>
        </w:rPr>
      </w:pPr>
    </w:p>
    <w:p>
      <w:pPr>
        <w:ind w:left="520" w:right="40" w:hanging="516"/>
        <w:spacing w:after="0" w:line="222" w:lineRule="auto"/>
        <w:tabs>
          <w:tab w:leader="none" w:pos="520" w:val="left"/>
        </w:tabs>
        <w:numPr>
          <w:ilvl w:val="0"/>
          <w:numId w:val="52"/>
        </w:numPr>
        <w:rPr>
          <w:rFonts w:ascii="Arial" w:cs="Arial" w:eastAsia="Arial" w:hAnsi="Arial"/>
          <w:sz w:val="23"/>
          <w:szCs w:val="23"/>
          <w:color w:val="auto"/>
          <w:vertAlign w:val="superscript"/>
        </w:rPr>
      </w:pPr>
      <w:r>
        <w:rPr>
          <w:rFonts w:ascii="Arial" w:cs="Arial" w:eastAsia="Arial" w:hAnsi="Arial"/>
          <w:sz w:val="14"/>
          <w:szCs w:val="14"/>
          <w:color w:val="auto"/>
        </w:rPr>
        <w:t>International equities are invested in companies that are traded on exchanges outside the US and are well-diversified by industry sector, country and equity style. Active and passive strategies are employed. The vast majority of the investments are made in companies in developed markets, with a small percentage in emerging markets.</w:t>
      </w:r>
    </w:p>
    <w:p>
      <w:pPr>
        <w:ind w:left="520" w:hanging="516"/>
        <w:spacing w:after="0" w:line="230" w:lineRule="auto"/>
        <w:tabs>
          <w:tab w:leader="none" w:pos="52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Corporate bonds consist primarily of investment grade bonds from diversified industries.</w:t>
      </w:r>
    </w:p>
    <w:p>
      <w:pPr>
        <w:spacing w:after="0" w:line="115" w:lineRule="exact"/>
        <w:rPr>
          <w:rFonts w:ascii="Arial" w:cs="Arial" w:eastAsia="Arial" w:hAnsi="Arial"/>
          <w:sz w:val="27"/>
          <w:szCs w:val="27"/>
          <w:color w:val="auto"/>
          <w:vertAlign w:val="superscript"/>
        </w:rPr>
      </w:pPr>
    </w:p>
    <w:p>
      <w:pPr>
        <w:ind w:left="520" w:hanging="516"/>
        <w:spacing w:after="0" w:line="183" w:lineRule="auto"/>
        <w:tabs>
          <w:tab w:leader="none" w:pos="520" w:val="left"/>
        </w:tabs>
        <w:numPr>
          <w:ilvl w:val="0"/>
          <w:numId w:val="52"/>
        </w:numPr>
        <w:rPr>
          <w:rFonts w:ascii="Arial" w:cs="Arial" w:eastAsia="Arial" w:hAnsi="Arial"/>
          <w:sz w:val="21"/>
          <w:szCs w:val="21"/>
          <w:color w:val="auto"/>
          <w:vertAlign w:val="superscript"/>
        </w:rPr>
      </w:pPr>
      <w:r>
        <w:rPr>
          <w:rFonts w:ascii="Arial" w:cs="Arial" w:eastAsia="Arial" w:hAnsi="Arial"/>
          <w:sz w:val="13"/>
          <w:szCs w:val="13"/>
          <w:color w:val="auto"/>
        </w:rPr>
        <w:t>Government and government-related debt securities are comprised primarily of inflation-protected US treasuries and, to a lesser extent, other government-related securities.</w:t>
      </w:r>
    </w:p>
    <w:p>
      <w:pPr>
        <w:spacing w:after="0" w:line="114" w:lineRule="exact"/>
        <w:rPr>
          <w:rFonts w:ascii="Arial" w:cs="Arial" w:eastAsia="Arial" w:hAnsi="Arial"/>
          <w:sz w:val="21"/>
          <w:szCs w:val="21"/>
          <w:color w:val="auto"/>
          <w:vertAlign w:val="superscript"/>
        </w:rPr>
      </w:pPr>
    </w:p>
    <w:p>
      <w:pPr>
        <w:ind w:left="520" w:right="40" w:hanging="516"/>
        <w:spacing w:after="0" w:line="214" w:lineRule="auto"/>
        <w:tabs>
          <w:tab w:leader="none" w:pos="520" w:val="left"/>
        </w:tabs>
        <w:numPr>
          <w:ilvl w:val="0"/>
          <w:numId w:val="52"/>
        </w:numPr>
        <w:rPr>
          <w:rFonts w:ascii="Arial" w:cs="Arial" w:eastAsia="Arial" w:hAnsi="Arial"/>
          <w:sz w:val="23"/>
          <w:szCs w:val="23"/>
          <w:color w:val="auto"/>
          <w:vertAlign w:val="superscript"/>
        </w:rPr>
      </w:pPr>
      <w:r>
        <w:rPr>
          <w:rFonts w:ascii="Arial" w:cs="Arial" w:eastAsia="Arial" w:hAnsi="Arial"/>
          <w:sz w:val="14"/>
          <w:szCs w:val="14"/>
          <w:color w:val="auto"/>
        </w:rPr>
        <w:t>Collateralized mortgage obligations and mortgage backed-securities are debt obligations that represent claims to the cash flows from pools of mortgage loans, which are purchased from banks, mortgage companies, and other originators and then assembled into pools by governmental, quasi-governmental and private entities.</w:t>
      </w:r>
    </w:p>
    <w:p>
      <w:pPr>
        <w:ind w:left="520" w:hanging="516"/>
        <w:spacing w:after="0" w:line="230" w:lineRule="auto"/>
        <w:tabs>
          <w:tab w:leader="none" w:pos="52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Private equity includes investments in several funds of funds.</w:t>
      </w:r>
    </w:p>
    <w:p>
      <w:pPr>
        <w:spacing w:after="0" w:line="115" w:lineRule="exact"/>
        <w:rPr>
          <w:rFonts w:ascii="Arial" w:cs="Arial" w:eastAsia="Arial" w:hAnsi="Arial"/>
          <w:sz w:val="27"/>
          <w:szCs w:val="27"/>
          <w:color w:val="auto"/>
          <w:vertAlign w:val="superscript"/>
        </w:rPr>
      </w:pPr>
    </w:p>
    <w:p>
      <w:pPr>
        <w:ind w:left="520" w:hanging="516"/>
        <w:spacing w:after="0" w:line="183" w:lineRule="auto"/>
        <w:tabs>
          <w:tab w:leader="none" w:pos="520" w:val="left"/>
        </w:tabs>
        <w:numPr>
          <w:ilvl w:val="0"/>
          <w:numId w:val="52"/>
        </w:numPr>
        <w:rPr>
          <w:rFonts w:ascii="Arial" w:cs="Arial" w:eastAsia="Arial" w:hAnsi="Arial"/>
          <w:sz w:val="21"/>
          <w:szCs w:val="21"/>
          <w:color w:val="auto"/>
          <w:vertAlign w:val="superscript"/>
        </w:rPr>
      </w:pPr>
      <w:r>
        <w:rPr>
          <w:rFonts w:ascii="Arial" w:cs="Arial" w:eastAsia="Arial" w:hAnsi="Arial"/>
          <w:sz w:val="13"/>
          <w:szCs w:val="13"/>
          <w:color w:val="auto"/>
        </w:rPr>
        <w:t>Real estate primarily includes investments in real estate limited partnerships, concentrated in commercial real estate.</w:t>
      </w:r>
    </w:p>
    <w:p>
      <w:pPr>
        <w:spacing w:after="0" w:line="202"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Schlumberger’s funding policy is to annually contribute amounts that are based upon a number of factors including the actuarial accrued liability, amounts that are deductible for income tax purposes, legal funding requirements and available cash flow. Schlumberger expects to contribute approximately $125 million to its postretirement benefit plans in 2018, subject to market and business conditions.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Postretirement Benefits Other Than Pensions</w:t>
      </w:r>
    </w:p>
    <w:p>
      <w:pPr>
        <w:spacing w:after="0" w:line="116"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Schlumberger provides certain healthcare benefits to certain former US employees who have retired. Effective April 1, 2015, Schlumberger changed the way it provides healthcare coverage to certain retirees who are age 65 and over. Under the amended plan, these retirees transferred to individual coverage under the Medicare Exchange. Schlumberger subsidizes the cost of the program by providing these retirees with a Health Reimbursement Account. The annual subsidy may be increased based on medical cost inflation, but it will not be increased by more than 5% in any given year.</w:t>
      </w:r>
    </w:p>
    <w:p>
      <w:pPr>
        <w:spacing w:after="0" w:line="176"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The actuarial assumptions used to determine the accumulated postretirement benefit obligation and net periodic benefit cost for the US postretirement medical plan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60" w:type="dxa"/>
            <w:vAlign w:val="bottom"/>
          </w:tcPr>
          <w:p>
            <w:pPr>
              <w:spacing w:after="0"/>
              <w:rPr>
                <w:sz w:val="19"/>
                <w:szCs w:val="19"/>
                <w:color w:val="auto"/>
              </w:rPr>
            </w:pPr>
          </w:p>
        </w:tc>
        <w:tc>
          <w:tcPr>
            <w:tcW w:w="2760" w:type="dxa"/>
            <w:vAlign w:val="bottom"/>
            <w:gridSpan w:val="7"/>
          </w:tcPr>
          <w:p>
            <w:pPr>
              <w:ind w:left="460"/>
              <w:spacing w:after="0"/>
              <w:rPr>
                <w:sz w:val="20"/>
                <w:szCs w:val="20"/>
                <w:color w:val="auto"/>
              </w:rPr>
            </w:pPr>
            <w:r>
              <w:rPr>
                <w:rFonts w:ascii="Arial" w:cs="Arial" w:eastAsia="Arial" w:hAnsi="Arial"/>
                <w:sz w:val="17"/>
                <w:szCs w:val="17"/>
                <w:color w:val="auto"/>
              </w:rPr>
              <w:t>Benefit Obligations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6"/>
          </w:tcPr>
          <w:p>
            <w:pPr>
              <w:jc w:val="right"/>
              <w:ind w:right="40"/>
              <w:spacing w:after="0"/>
              <w:rPr>
                <w:sz w:val="20"/>
                <w:szCs w:val="20"/>
                <w:color w:val="auto"/>
              </w:rPr>
            </w:pPr>
            <w:r>
              <w:rPr>
                <w:rFonts w:ascii="Arial" w:cs="Arial" w:eastAsia="Arial" w:hAnsi="Arial"/>
                <w:sz w:val="17"/>
                <w:szCs w:val="17"/>
                <w:color w:val="auto"/>
                <w:w w:val="98"/>
              </w:rPr>
              <w:t>Net Periodic Benefit</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tcPr>
          <w:p>
            <w:pPr>
              <w:spacing w:after="0"/>
              <w:rPr>
                <w:sz w:val="19"/>
                <w:szCs w:val="19"/>
                <w:color w:val="auto"/>
              </w:rPr>
            </w:pPr>
          </w:p>
        </w:tc>
        <w:tc>
          <w:tcPr>
            <w:tcW w:w="2760" w:type="dxa"/>
            <w:vAlign w:val="bottom"/>
            <w:gridSpan w:val="7"/>
          </w:tcPr>
          <w:p>
            <w:pPr>
              <w:jc w:val="right"/>
              <w:ind w:right="1020"/>
              <w:spacing w:after="0"/>
              <w:rPr>
                <w:sz w:val="20"/>
                <w:szCs w:val="20"/>
                <w:color w:val="auto"/>
              </w:rPr>
            </w:pPr>
            <w:r>
              <w:rPr>
                <w:rFonts w:ascii="Arial" w:cs="Arial" w:eastAsia="Arial" w:hAnsi="Arial"/>
                <w:sz w:val="17"/>
                <w:szCs w:val="17"/>
                <w:color w:val="auto"/>
              </w:rPr>
              <w:t>At December 31,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5"/>
          </w:tcPr>
          <w:p>
            <w:pPr>
              <w:jc w:val="right"/>
              <w:ind w:right="160"/>
              <w:spacing w:after="0"/>
              <w:rPr>
                <w:sz w:val="20"/>
                <w:szCs w:val="20"/>
                <w:color w:val="auto"/>
              </w:rPr>
            </w:pPr>
            <w:r>
              <w:rPr>
                <w:rFonts w:ascii="Arial" w:cs="Arial" w:eastAsia="Arial" w:hAnsi="Arial"/>
                <w:sz w:val="17"/>
                <w:szCs w:val="17"/>
                <w:color w:val="auto"/>
                <w:w w:val="91"/>
              </w:rPr>
              <w:t>Cost for the Year</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6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2017</w:t>
            </w:r>
          </w:p>
        </w:tc>
        <w:tc>
          <w:tcPr>
            <w:tcW w:w="320" w:type="dxa"/>
            <w:vAlign w:val="bottom"/>
            <w:tcBorders>
              <w:top w:val="single" w:sz="8" w:color="auto"/>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61"/>
              <w:spacing w:after="0"/>
              <w:rPr>
                <w:sz w:val="20"/>
                <w:szCs w:val="20"/>
                <w:color w:val="auto"/>
              </w:rPr>
            </w:pPr>
            <w:r>
              <w:rPr>
                <w:rFonts w:ascii="Arial" w:cs="Arial" w:eastAsia="Arial" w:hAnsi="Arial"/>
                <w:sz w:val="17"/>
                <w:szCs w:val="17"/>
                <w:color w:val="auto"/>
              </w:rPr>
              <w:t>2016</w:t>
            </w:r>
          </w:p>
        </w:tc>
        <w:tc>
          <w:tcPr>
            <w:tcW w:w="1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2017</w:t>
            </w:r>
          </w:p>
        </w:tc>
        <w:tc>
          <w:tcPr>
            <w:tcW w:w="3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2016</w:t>
            </w:r>
          </w:p>
        </w:tc>
        <w:tc>
          <w:tcPr>
            <w:tcW w:w="2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FF0FC"/>
            </w:tcBorders>
          </w:tcPr>
          <w:p>
            <w:pPr>
              <w:spacing w:after="0"/>
              <w:rPr>
                <w:sz w:val="18"/>
                <w:szCs w:val="18"/>
                <w:color w:val="auto"/>
              </w:rPr>
            </w:pPr>
          </w:p>
        </w:tc>
        <w:tc>
          <w:tcPr>
            <w:tcW w:w="60" w:type="dxa"/>
            <w:vAlign w:val="bottom"/>
            <w:tcBorders>
              <w:top w:val="single" w:sz="8" w:color="auto"/>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color w:val="auto"/>
              </w:rPr>
              <w:t>2015</w:t>
            </w: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Discount rate</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3.70%</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4.20%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7"/>
                <w:szCs w:val="17"/>
                <w:b w:val="1"/>
                <w:bCs w:val="1"/>
                <w:color w:val="auto"/>
              </w:rPr>
              <w:t>4.20%</w:t>
            </w:r>
          </w:p>
        </w:tc>
        <w:tc>
          <w:tcPr>
            <w:tcW w:w="1360" w:type="dxa"/>
            <w:vAlign w:val="bottom"/>
            <w:gridSpan w:val="5"/>
            <w:shd w:val="clear" w:color="auto" w:fill="CFF0FC"/>
          </w:tcPr>
          <w:p>
            <w:pPr>
              <w:jc w:val="right"/>
              <w:ind w:right="80"/>
              <w:spacing w:after="0"/>
              <w:rPr>
                <w:sz w:val="20"/>
                <w:szCs w:val="20"/>
                <w:color w:val="auto"/>
              </w:rPr>
            </w:pPr>
            <w:r>
              <w:rPr>
                <w:rFonts w:ascii="Arial" w:cs="Arial" w:eastAsia="Arial" w:hAnsi="Arial"/>
                <w:sz w:val="17"/>
                <w:szCs w:val="17"/>
                <w:color w:val="auto"/>
              </w:rPr>
              <w:t>4.50%</w:t>
            </w:r>
          </w:p>
        </w:tc>
        <w:tc>
          <w:tcPr>
            <w:tcW w:w="122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tcPr>
          <w:p>
            <w:pPr>
              <w:spacing w:after="0"/>
              <w:rPr>
                <w:sz w:val="20"/>
                <w:szCs w:val="20"/>
                <w:color w:val="auto"/>
              </w:rPr>
            </w:pPr>
            <w:r>
              <w:rPr>
                <w:rFonts w:ascii="Arial" w:cs="Arial" w:eastAsia="Arial" w:hAnsi="Arial"/>
                <w:sz w:val="17"/>
                <w:szCs w:val="17"/>
                <w:color w:val="auto"/>
              </w:rPr>
              <w:t>Return on plan assets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b w:val="1"/>
                <w:bCs w:val="1"/>
                <w:color w:val="auto"/>
              </w:rPr>
              <w:t>7.00%</w:t>
            </w:r>
          </w:p>
        </w:tc>
        <w:tc>
          <w:tcPr>
            <w:tcW w:w="1360" w:type="dxa"/>
            <w:vAlign w:val="bottom"/>
            <w:gridSpan w:val="5"/>
          </w:tcPr>
          <w:p>
            <w:pPr>
              <w:jc w:val="right"/>
              <w:ind w:right="80"/>
              <w:spacing w:after="0"/>
              <w:rPr>
                <w:sz w:val="20"/>
                <w:szCs w:val="20"/>
                <w:color w:val="auto"/>
              </w:rPr>
            </w:pPr>
            <w:r>
              <w:rPr>
                <w:rFonts w:ascii="Arial" w:cs="Arial" w:eastAsia="Arial" w:hAnsi="Arial"/>
                <w:sz w:val="17"/>
                <w:szCs w:val="17"/>
                <w:color w:val="auto"/>
              </w:rPr>
              <w:t>7.00%</w:t>
            </w:r>
          </w:p>
        </w:tc>
        <w:tc>
          <w:tcPr>
            <w:tcW w:w="1220" w:type="dxa"/>
            <w:vAlign w:val="bottom"/>
            <w:gridSpan w:val="4"/>
          </w:tcPr>
          <w:p>
            <w:pPr>
              <w:jc w:val="right"/>
              <w:ind w:right="20"/>
              <w:spacing w:after="0"/>
              <w:rPr>
                <w:sz w:val="20"/>
                <w:szCs w:val="20"/>
                <w:color w:val="auto"/>
              </w:rPr>
            </w:pPr>
            <w:r>
              <w:rPr>
                <w:rFonts w:ascii="Arial" w:cs="Arial" w:eastAsia="Arial" w:hAnsi="Arial"/>
                <w:sz w:val="17"/>
                <w:szCs w:val="17"/>
                <w:color w:val="auto"/>
              </w:rPr>
              <w:t>7.00%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Current medical cost trend rate</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7.25%</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7.25%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7"/>
                <w:szCs w:val="17"/>
                <w:b w:val="1"/>
                <w:bCs w:val="1"/>
                <w:color w:val="auto"/>
              </w:rPr>
              <w:t>7.25%</w:t>
            </w:r>
          </w:p>
        </w:tc>
        <w:tc>
          <w:tcPr>
            <w:tcW w:w="1360" w:type="dxa"/>
            <w:vAlign w:val="bottom"/>
            <w:gridSpan w:val="5"/>
            <w:shd w:val="clear" w:color="auto" w:fill="CFF0FC"/>
          </w:tcPr>
          <w:p>
            <w:pPr>
              <w:jc w:val="right"/>
              <w:ind w:right="80"/>
              <w:spacing w:after="0"/>
              <w:rPr>
                <w:sz w:val="20"/>
                <w:szCs w:val="20"/>
                <w:color w:val="auto"/>
              </w:rPr>
            </w:pPr>
            <w:r>
              <w:rPr>
                <w:rFonts w:ascii="Arial" w:cs="Arial" w:eastAsia="Arial" w:hAnsi="Arial"/>
                <w:sz w:val="17"/>
                <w:szCs w:val="17"/>
                <w:color w:val="auto"/>
              </w:rPr>
              <w:t>7.50%</w:t>
            </w:r>
          </w:p>
        </w:tc>
        <w:tc>
          <w:tcPr>
            <w:tcW w:w="122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7.00%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tcPr>
          <w:p>
            <w:pPr>
              <w:spacing w:after="0"/>
              <w:rPr>
                <w:sz w:val="20"/>
                <w:szCs w:val="20"/>
                <w:color w:val="auto"/>
              </w:rPr>
            </w:pPr>
            <w:r>
              <w:rPr>
                <w:rFonts w:ascii="Arial" w:cs="Arial" w:eastAsia="Arial" w:hAnsi="Arial"/>
                <w:sz w:val="17"/>
                <w:szCs w:val="17"/>
                <w:color w:val="auto"/>
              </w:rPr>
              <w:t>Ultimate medical cost trend rate</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5.00%</w:t>
            </w:r>
          </w:p>
        </w:tc>
        <w:tc>
          <w:tcPr>
            <w:tcW w:w="1160" w:type="dxa"/>
            <w:vAlign w:val="bottom"/>
            <w:gridSpan w:val="3"/>
          </w:tcPr>
          <w:p>
            <w:pPr>
              <w:jc w:val="right"/>
              <w:ind w:right="20"/>
              <w:spacing w:after="0"/>
              <w:rPr>
                <w:sz w:val="20"/>
                <w:szCs w:val="20"/>
                <w:color w:val="auto"/>
              </w:rPr>
            </w:pPr>
            <w:r>
              <w:rPr>
                <w:rFonts w:ascii="Arial" w:cs="Arial" w:eastAsia="Arial" w:hAnsi="Arial"/>
                <w:sz w:val="17"/>
                <w:szCs w:val="17"/>
                <w:color w:val="auto"/>
              </w:rPr>
              <w:t>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b w:val="1"/>
                <w:bCs w:val="1"/>
                <w:color w:val="auto"/>
              </w:rPr>
              <w:t>5.00%</w:t>
            </w:r>
          </w:p>
        </w:tc>
        <w:tc>
          <w:tcPr>
            <w:tcW w:w="1360" w:type="dxa"/>
            <w:vAlign w:val="bottom"/>
            <w:gridSpan w:val="5"/>
          </w:tcPr>
          <w:p>
            <w:pPr>
              <w:jc w:val="right"/>
              <w:ind w:right="80"/>
              <w:spacing w:after="0"/>
              <w:rPr>
                <w:sz w:val="20"/>
                <w:szCs w:val="20"/>
                <w:color w:val="auto"/>
              </w:rPr>
            </w:pPr>
            <w:r>
              <w:rPr>
                <w:rFonts w:ascii="Arial" w:cs="Arial" w:eastAsia="Arial" w:hAnsi="Arial"/>
                <w:sz w:val="17"/>
                <w:szCs w:val="17"/>
                <w:color w:val="auto"/>
              </w:rPr>
              <w:t>5.00%</w:t>
            </w:r>
          </w:p>
        </w:tc>
        <w:tc>
          <w:tcPr>
            <w:tcW w:w="1220" w:type="dxa"/>
            <w:vAlign w:val="bottom"/>
            <w:gridSpan w:val="4"/>
          </w:tcPr>
          <w:p>
            <w:pPr>
              <w:jc w:val="right"/>
              <w:ind w:right="20"/>
              <w:spacing w:after="0"/>
              <w:rPr>
                <w:sz w:val="20"/>
                <w:szCs w:val="20"/>
                <w:color w:val="auto"/>
              </w:rPr>
            </w:pPr>
            <w:r>
              <w:rPr>
                <w:rFonts w:ascii="Arial" w:cs="Arial" w:eastAsia="Arial" w:hAnsi="Arial"/>
                <w:sz w:val="17"/>
                <w:szCs w:val="17"/>
                <w:color w:val="auto"/>
              </w:rPr>
              <w:t>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Year that the rate reaches the ultimate trend rate</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2026</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2026</w:t>
            </w: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2026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2023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7820" w:type="dxa"/>
            <w:vAlign w:val="bottom"/>
            <w:gridSpan w:val="8"/>
          </w:tcPr>
          <w:p>
            <w:pPr>
              <w:spacing w:after="0"/>
              <w:rPr>
                <w:sz w:val="20"/>
                <w:szCs w:val="20"/>
                <w:color w:val="auto"/>
              </w:rPr>
            </w:pPr>
            <w:r>
              <w:rPr>
                <w:rFonts w:ascii="Arial" w:cs="Arial" w:eastAsia="Arial" w:hAnsi="Arial"/>
                <w:sz w:val="17"/>
                <w:szCs w:val="17"/>
                <w:color w:val="auto"/>
                <w:w w:val="93"/>
              </w:rPr>
              <w:t>The net periodic benefit cost (credit) for the US postretirement medical plan included the following components: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3"/>
              </w:rPr>
              <w:t>(Stated in millions)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06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2017</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433"/>
              <w:spacing w:after="0"/>
              <w:rPr>
                <w:sz w:val="20"/>
                <w:szCs w:val="20"/>
                <w:color w:val="auto"/>
              </w:rPr>
            </w:pPr>
            <w:r>
              <w:rPr>
                <w:rFonts w:ascii="Arial" w:cs="Arial" w:eastAsia="Arial" w:hAnsi="Arial"/>
                <w:sz w:val="17"/>
                <w:szCs w:val="17"/>
                <w:color w:val="auto"/>
                <w:w w:val="84"/>
              </w:rPr>
              <w:t>2016</w:t>
            </w:r>
          </w:p>
        </w:tc>
        <w:tc>
          <w:tcPr>
            <w:tcW w:w="26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7"/>
                <w:szCs w:val="17"/>
                <w:color w:val="auto"/>
              </w:rPr>
              <w:t>2015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Service cost</w:t>
            </w: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1"/>
              <w:spacing w:after="0"/>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29</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2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tcPr>
          <w:p>
            <w:pPr>
              <w:spacing w:after="0"/>
              <w:rPr>
                <w:sz w:val="20"/>
                <w:szCs w:val="20"/>
                <w:color w:val="auto"/>
              </w:rPr>
            </w:pPr>
            <w:r>
              <w:rPr>
                <w:rFonts w:ascii="Arial" w:cs="Arial" w:eastAsia="Arial" w:hAnsi="Arial"/>
                <w:sz w:val="17"/>
                <w:szCs w:val="17"/>
                <w:color w:val="auto"/>
              </w:rPr>
              <w:t>Interest cost</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46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Expected return on plan assets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w w:val="92"/>
              </w:rPr>
              <w:t>(60)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(57)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40"/>
              <w:spacing w:after="0"/>
              <w:rPr>
                <w:sz w:val="20"/>
                <w:szCs w:val="20"/>
                <w:color w:val="auto"/>
              </w:rPr>
            </w:pPr>
            <w:r>
              <w:rPr>
                <w:rFonts w:ascii="Arial" w:cs="Arial" w:eastAsia="Arial" w:hAnsi="Arial"/>
                <w:sz w:val="17"/>
                <w:szCs w:val="17"/>
                <w:color w:val="auto"/>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tcPr>
          <w:p>
            <w:pPr>
              <w:spacing w:after="0"/>
              <w:rPr>
                <w:sz w:val="20"/>
                <w:szCs w:val="20"/>
                <w:color w:val="auto"/>
              </w:rPr>
            </w:pPr>
            <w:r>
              <w:rPr>
                <w:rFonts w:ascii="Arial" w:cs="Arial" w:eastAsia="Arial" w:hAnsi="Arial"/>
                <w:sz w:val="17"/>
                <w:szCs w:val="17"/>
                <w:color w:val="auto"/>
              </w:rPr>
              <w:t>Amortization of prior service credit</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2"/>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Amortization of net loss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501"/>
              <w:spacing w:after="0"/>
              <w:rPr>
                <w:sz w:val="20"/>
                <w:szCs w:val="20"/>
                <w:color w:val="auto"/>
              </w:rPr>
            </w:pPr>
            <w:r>
              <w:rPr>
                <w:rFonts w:ascii="Arial" w:cs="Arial" w:eastAsia="Arial" w:hAnsi="Arial"/>
                <w:sz w:val="15"/>
                <w:szCs w:val="15"/>
                <w:b w:val="1"/>
                <w:bCs w:val="1"/>
                <w:color w:val="auto"/>
                <w:w w:val="71"/>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w w:val="79"/>
              </w:rPr>
              <w:t>(14)</w:t>
            </w:r>
          </w:p>
        </w:tc>
        <w:tc>
          <w:tcPr>
            <w:tcW w:w="1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7"/>
                <w:szCs w:val="17"/>
                <w:color w:val="auto"/>
              </w:rPr>
              <w:t>(12)</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20"/>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0" w:type="dxa"/>
            <w:vAlign w:val="bottom"/>
            <w:vMerge w:val="restart"/>
          </w:tcPr>
          <w:p>
            <w:pPr>
              <w:jc w:val="right"/>
              <w:ind w:right="173"/>
              <w:spacing w:after="0"/>
              <w:rPr>
                <w:sz w:val="20"/>
                <w:szCs w:val="20"/>
                <w:color w:val="auto"/>
              </w:rPr>
            </w:pPr>
            <w:r>
              <w:rPr>
                <w:rFonts w:ascii="Arial" w:cs="Arial" w:eastAsia="Arial" w:hAnsi="Arial"/>
                <w:sz w:val="17"/>
                <w:szCs w:val="17"/>
                <w:color w:val="auto"/>
              </w:rPr>
              <w:t>61</w:t>
            </w: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50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0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30" w:right="19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The changes in the accumulated postretirement benefit obligation, plan assets and funded status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15"/>
        </w:trPr>
        <w:tc>
          <w:tcPr>
            <w:tcW w:w="6240" w:type="dxa"/>
            <w:vAlign w:val="bottom"/>
          </w:tcPr>
          <w:p>
            <w:pPr>
              <w:spacing w:after="0"/>
              <w:rPr>
                <w:sz w:val="24"/>
                <w:szCs w:val="24"/>
                <w:color w:val="auto"/>
              </w:rPr>
            </w:pPr>
          </w:p>
        </w:tc>
        <w:tc>
          <w:tcPr>
            <w:tcW w:w="2660" w:type="dxa"/>
            <w:vAlign w:val="bottom"/>
            <w:gridSpan w:val="2"/>
          </w:tcPr>
          <w:p>
            <w:pPr>
              <w:jc w:val="right"/>
              <w:ind w:right="13"/>
              <w:spacing w:after="0"/>
              <w:rPr>
                <w:sz w:val="20"/>
                <w:szCs w:val="20"/>
                <w:color w:val="auto"/>
              </w:rPr>
            </w:pPr>
            <w:r>
              <w:rPr>
                <w:rFonts w:ascii="Arial" w:cs="Arial" w:eastAsia="Arial" w:hAnsi="Arial"/>
                <w:sz w:val="17"/>
                <w:szCs w:val="17"/>
                <w:b w:val="1"/>
                <w:bCs w:val="1"/>
                <w:color w:val="auto"/>
              </w:rPr>
              <w:t>2017</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554"/>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i w:val="1"/>
                <w:iCs w:val="1"/>
                <w:color w:val="auto"/>
              </w:rPr>
              <w:t>Change in Projected Benefit Obligations</w:t>
            </w:r>
          </w:p>
        </w:tc>
        <w:tc>
          <w:tcPr>
            <w:tcW w:w="15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40" w:type="dxa"/>
            <w:vAlign w:val="bottom"/>
          </w:tcPr>
          <w:p>
            <w:pPr>
              <w:spacing w:after="0"/>
              <w:rPr>
                <w:sz w:val="20"/>
                <w:szCs w:val="20"/>
                <w:color w:val="auto"/>
              </w:rPr>
            </w:pPr>
            <w:r>
              <w:rPr>
                <w:rFonts w:ascii="Arial" w:cs="Arial" w:eastAsia="Arial" w:hAnsi="Arial"/>
                <w:sz w:val="17"/>
                <w:szCs w:val="17"/>
                <w:color w:val="auto"/>
              </w:rPr>
              <w:t>Benefit obligation at beginning of year</w:t>
            </w:r>
          </w:p>
        </w:tc>
        <w:tc>
          <w:tcPr>
            <w:tcW w:w="2660" w:type="dxa"/>
            <w:vAlign w:val="bottom"/>
            <w:gridSpan w:val="2"/>
          </w:tcPr>
          <w:p>
            <w:pPr>
              <w:jc w:val="right"/>
              <w:ind w:right="893"/>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1,108</w:t>
            </w:r>
          </w:p>
        </w:tc>
        <w:tc>
          <w:tcPr>
            <w:tcW w:w="2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Service cost</w:t>
            </w:r>
          </w:p>
        </w:tc>
        <w:tc>
          <w:tcPr>
            <w:tcW w:w="1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40" w:type="dxa"/>
            <w:vAlign w:val="bottom"/>
          </w:tcPr>
          <w:p>
            <w:pPr>
              <w:spacing w:after="0"/>
              <w:rPr>
                <w:sz w:val="20"/>
                <w:szCs w:val="20"/>
                <w:color w:val="auto"/>
              </w:rPr>
            </w:pPr>
            <w:r>
              <w:rPr>
                <w:rFonts w:ascii="Arial" w:cs="Arial" w:eastAsia="Arial" w:hAnsi="Arial"/>
                <w:sz w:val="17"/>
                <w:szCs w:val="17"/>
                <w:color w:val="auto"/>
              </w:rPr>
              <w:t>Interest cost</w:t>
            </w: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46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Contribution by plan participants</w:t>
            </w:r>
          </w:p>
        </w:tc>
        <w:tc>
          <w:tcPr>
            <w:tcW w:w="1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40" w:type="dxa"/>
            <w:vAlign w:val="bottom"/>
          </w:tcPr>
          <w:p>
            <w:pPr>
              <w:spacing w:after="0"/>
              <w:rPr>
                <w:sz w:val="20"/>
                <w:szCs w:val="20"/>
                <w:color w:val="auto"/>
              </w:rPr>
            </w:pPr>
            <w:r>
              <w:rPr>
                <w:rFonts w:ascii="Arial" w:cs="Arial" w:eastAsia="Arial" w:hAnsi="Arial"/>
                <w:sz w:val="17"/>
                <w:szCs w:val="17"/>
                <w:color w:val="auto"/>
              </w:rPr>
              <w:t>Actuarial gains</w:t>
            </w: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71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1"/>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Benefits paid</w:t>
            </w:r>
          </w:p>
        </w:tc>
        <w:tc>
          <w:tcPr>
            <w:tcW w:w="1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(49)</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4"/>
        </w:trPr>
        <w:tc>
          <w:tcPr>
            <w:tcW w:w="62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Benefit obligation at end of year</w:t>
            </w:r>
          </w:p>
        </w:tc>
        <w:tc>
          <w:tcPr>
            <w:tcW w:w="1580" w:type="dxa"/>
            <w:vAlign w:val="bottom"/>
            <w:tcBorders>
              <w:bottom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1,213</w:t>
            </w:r>
          </w:p>
        </w:tc>
        <w:tc>
          <w:tcPr>
            <w:tcW w:w="2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40" w:type="dxa"/>
            <w:vAlign w:val="bottom"/>
            <w:shd w:val="clear" w:color="auto" w:fill="CFF0FC"/>
          </w:tcPr>
          <w:p>
            <w:pPr>
              <w:spacing w:after="0"/>
              <w:rPr>
                <w:sz w:val="20"/>
                <w:szCs w:val="20"/>
                <w:color w:val="auto"/>
              </w:rPr>
            </w:pPr>
            <w:r>
              <w:rPr>
                <w:rFonts w:ascii="Arial" w:cs="Arial" w:eastAsia="Arial" w:hAnsi="Arial"/>
                <w:sz w:val="17"/>
                <w:szCs w:val="17"/>
                <w:b w:val="1"/>
                <w:bCs w:val="1"/>
                <w:i w:val="1"/>
                <w:iCs w:val="1"/>
                <w:color w:val="auto"/>
              </w:rPr>
              <w:t>Change in Plan Assets</w:t>
            </w:r>
          </w:p>
        </w:tc>
        <w:tc>
          <w:tcPr>
            <w:tcW w:w="1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40" w:type="dxa"/>
            <w:vAlign w:val="bottom"/>
          </w:tcPr>
          <w:p>
            <w:pPr>
              <w:spacing w:after="0"/>
              <w:rPr>
                <w:sz w:val="20"/>
                <w:szCs w:val="20"/>
                <w:color w:val="auto"/>
              </w:rPr>
            </w:pPr>
            <w:r>
              <w:rPr>
                <w:rFonts w:ascii="Arial" w:cs="Arial" w:eastAsia="Arial" w:hAnsi="Arial"/>
                <w:sz w:val="17"/>
                <w:szCs w:val="17"/>
                <w:color w:val="auto"/>
              </w:rPr>
              <w:t>Plan assets at fair value at beginning of year</w:t>
            </w:r>
          </w:p>
        </w:tc>
        <w:tc>
          <w:tcPr>
            <w:tcW w:w="2660" w:type="dxa"/>
            <w:vAlign w:val="bottom"/>
            <w:gridSpan w:val="2"/>
          </w:tcPr>
          <w:p>
            <w:pPr>
              <w:jc w:val="right"/>
              <w:ind w:right="893"/>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952</w:t>
            </w:r>
          </w:p>
        </w:tc>
        <w:tc>
          <w:tcPr>
            <w:tcW w:w="2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Actual return on plan assets</w:t>
            </w:r>
          </w:p>
        </w:tc>
        <w:tc>
          <w:tcPr>
            <w:tcW w:w="1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40" w:type="dxa"/>
            <w:vAlign w:val="bottom"/>
          </w:tcPr>
          <w:p>
            <w:pPr>
              <w:spacing w:after="0"/>
              <w:rPr>
                <w:sz w:val="20"/>
                <w:szCs w:val="20"/>
                <w:color w:val="auto"/>
              </w:rPr>
            </w:pPr>
            <w:r>
              <w:rPr>
                <w:rFonts w:ascii="Arial" w:cs="Arial" w:eastAsia="Arial" w:hAnsi="Arial"/>
                <w:sz w:val="17"/>
                <w:szCs w:val="17"/>
                <w:color w:val="auto"/>
              </w:rPr>
              <w:t>Company contributions</w:t>
            </w: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40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Contributions by plan participants</w:t>
            </w:r>
          </w:p>
        </w:tc>
        <w:tc>
          <w:tcPr>
            <w:tcW w:w="1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40" w:type="dxa"/>
            <w:vAlign w:val="bottom"/>
          </w:tcPr>
          <w:p>
            <w:pPr>
              <w:spacing w:after="0"/>
              <w:rPr>
                <w:sz w:val="20"/>
                <w:szCs w:val="20"/>
                <w:color w:val="auto"/>
              </w:rPr>
            </w:pPr>
            <w:r>
              <w:rPr>
                <w:rFonts w:ascii="Arial" w:cs="Arial" w:eastAsia="Arial" w:hAnsi="Arial"/>
                <w:sz w:val="17"/>
                <w:szCs w:val="17"/>
                <w:color w:val="auto"/>
              </w:rPr>
              <w:t>Benefits paid</w:t>
            </w: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(49)</w:t>
            </w:r>
          </w:p>
        </w:tc>
        <w:tc>
          <w:tcPr>
            <w:tcW w:w="3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4"/>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Plan assets at fair value at end of year</w:t>
            </w:r>
          </w:p>
        </w:tc>
        <w:tc>
          <w:tcPr>
            <w:tcW w:w="15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1,094</w:t>
            </w: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40" w:type="dxa"/>
            <w:vAlign w:val="bottom"/>
          </w:tcPr>
          <w:p>
            <w:pPr>
              <w:spacing w:after="0"/>
              <w:rPr>
                <w:sz w:val="20"/>
                <w:szCs w:val="20"/>
                <w:color w:val="auto"/>
              </w:rPr>
            </w:pPr>
            <w:r>
              <w:rPr>
                <w:rFonts w:ascii="Arial" w:cs="Arial" w:eastAsia="Arial" w:hAnsi="Arial"/>
                <w:sz w:val="17"/>
                <w:szCs w:val="17"/>
                <w:b w:val="1"/>
                <w:bCs w:val="1"/>
                <w:i w:val="1"/>
                <w:iCs w:val="1"/>
                <w:color w:val="auto"/>
              </w:rPr>
              <w:t>Unfunded Liability</w:t>
            </w:r>
          </w:p>
        </w:tc>
        <w:tc>
          <w:tcPr>
            <w:tcW w:w="1580" w:type="dxa"/>
            <w:vAlign w:val="bottom"/>
          </w:tcPr>
          <w:p>
            <w:pPr>
              <w:spacing w:after="0"/>
              <w:rPr>
                <w:sz w:val="18"/>
                <w:szCs w:val="18"/>
                <w:color w:val="auto"/>
              </w:rPr>
            </w:pPr>
          </w:p>
        </w:tc>
        <w:tc>
          <w:tcPr>
            <w:tcW w:w="1080" w:type="dxa"/>
            <w:vAlign w:val="bottom"/>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(119)</w:t>
            </w:r>
          </w:p>
        </w:tc>
        <w:tc>
          <w:tcPr>
            <w:tcW w:w="28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14"/>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i w:val="1"/>
                <w:iCs w:val="1"/>
                <w:color w:val="auto"/>
              </w:rPr>
              <w:t>Amounts Recognized in Accumulated Other Comprehensive Loss</w:t>
            </w:r>
          </w:p>
        </w:tc>
        <w:tc>
          <w:tcPr>
            <w:tcW w:w="15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40" w:type="dxa"/>
            <w:vAlign w:val="bottom"/>
          </w:tcPr>
          <w:p>
            <w:pPr>
              <w:spacing w:after="0"/>
              <w:rPr>
                <w:sz w:val="20"/>
                <w:szCs w:val="20"/>
                <w:color w:val="auto"/>
              </w:rPr>
            </w:pPr>
            <w:r>
              <w:rPr>
                <w:rFonts w:ascii="Arial" w:cs="Arial" w:eastAsia="Arial" w:hAnsi="Arial"/>
                <w:sz w:val="17"/>
                <w:szCs w:val="17"/>
                <w:color w:val="auto"/>
              </w:rPr>
              <w:t>Actuarial losses</w:t>
            </w:r>
          </w:p>
        </w:tc>
        <w:tc>
          <w:tcPr>
            <w:tcW w:w="2660" w:type="dxa"/>
            <w:vAlign w:val="bottom"/>
            <w:gridSpan w:val="2"/>
          </w:tcPr>
          <w:p>
            <w:pPr>
              <w:jc w:val="right"/>
              <w:ind w:right="893"/>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36</w:t>
            </w:r>
          </w:p>
        </w:tc>
        <w:tc>
          <w:tcPr>
            <w:tcW w:w="2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Prior service credit</w:t>
            </w:r>
          </w:p>
        </w:tc>
        <w:tc>
          <w:tcPr>
            <w:tcW w:w="1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(215)</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2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80" w:type="dxa"/>
            <w:vAlign w:val="bottom"/>
          </w:tcPr>
          <w:p>
            <w:pPr>
              <w:jc w:val="right"/>
              <w:ind w:right="893"/>
              <w:spacing w:after="0"/>
              <w:rPr>
                <w:sz w:val="20"/>
                <w:szCs w:val="20"/>
                <w:color w:val="auto"/>
              </w:rPr>
            </w:pPr>
            <w:r>
              <w:rPr>
                <w:rFonts w:ascii="Arial" w:cs="Arial" w:eastAsia="Arial" w:hAnsi="Arial"/>
                <w:sz w:val="17"/>
                <w:szCs w:val="17"/>
                <w:b w:val="1"/>
                <w:bCs w:val="1"/>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(179)</w:t>
            </w:r>
          </w:p>
        </w:tc>
        <w:tc>
          <w:tcPr>
            <w:tcW w:w="280" w:type="dxa"/>
            <w:vAlign w:val="bottom"/>
            <w:vMerge w:val="continue"/>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unfunded liability is included in </w:t>
      </w:r>
      <w:r>
        <w:rPr>
          <w:rFonts w:ascii="Arial" w:cs="Arial" w:eastAsia="Arial" w:hAnsi="Arial"/>
          <w:sz w:val="17"/>
          <w:szCs w:val="17"/>
          <w:i w:val="1"/>
          <w:iCs w:val="1"/>
          <w:color w:val="auto"/>
        </w:rPr>
        <w:t>Postretirement Benefits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w:t>
      </w:r>
    </w:p>
    <w:p>
      <w:pPr>
        <w:spacing w:after="0" w:line="220"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The assets of the US postretirement medical plan are invested 59% in equity securities and 41% in debt securities at December 31, 2017. The fair value of these assets was primarily determined based on Level Two valuation techniques.</w:t>
      </w:r>
    </w:p>
    <w:p>
      <w:pPr>
        <w:spacing w:after="0" w:line="159"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A one percentage point change in assumed health care cost trend rates would have the following effects on the amounts reported for the US postretirement medical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15"/>
        </w:trPr>
        <w:tc>
          <w:tcPr>
            <w:tcW w:w="5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One Percentage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7"/>
                <w:szCs w:val="17"/>
                <w:color w:val="auto"/>
                <w:w w:val="93"/>
              </w:rPr>
              <w:t>One Percentage</w:t>
            </w:r>
          </w:p>
        </w:tc>
      </w:tr>
      <w:tr>
        <w:trPr>
          <w:trHeight w:val="221"/>
        </w:trPr>
        <w:tc>
          <w:tcPr>
            <w:tcW w:w="5840" w:type="dxa"/>
            <w:vAlign w:val="bottom"/>
            <w:tcBorders>
              <w:bottom w:val="single" w:sz="8" w:color="CFF0FC"/>
            </w:tcBorders>
          </w:tcPr>
          <w:p>
            <w:pPr>
              <w:spacing w:after="0"/>
              <w:rPr>
                <w:sz w:val="19"/>
                <w:szCs w:val="19"/>
                <w:color w:val="auto"/>
              </w:rPr>
            </w:pPr>
          </w:p>
        </w:tc>
        <w:tc>
          <w:tcPr>
            <w:tcW w:w="198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Point Increase</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w w:val="96"/>
              </w:rPr>
              <w:t>Point Decrease</w:t>
            </w:r>
          </w:p>
        </w:tc>
        <w:tc>
          <w:tcPr>
            <w:tcW w:w="100" w:type="dxa"/>
            <w:vAlign w:val="bottom"/>
            <w:tcBorders>
              <w:bottom w:val="single" w:sz="8" w:color="CFF0FC"/>
            </w:tcBorders>
          </w:tcPr>
          <w:p>
            <w:pPr>
              <w:spacing w:after="0"/>
              <w:rPr>
                <w:sz w:val="19"/>
                <w:szCs w:val="19"/>
                <w:color w:val="auto"/>
              </w:rPr>
            </w:pPr>
          </w:p>
        </w:tc>
      </w:tr>
      <w:tr>
        <w:trPr>
          <w:trHeight w:val="214"/>
        </w:trPr>
        <w:tc>
          <w:tcPr>
            <w:tcW w:w="5840" w:type="dxa"/>
            <w:vAlign w:val="bottom"/>
            <w:shd w:val="clear" w:color="auto" w:fill="CFF0FC"/>
          </w:tcPr>
          <w:p>
            <w:pPr>
              <w:spacing w:after="0"/>
              <w:rPr>
                <w:sz w:val="20"/>
                <w:szCs w:val="20"/>
                <w:color w:val="auto"/>
              </w:rPr>
            </w:pPr>
            <w:r>
              <w:rPr>
                <w:rFonts w:ascii="Arial" w:cs="Arial" w:eastAsia="Arial" w:hAnsi="Arial"/>
                <w:sz w:val="17"/>
                <w:szCs w:val="17"/>
                <w:color w:val="auto"/>
              </w:rPr>
              <w:t>Effect on total service and interest cost components</w:t>
            </w:r>
          </w:p>
        </w:tc>
        <w:tc>
          <w:tcPr>
            <w:tcW w:w="3360" w:type="dxa"/>
            <w:vAlign w:val="bottom"/>
            <w:gridSpan w:val="2"/>
            <w:shd w:val="clear" w:color="auto" w:fill="CFF0FC"/>
          </w:tcPr>
          <w:p>
            <w:pPr>
              <w:jc w:val="right"/>
              <w:ind w:right="1193"/>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Effect on accumulated postretirement benefit obligation</w:t>
            </w:r>
          </w:p>
        </w:tc>
        <w:tc>
          <w:tcPr>
            <w:tcW w:w="3360" w:type="dxa"/>
            <w:vAlign w:val="bottom"/>
            <w:gridSpan w:val="2"/>
          </w:tcPr>
          <w:p>
            <w:pPr>
              <w:jc w:val="right"/>
              <w:ind w:right="1193"/>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35</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expected benefits to be paid under the US and International pension plans as well as the postretirement medical plan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15"/>
                <w:szCs w:val="15"/>
                <w:color w:val="auto"/>
              </w:rPr>
            </w:pPr>
          </w:p>
        </w:tc>
      </w:tr>
      <w:tr>
        <w:trPr>
          <w:trHeight w:val="415"/>
        </w:trPr>
        <w:tc>
          <w:tcPr>
            <w:tcW w:w="3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7"/>
                <w:szCs w:val="17"/>
                <w:color w:val="auto"/>
                <w:w w:val="94"/>
              </w:rPr>
              <w:t>Pension Benefits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7"/>
                <w:szCs w:val="17"/>
                <w:color w:val="auto"/>
              </w:rPr>
              <w:t>Postretirement</w:t>
            </w:r>
          </w:p>
        </w:tc>
        <w:tc>
          <w:tcPr>
            <w:tcW w:w="40" w:type="dxa"/>
            <w:vAlign w:val="bottom"/>
          </w:tcPr>
          <w:p>
            <w:pPr>
              <w:spacing w:after="0"/>
              <w:rPr>
                <w:sz w:val="24"/>
                <w:szCs w:val="24"/>
                <w:color w:val="auto"/>
              </w:rPr>
            </w:pPr>
          </w:p>
        </w:tc>
      </w:tr>
      <w:tr>
        <w:trPr>
          <w:trHeight w:val="214"/>
        </w:trPr>
        <w:tc>
          <w:tcPr>
            <w:tcW w:w="3200" w:type="dxa"/>
            <w:vAlign w:val="bottom"/>
            <w:tcBorders>
              <w:bottom w:val="single" w:sz="8" w:color="CFF0FC"/>
            </w:tcBorders>
          </w:tcPr>
          <w:p>
            <w:pPr>
              <w:spacing w:after="0"/>
              <w:rPr>
                <w:sz w:val="18"/>
                <w:szCs w:val="18"/>
                <w:color w:val="auto"/>
              </w:rPr>
            </w:pPr>
          </w:p>
        </w:tc>
        <w:tc>
          <w:tcPr>
            <w:tcW w:w="352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US</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98"/>
              </w:rPr>
              <w:t>International</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Medical Plan</w:t>
            </w: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200" w:type="dxa"/>
            <w:vAlign w:val="bottom"/>
            <w:shd w:val="clear" w:color="auto" w:fill="CFF0FC"/>
          </w:tcPr>
          <w:p>
            <w:pPr>
              <w:spacing w:after="0"/>
              <w:rPr>
                <w:sz w:val="20"/>
                <w:szCs w:val="20"/>
                <w:color w:val="auto"/>
              </w:rPr>
            </w:pPr>
            <w:r>
              <w:rPr>
                <w:rFonts w:ascii="Arial" w:cs="Arial" w:eastAsia="Arial" w:hAnsi="Arial"/>
                <w:sz w:val="17"/>
                <w:szCs w:val="17"/>
                <w:color w:val="auto"/>
              </w:rPr>
              <w:t>2018</w:t>
            </w:r>
          </w:p>
        </w:tc>
        <w:tc>
          <w:tcPr>
            <w:tcW w:w="4360" w:type="dxa"/>
            <w:vAlign w:val="bottom"/>
            <w:gridSpan w:val="2"/>
            <w:shd w:val="clear" w:color="auto" w:fill="CFF0FC"/>
          </w:tcPr>
          <w:p>
            <w:pPr>
              <w:jc w:val="right"/>
              <w:ind w:right="673"/>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1"/>
        </w:trPr>
        <w:tc>
          <w:tcPr>
            <w:tcW w:w="3200" w:type="dxa"/>
            <w:vAlign w:val="bottom"/>
          </w:tcPr>
          <w:p>
            <w:pPr>
              <w:spacing w:after="0"/>
              <w:rPr>
                <w:sz w:val="20"/>
                <w:szCs w:val="20"/>
                <w:color w:val="auto"/>
              </w:rPr>
            </w:pPr>
            <w:r>
              <w:rPr>
                <w:rFonts w:ascii="Arial" w:cs="Arial" w:eastAsia="Arial" w:hAnsi="Arial"/>
                <w:sz w:val="17"/>
                <w:szCs w:val="17"/>
                <w:color w:val="auto"/>
              </w:rPr>
              <w:t>2019</w:t>
            </w:r>
          </w:p>
        </w:tc>
        <w:tc>
          <w:tcPr>
            <w:tcW w:w="4360" w:type="dxa"/>
            <w:vAlign w:val="bottom"/>
            <w:gridSpan w:val="2"/>
          </w:tcPr>
          <w:p>
            <w:pPr>
              <w:jc w:val="right"/>
              <w:ind w:right="67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207</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294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320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4360" w:type="dxa"/>
            <w:vAlign w:val="bottom"/>
            <w:gridSpan w:val="2"/>
            <w:shd w:val="clear" w:color="auto" w:fill="CFF0FC"/>
          </w:tcPr>
          <w:p>
            <w:pPr>
              <w:jc w:val="right"/>
              <w:ind w:right="673"/>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3200" w:type="dxa"/>
            <w:vAlign w:val="bottom"/>
          </w:tcPr>
          <w:p>
            <w:pPr>
              <w:spacing w:after="0"/>
              <w:rPr>
                <w:sz w:val="20"/>
                <w:szCs w:val="20"/>
                <w:color w:val="auto"/>
              </w:rPr>
            </w:pPr>
            <w:r>
              <w:rPr>
                <w:rFonts w:ascii="Arial" w:cs="Arial" w:eastAsia="Arial" w:hAnsi="Arial"/>
                <w:sz w:val="17"/>
                <w:szCs w:val="17"/>
                <w:color w:val="auto"/>
              </w:rPr>
              <w:t>2021</w:t>
            </w:r>
          </w:p>
        </w:tc>
        <w:tc>
          <w:tcPr>
            <w:tcW w:w="4360" w:type="dxa"/>
            <w:vAlign w:val="bottom"/>
            <w:gridSpan w:val="2"/>
          </w:tcPr>
          <w:p>
            <w:pPr>
              <w:jc w:val="right"/>
              <w:ind w:right="67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218</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320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320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4360" w:type="dxa"/>
            <w:vAlign w:val="bottom"/>
            <w:gridSpan w:val="2"/>
            <w:shd w:val="clear" w:color="auto" w:fill="CFF0FC"/>
          </w:tcPr>
          <w:p>
            <w:pPr>
              <w:jc w:val="right"/>
              <w:ind w:right="673"/>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3200" w:type="dxa"/>
            <w:vAlign w:val="bottom"/>
          </w:tcPr>
          <w:p>
            <w:pPr>
              <w:spacing w:after="0"/>
              <w:rPr>
                <w:sz w:val="20"/>
                <w:szCs w:val="20"/>
                <w:color w:val="auto"/>
              </w:rPr>
            </w:pPr>
            <w:r>
              <w:rPr>
                <w:rFonts w:ascii="Arial" w:cs="Arial" w:eastAsia="Arial" w:hAnsi="Arial"/>
                <w:sz w:val="17"/>
                <w:szCs w:val="17"/>
                <w:color w:val="auto"/>
              </w:rPr>
              <w:t>2023-2027</w:t>
            </w:r>
          </w:p>
        </w:tc>
        <w:tc>
          <w:tcPr>
            <w:tcW w:w="4360" w:type="dxa"/>
            <w:vAlign w:val="bottom"/>
            <w:gridSpan w:val="2"/>
          </w:tcPr>
          <w:p>
            <w:pPr>
              <w:jc w:val="right"/>
              <w:ind w:right="67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1,215</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1,895</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24"/>
        </w:trPr>
        <w:tc>
          <w:tcPr>
            <w:tcW w:w="3200" w:type="dxa"/>
            <w:vAlign w:val="bottom"/>
          </w:tcPr>
          <w:p>
            <w:pPr>
              <w:spacing w:after="0"/>
              <w:rPr>
                <w:sz w:val="24"/>
                <w:szCs w:val="24"/>
                <w:color w:val="auto"/>
              </w:rPr>
            </w:pPr>
          </w:p>
        </w:tc>
        <w:tc>
          <w:tcPr>
            <w:tcW w:w="3520" w:type="dxa"/>
            <w:vAlign w:val="bottom"/>
          </w:tcPr>
          <w:p>
            <w:pPr>
              <w:jc w:val="right"/>
              <w:ind w:right="833"/>
              <w:spacing w:after="0"/>
              <w:rPr>
                <w:sz w:val="20"/>
                <w:szCs w:val="20"/>
                <w:color w:val="auto"/>
              </w:rPr>
            </w:pPr>
            <w:r>
              <w:rPr>
                <w:rFonts w:ascii="Arial" w:cs="Arial" w:eastAsia="Arial" w:hAnsi="Arial"/>
                <w:sz w:val="17"/>
                <w:szCs w:val="17"/>
                <w:color w:val="auto"/>
              </w:rPr>
              <w:t>62</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3"/>
        </w:trPr>
        <w:tc>
          <w:tcPr>
            <w:tcW w:w="32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66" w:right="199" w:bottom="1440" w:gutter="0" w:footer="0" w:header="0"/>
        </w:sectPr>
      </w:pPr>
    </w:p>
    <w:bookmarkStart w:id="62" w:name="page63"/>
    <w:bookmarkEnd w:id="62"/>
    <w:p>
      <w:pPr>
        <w:jc w:val="both"/>
        <w:ind w:right="40"/>
        <w:spacing w:after="0" w:line="270" w:lineRule="auto"/>
        <w:rPr>
          <w:sz w:val="20"/>
          <w:szCs w:val="20"/>
          <w:color w:val="auto"/>
        </w:rPr>
      </w:pPr>
      <w:r>
        <w:rPr>
          <w:rFonts w:ascii="Arial" w:cs="Arial" w:eastAsia="Arial" w:hAnsi="Arial"/>
          <w:sz w:val="17"/>
          <w:szCs w:val="17"/>
          <w:color w:val="auto"/>
        </w:rPr>
        <w:t xml:space="preserve">Included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at December 31, 2017 are non-cash pretax charges which have not yet been recognized in net periodic benefit cost. The estimated portion of each component of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which is expected to be recognized as a component of net periodic benefit cost during the year ending December 31, 2018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15"/>
        </w:trPr>
        <w:tc>
          <w:tcPr>
            <w:tcW w:w="4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7"/>
                <w:szCs w:val="17"/>
                <w:color w:val="auto"/>
                <w:w w:val="99"/>
              </w:rPr>
              <w:t>Postretirement</w:t>
            </w:r>
          </w:p>
        </w:tc>
      </w:tr>
      <w:tr>
        <w:trPr>
          <w:trHeight w:val="221"/>
        </w:trPr>
        <w:tc>
          <w:tcPr>
            <w:tcW w:w="4800" w:type="dxa"/>
            <w:vAlign w:val="bottom"/>
            <w:tcBorders>
              <w:bottom w:val="single" w:sz="8" w:color="CFF0FC"/>
            </w:tcBorders>
          </w:tcPr>
          <w:p>
            <w:pPr>
              <w:spacing w:after="0"/>
              <w:rPr>
                <w:sz w:val="19"/>
                <w:szCs w:val="19"/>
                <w:color w:val="auto"/>
              </w:rPr>
            </w:pPr>
          </w:p>
        </w:tc>
        <w:tc>
          <w:tcPr>
            <w:tcW w:w="30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97"/>
              </w:rPr>
              <w:t>Pension Plans</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auto"/>
              </w:rPr>
              <w:t>Medical Plan</w:t>
            </w:r>
          </w:p>
        </w:tc>
        <w:tc>
          <w:tcPr>
            <w:tcW w:w="100" w:type="dxa"/>
            <w:vAlign w:val="bottom"/>
            <w:tcBorders>
              <w:bottom w:val="single" w:sz="8" w:color="CFF0FC"/>
            </w:tcBorders>
          </w:tcPr>
          <w:p>
            <w:pPr>
              <w:spacing w:after="0"/>
              <w:rPr>
                <w:sz w:val="19"/>
                <w:szCs w:val="19"/>
                <w:color w:val="auto"/>
              </w:rPr>
            </w:pPr>
          </w:p>
        </w:tc>
      </w:tr>
      <w:tr>
        <w:trPr>
          <w:trHeight w:val="214"/>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Net actuarial losses</w:t>
            </w:r>
          </w:p>
        </w:tc>
        <w:tc>
          <w:tcPr>
            <w:tcW w:w="3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Prior service cost (credit)</w:t>
            </w:r>
          </w:p>
        </w:tc>
        <w:tc>
          <w:tcPr>
            <w:tcW w:w="3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23</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bl>
    <w:p>
      <w:pPr>
        <w:spacing w:after="0" w:line="221"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In addition to providing defined pension benefits and a postretirement medical plan, Schlumberger and its subsidiaries have other deferred benefit programs, primarily profit sharing and defined contribution pension plans. Expenses for these programs were $413 million, $445 million and $565 million in 2017, 2016 and 2015, respectively.</w:t>
      </w:r>
    </w:p>
    <w:p>
      <w:pPr>
        <w:spacing w:after="0" w:line="309" w:lineRule="exact"/>
        <w:rPr>
          <w:sz w:val="20"/>
          <w:szCs w:val="20"/>
          <w:color w:val="auto"/>
        </w:rPr>
      </w:pPr>
    </w:p>
    <w:p>
      <w:pPr>
        <w:ind w:left="260" w:hanging="256"/>
        <w:spacing w:after="0"/>
        <w:tabs>
          <w:tab w:leader="none" w:pos="26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Supplementary Information</w:t>
      </w:r>
    </w:p>
    <w:p>
      <w:pPr>
        <w:spacing w:after="0" w:line="265"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color w:val="auto"/>
        </w:rPr>
        <w:t>During 2015, Schlumberger entered into an agreement with one of its customers to receive certain fixed assets in lieu of payment of approximately $200 million of accounts receivable.</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Cash paid (refunded) for interest and income taxes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4940" w:type="dxa"/>
            <w:vAlign w:val="bottom"/>
          </w:tcPr>
          <w:p>
            <w:pPr>
              <w:spacing w:after="0"/>
              <w:rPr>
                <w:sz w:val="24"/>
                <w:szCs w:val="24"/>
                <w:color w:val="auto"/>
              </w:rPr>
            </w:pPr>
          </w:p>
        </w:tc>
        <w:tc>
          <w:tcPr>
            <w:tcW w:w="2720" w:type="dxa"/>
            <w:vAlign w:val="bottom"/>
            <w:gridSpan w:val="2"/>
          </w:tcPr>
          <w:p>
            <w:pPr>
              <w:jc w:val="right"/>
              <w:ind w:right="24"/>
              <w:spacing w:after="0"/>
              <w:rPr>
                <w:sz w:val="20"/>
                <w:szCs w:val="20"/>
                <w:color w:val="auto"/>
              </w:rPr>
            </w:pPr>
            <w:r>
              <w:rPr>
                <w:rFonts w:ascii="Arial" w:cs="Arial" w:eastAsia="Arial" w:hAnsi="Arial"/>
                <w:sz w:val="17"/>
                <w:szCs w:val="17"/>
                <w:b w:val="1"/>
                <w:bCs w:val="1"/>
                <w:color w:val="auto"/>
              </w:rPr>
              <w:t>2017</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33"/>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37"/>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Interest</w:t>
            </w:r>
          </w:p>
        </w:tc>
        <w:tc>
          <w:tcPr>
            <w:tcW w:w="17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572</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599</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346</w:t>
            </w: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40" w:type="dxa"/>
            <w:vAlign w:val="bottom"/>
          </w:tcPr>
          <w:p>
            <w:pPr>
              <w:spacing w:after="0"/>
              <w:rPr>
                <w:sz w:val="20"/>
                <w:szCs w:val="20"/>
                <w:color w:val="auto"/>
              </w:rPr>
            </w:pPr>
            <w:r>
              <w:rPr>
                <w:rFonts w:ascii="Arial" w:cs="Arial" w:eastAsia="Arial" w:hAnsi="Arial"/>
                <w:sz w:val="17"/>
                <w:szCs w:val="17"/>
                <w:color w:val="auto"/>
              </w:rPr>
              <w:t>Income tax</w:t>
            </w:r>
          </w:p>
        </w:tc>
        <w:tc>
          <w:tcPr>
            <w:tcW w:w="2720" w:type="dxa"/>
            <w:vAlign w:val="bottom"/>
            <w:gridSpan w:val="2"/>
          </w:tcPr>
          <w:p>
            <w:pPr>
              <w:jc w:val="right"/>
              <w:ind w:right="784"/>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(44)</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750</w:t>
            </w:r>
          </w:p>
        </w:tc>
        <w:tc>
          <w:tcPr>
            <w:tcW w:w="26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1,567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4940" w:type="dxa"/>
            <w:vAlign w:val="bottom"/>
          </w:tcPr>
          <w:p>
            <w:pPr>
              <w:spacing w:after="0"/>
              <w:rPr>
                <w:sz w:val="20"/>
                <w:szCs w:val="20"/>
                <w:color w:val="auto"/>
              </w:rPr>
            </w:pPr>
            <w:r>
              <w:rPr>
                <w:rFonts w:ascii="Arial" w:cs="Arial" w:eastAsia="Arial" w:hAnsi="Arial"/>
                <w:sz w:val="17"/>
                <w:szCs w:val="17"/>
                <w:i w:val="1"/>
                <w:iCs w:val="1"/>
                <w:color w:val="auto"/>
              </w:rPr>
              <w:t xml:space="preserve">Interest and other income </w:t>
            </w:r>
            <w:r>
              <w:rPr>
                <w:rFonts w:ascii="Arial" w:cs="Arial" w:eastAsia="Arial" w:hAnsi="Arial"/>
                <w:sz w:val="17"/>
                <w:szCs w:val="17"/>
                <w:color w:val="auto"/>
              </w:rPr>
              <w:t>includes the following:</w:t>
            </w: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940" w:type="dxa"/>
            <w:vAlign w:val="bottom"/>
          </w:tcPr>
          <w:p>
            <w:pPr>
              <w:spacing w:after="0"/>
              <w:rPr>
                <w:sz w:val="24"/>
                <w:szCs w:val="24"/>
                <w:color w:val="auto"/>
              </w:rPr>
            </w:pPr>
          </w:p>
        </w:tc>
        <w:tc>
          <w:tcPr>
            <w:tcW w:w="2720" w:type="dxa"/>
            <w:vAlign w:val="bottom"/>
            <w:gridSpan w:val="2"/>
          </w:tcPr>
          <w:p>
            <w:pPr>
              <w:jc w:val="right"/>
              <w:ind w:right="24"/>
              <w:spacing w:after="0"/>
              <w:rPr>
                <w:sz w:val="20"/>
                <w:szCs w:val="20"/>
                <w:color w:val="auto"/>
              </w:rPr>
            </w:pPr>
            <w:r>
              <w:rPr>
                <w:rFonts w:ascii="Arial" w:cs="Arial" w:eastAsia="Arial" w:hAnsi="Arial"/>
                <w:sz w:val="17"/>
                <w:szCs w:val="17"/>
                <w:b w:val="1"/>
                <w:bCs w:val="1"/>
                <w:color w:val="auto"/>
              </w:rPr>
              <w:t>2017</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33"/>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37"/>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Interest income</w:t>
            </w:r>
          </w:p>
        </w:tc>
        <w:tc>
          <w:tcPr>
            <w:tcW w:w="17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128</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Earnings of equity method investments</w:t>
            </w:r>
          </w:p>
        </w:tc>
        <w:tc>
          <w:tcPr>
            <w:tcW w:w="17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4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224</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7"/>
                <w:szCs w:val="17"/>
                <w:color w:val="auto"/>
              </w:rPr>
              <w:t xml:space="preserve">The change in </w:t>
            </w:r>
            <w:r>
              <w:rPr>
                <w:rFonts w:ascii="Arial" w:cs="Arial" w:eastAsia="Arial" w:hAnsi="Arial"/>
                <w:sz w:val="17"/>
                <w:szCs w:val="17"/>
                <w:i w:val="1"/>
                <w:iCs w:val="1"/>
                <w:color w:val="auto"/>
              </w:rPr>
              <w:t>Allowance for doubtful accounts</w:t>
            </w:r>
            <w:r>
              <w:rPr>
                <w:rFonts w:ascii="Arial" w:cs="Arial" w:eastAsia="Arial" w:hAnsi="Arial"/>
                <w:sz w:val="17"/>
                <w:szCs w:val="17"/>
                <w:color w:val="auto"/>
              </w:rPr>
              <w:t xml:space="preserve"> is as follows:</w:t>
            </w:r>
          </w:p>
        </w:tc>
        <w:tc>
          <w:tcPr>
            <w:tcW w:w="1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94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940" w:type="dxa"/>
            <w:vAlign w:val="bottom"/>
          </w:tcPr>
          <w:p>
            <w:pPr>
              <w:spacing w:after="0"/>
              <w:rPr>
                <w:sz w:val="24"/>
                <w:szCs w:val="24"/>
                <w:color w:val="auto"/>
              </w:rPr>
            </w:pPr>
          </w:p>
        </w:tc>
        <w:tc>
          <w:tcPr>
            <w:tcW w:w="2720" w:type="dxa"/>
            <w:vAlign w:val="bottom"/>
            <w:gridSpan w:val="2"/>
          </w:tcPr>
          <w:p>
            <w:pPr>
              <w:jc w:val="right"/>
              <w:ind w:right="24"/>
              <w:spacing w:after="0"/>
              <w:rPr>
                <w:sz w:val="20"/>
                <w:szCs w:val="20"/>
                <w:color w:val="auto"/>
              </w:rPr>
            </w:pPr>
            <w:r>
              <w:rPr>
                <w:rFonts w:ascii="Arial" w:cs="Arial" w:eastAsia="Arial" w:hAnsi="Arial"/>
                <w:sz w:val="17"/>
                <w:szCs w:val="17"/>
                <w:b w:val="1"/>
                <w:bCs w:val="1"/>
                <w:color w:val="auto"/>
              </w:rPr>
              <w:t>2017</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33"/>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37"/>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beginning of year</w:t>
            </w:r>
          </w:p>
        </w:tc>
        <w:tc>
          <w:tcPr>
            <w:tcW w:w="17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397</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333</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40" w:type="dxa"/>
            <w:vAlign w:val="bottom"/>
          </w:tcPr>
          <w:p>
            <w:pPr>
              <w:spacing w:after="0"/>
              <w:rPr>
                <w:sz w:val="20"/>
                <w:szCs w:val="20"/>
                <w:color w:val="auto"/>
              </w:rPr>
            </w:pPr>
            <w:r>
              <w:rPr>
                <w:rFonts w:ascii="Arial" w:cs="Arial" w:eastAsia="Arial" w:hAnsi="Arial"/>
                <w:sz w:val="17"/>
                <w:szCs w:val="17"/>
                <w:color w:val="auto"/>
              </w:rPr>
              <w:t>Additions</w:t>
            </w: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40" w:type="dxa"/>
            <w:vAlign w:val="bottom"/>
            <w:shd w:val="clear" w:color="auto" w:fill="CFF0FC"/>
          </w:tcPr>
          <w:p>
            <w:pPr>
              <w:spacing w:after="0"/>
              <w:rPr>
                <w:sz w:val="20"/>
                <w:szCs w:val="20"/>
                <w:color w:val="auto"/>
              </w:rPr>
            </w:pPr>
            <w:r>
              <w:rPr>
                <w:rFonts w:ascii="Arial" w:cs="Arial" w:eastAsia="Arial" w:hAnsi="Arial"/>
                <w:sz w:val="17"/>
                <w:szCs w:val="17"/>
                <w:color w:val="auto"/>
              </w:rPr>
              <w:t>Amounts written off</w:t>
            </w:r>
          </w:p>
        </w:tc>
        <w:tc>
          <w:tcPr>
            <w:tcW w:w="1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(163)</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(59)</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Arial" w:cs="Arial" w:eastAsia="Arial" w:hAnsi="Arial"/>
                <w:sz w:val="17"/>
                <w:szCs w:val="17"/>
                <w:color w:val="auto"/>
              </w:rPr>
              <w:t>Balance at end of year</w:t>
            </w:r>
          </w:p>
        </w:tc>
        <w:tc>
          <w:tcPr>
            <w:tcW w:w="17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397</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780" w:type="dxa"/>
            <w:vAlign w:val="bottom"/>
            <w:vMerge w:val="restart"/>
          </w:tcPr>
          <w:p>
            <w:pPr>
              <w:jc w:val="right"/>
              <w:ind w:right="833"/>
              <w:spacing w:after="0"/>
              <w:rPr>
                <w:sz w:val="20"/>
                <w:szCs w:val="20"/>
                <w:color w:val="auto"/>
              </w:rPr>
            </w:pPr>
            <w:r>
              <w:rPr>
                <w:rFonts w:ascii="Arial" w:cs="Arial" w:eastAsia="Arial" w:hAnsi="Arial"/>
                <w:sz w:val="17"/>
                <w:szCs w:val="17"/>
                <w:color w:val="auto"/>
              </w:rPr>
              <w:t>63</w:t>
            </w: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9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9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66" w:right="199" w:bottom="1440" w:gutter="0" w:footer="0" w:header="0"/>
        </w:sectPr>
      </w:pPr>
    </w:p>
    <w:bookmarkStart w:id="63" w:name="page64"/>
    <w:bookmarkEnd w:id="63"/>
    <w:p>
      <w:pPr>
        <w:ind w:right="80"/>
        <w:spacing w:after="0" w:line="285" w:lineRule="auto"/>
        <w:rPr>
          <w:sz w:val="20"/>
          <w:szCs w:val="20"/>
          <w:color w:val="auto"/>
        </w:rPr>
      </w:pPr>
      <w:r>
        <w:rPr>
          <w:rFonts w:ascii="Arial" w:cs="Arial" w:eastAsia="Arial" w:hAnsi="Arial"/>
          <w:sz w:val="17"/>
          <w:szCs w:val="17"/>
          <w:color w:val="auto"/>
        </w:rPr>
        <w:t>Revenue in excess of billings related to contracts accounted for under the percentage-of-completion method was $0.3 billion and $0.5 billion at December 31, 2017 and 2016,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Accounts payable and accrued liabilities </w:t>
      </w:r>
      <w:r>
        <w:rPr>
          <w:rFonts w:ascii="Arial" w:cs="Arial" w:eastAsia="Arial" w:hAnsi="Arial"/>
          <w:sz w:val="17"/>
          <w:szCs w:val="17"/>
          <w:color w:val="auto"/>
        </w:rPr>
        <w:t>are summarized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r>
      <w:tr>
        <w:trPr>
          <w:trHeight w:val="415"/>
        </w:trPr>
        <w:tc>
          <w:tcPr>
            <w:tcW w:w="5300" w:type="dxa"/>
            <w:vAlign w:val="bottom"/>
            <w:tcBorders>
              <w:bottom w:val="single" w:sz="8" w:color="CFF0FC"/>
            </w:tcBorders>
          </w:tcPr>
          <w:p>
            <w:pPr>
              <w:spacing w:after="0"/>
              <w:rPr>
                <w:sz w:val="24"/>
                <w:szCs w:val="24"/>
                <w:color w:val="auto"/>
              </w:rPr>
            </w:pPr>
          </w:p>
        </w:tc>
        <w:tc>
          <w:tcPr>
            <w:tcW w:w="2520" w:type="dxa"/>
            <w:vAlign w:val="bottom"/>
            <w:tcBorders>
              <w:bottom w:val="single" w:sz="8" w:color="CFF0F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2016</w:t>
            </w:r>
          </w:p>
        </w:tc>
        <w:tc>
          <w:tcPr>
            <w:tcW w:w="100" w:type="dxa"/>
            <w:vAlign w:val="bottom"/>
            <w:tcBorders>
              <w:bottom w:val="single" w:sz="8" w:color="CFF0FC"/>
            </w:tcBorders>
          </w:tcPr>
          <w:p>
            <w:pPr>
              <w:spacing w:after="0"/>
              <w:rPr>
                <w:sz w:val="24"/>
                <w:szCs w:val="24"/>
                <w:color w:val="auto"/>
              </w:rPr>
            </w:pPr>
          </w:p>
        </w:tc>
      </w:tr>
      <w:tr>
        <w:trPr>
          <w:trHeight w:val="214"/>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Payroll, vacation and employee benefits</w:t>
            </w:r>
          </w:p>
        </w:tc>
        <w:tc>
          <w:tcPr>
            <w:tcW w:w="25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3"/>
              <w:spacing w:after="0"/>
              <w:rPr>
                <w:sz w:val="20"/>
                <w:szCs w:val="20"/>
                <w:color w:val="auto"/>
              </w:rPr>
            </w:pPr>
            <w:r>
              <w:rPr>
                <w:rFonts w:ascii="Arial" w:cs="Arial" w:eastAsia="Arial" w:hAnsi="Arial"/>
                <w:sz w:val="17"/>
                <w:szCs w:val="17"/>
                <w:b w:val="1"/>
                <w:bCs w:val="1"/>
                <w:color w:val="auto"/>
                <w:w w:val="84"/>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1,296</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1,349</w:t>
            </w:r>
          </w:p>
        </w:tc>
        <w:tc>
          <w:tcPr>
            <w:tcW w:w="100" w:type="dxa"/>
            <w:vAlign w:val="bottom"/>
            <w:shd w:val="clear" w:color="auto" w:fill="CFF0FC"/>
          </w:tcPr>
          <w:p>
            <w:pPr>
              <w:spacing w:after="0"/>
              <w:rPr>
                <w:sz w:val="18"/>
                <w:szCs w:val="18"/>
                <w:color w:val="auto"/>
              </w:rPr>
            </w:pPr>
          </w:p>
        </w:tc>
      </w:tr>
      <w:tr>
        <w:trPr>
          <w:trHeight w:val="221"/>
        </w:trPr>
        <w:tc>
          <w:tcPr>
            <w:tcW w:w="5300" w:type="dxa"/>
            <w:vAlign w:val="bottom"/>
          </w:tcPr>
          <w:p>
            <w:pPr>
              <w:spacing w:after="0"/>
              <w:rPr>
                <w:sz w:val="20"/>
                <w:szCs w:val="20"/>
                <w:color w:val="auto"/>
              </w:rPr>
            </w:pPr>
            <w:r>
              <w:rPr>
                <w:rFonts w:ascii="Arial" w:cs="Arial" w:eastAsia="Arial" w:hAnsi="Arial"/>
                <w:sz w:val="17"/>
                <w:szCs w:val="17"/>
                <w:color w:val="auto"/>
              </w:rPr>
              <w:t>Trade</w:t>
            </w:r>
          </w:p>
        </w:tc>
        <w:tc>
          <w:tcPr>
            <w:tcW w:w="2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4,614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4,004</w:t>
            </w:r>
          </w:p>
        </w:tc>
        <w:tc>
          <w:tcPr>
            <w:tcW w:w="100" w:type="dxa"/>
            <w:vAlign w:val="bottom"/>
          </w:tcPr>
          <w:p>
            <w:pPr>
              <w:spacing w:after="0"/>
              <w:rPr>
                <w:sz w:val="19"/>
                <w:szCs w:val="19"/>
                <w:color w:val="auto"/>
              </w:rPr>
            </w:pPr>
          </w:p>
        </w:tc>
      </w:tr>
      <w:tr>
        <w:trPr>
          <w:trHeight w:val="221"/>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Deferred revenue</w:t>
            </w:r>
          </w:p>
        </w:tc>
        <w:tc>
          <w:tcPr>
            <w:tcW w:w="2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752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1,088</w:t>
            </w:r>
          </w:p>
        </w:tc>
        <w:tc>
          <w:tcPr>
            <w:tcW w:w="100" w:type="dxa"/>
            <w:vAlign w:val="bottom"/>
            <w:shd w:val="clear" w:color="auto" w:fill="CFF0FC"/>
          </w:tcPr>
          <w:p>
            <w:pPr>
              <w:spacing w:after="0"/>
              <w:rPr>
                <w:sz w:val="19"/>
                <w:szCs w:val="19"/>
                <w:color w:val="auto"/>
              </w:rPr>
            </w:pPr>
          </w:p>
        </w:tc>
      </w:tr>
      <w:tr>
        <w:trPr>
          <w:trHeight w:val="221"/>
        </w:trPr>
        <w:tc>
          <w:tcPr>
            <w:tcW w:w="5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25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3,374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3,575</w:t>
            </w:r>
          </w:p>
        </w:tc>
        <w:tc>
          <w:tcPr>
            <w:tcW w:w="100" w:type="dxa"/>
            <w:vAlign w:val="bottom"/>
            <w:tcBorders>
              <w:bottom w:val="single" w:sz="8" w:color="CFF0FC"/>
            </w:tcBorders>
          </w:tcPr>
          <w:p>
            <w:pPr>
              <w:spacing w:after="0"/>
              <w:rPr>
                <w:sz w:val="19"/>
                <w:szCs w:val="19"/>
                <w:color w:val="auto"/>
              </w:rPr>
            </w:pPr>
          </w:p>
        </w:tc>
      </w:tr>
      <w:tr>
        <w:trPr>
          <w:trHeight w:val="214"/>
        </w:trPr>
        <w:tc>
          <w:tcPr>
            <w:tcW w:w="53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3"/>
              <w:spacing w:after="0"/>
              <w:rPr>
                <w:sz w:val="20"/>
                <w:szCs w:val="20"/>
                <w:color w:val="auto"/>
              </w:rPr>
            </w:pPr>
            <w:r>
              <w:rPr>
                <w:rFonts w:ascii="Arial" w:cs="Arial" w:eastAsia="Arial" w:hAnsi="Arial"/>
                <w:sz w:val="17"/>
                <w:szCs w:val="17"/>
                <w:b w:val="1"/>
                <w:bCs w:val="1"/>
                <w:color w:val="auto"/>
                <w:w w:val="84"/>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10,036</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10,016</w:t>
            </w:r>
          </w:p>
        </w:tc>
        <w:tc>
          <w:tcPr>
            <w:tcW w:w="100" w:type="dxa"/>
            <w:vAlign w:val="bottom"/>
            <w:shd w:val="clear" w:color="auto" w:fill="CFF0FC"/>
          </w:tcPr>
          <w:p>
            <w:pPr>
              <w:spacing w:after="0"/>
              <w:rPr>
                <w:sz w:val="18"/>
                <w:szCs w:val="18"/>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Schlumberger management is responsible for establishing and maintaining adequate internal control over financial reporting as defined in Rule 13a–15(f) of the Securities Exchange Act of 1934, as amended (the “Exchange Act”). Schlumberger’s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Schlumberger management assessed the effectiveness of its internal control over financial reporting as of December 31, 2017. In making this assessment, it used the criteria set forth in 2013 by the Committee of Sponsoring Organizations of the Treadway Commission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Based on this assessment Schlumberger’s management has concluded that, as of December 31, 2017, its internal control over financial reporting is effective based on those criteria.</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effectiveness of Schlumberger’s internal control over financial reporting as of December 31, 2017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of Schlumberger Limited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We have audited the accompanying consolidated balance sheets of Schlumberger Limited and its subsidiaries (the “Company”) as of December 31, 2017 and 2016, and the related consolidated statements of income (loss), comprehensive income (loss), stockholders’ equity and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both"/>
        <w:spacing w:after="0" w:line="27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29038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0385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January 24, 2018</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auto"/>
        </w:rPr>
        <w:t>Quarterly Results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Schlumberger’s results by quarter for the years ended December 31, 2017 and 2016.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gridSpan w:val="6"/>
          </w:tcPr>
          <w:p>
            <w:pPr>
              <w:jc w:val="right"/>
              <w:spacing w:after="0"/>
              <w:rPr>
                <w:sz w:val="20"/>
                <w:szCs w:val="20"/>
                <w:color w:val="auto"/>
              </w:rPr>
            </w:pPr>
            <w:r>
              <w:rPr>
                <w:rFonts w:ascii="Arial" w:cs="Arial" w:eastAsia="Arial" w:hAnsi="Arial"/>
                <w:sz w:val="14"/>
                <w:szCs w:val="14"/>
                <w:i w:val="1"/>
                <w:iCs w:val="1"/>
                <w:color w:val="auto"/>
                <w:w w:val="88"/>
              </w:rPr>
              <w:t>(Stated in millions, except per share am</w:t>
            </w:r>
          </w:p>
        </w:tc>
      </w:tr>
      <w:tr>
        <w:trPr>
          <w:trHeight w:val="428"/>
        </w:trPr>
        <w:tc>
          <w:tcPr>
            <w:tcW w:w="3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7"/>
                <w:szCs w:val="17"/>
                <w:color w:val="auto"/>
                <w:w w:val="92"/>
              </w:rPr>
              <w:t>Net Income (Loss)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4"/>
          </w:tcPr>
          <w:p>
            <w:pPr>
              <w:jc w:val="right"/>
              <w:ind w:right="32"/>
              <w:spacing w:after="0"/>
              <w:rPr>
                <w:sz w:val="20"/>
                <w:szCs w:val="20"/>
                <w:color w:val="auto"/>
              </w:rPr>
            </w:pPr>
            <w:r>
              <w:rPr>
                <w:rFonts w:ascii="Arial" w:cs="Arial" w:eastAsia="Arial" w:hAnsi="Arial"/>
                <w:sz w:val="17"/>
                <w:szCs w:val="17"/>
                <w:color w:val="auto"/>
              </w:rPr>
              <w:t>Earnings per Share of</w:t>
            </w:r>
          </w:p>
        </w:tc>
      </w:tr>
      <w:tr>
        <w:trPr>
          <w:trHeight w:val="234"/>
        </w:trPr>
        <w:tc>
          <w:tcPr>
            <w:tcW w:w="3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13"/>
              <w:spacing w:after="0"/>
              <w:rPr>
                <w:sz w:val="20"/>
                <w:szCs w:val="20"/>
                <w:color w:val="auto"/>
              </w:rPr>
            </w:pPr>
            <w:r>
              <w:rPr>
                <w:rFonts w:ascii="Arial" w:cs="Arial" w:eastAsia="Arial" w:hAnsi="Arial"/>
                <w:sz w:val="17"/>
                <w:szCs w:val="17"/>
                <w:color w:val="auto"/>
              </w:rPr>
              <w:t>Gross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Attributable to</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7"/>
                <w:szCs w:val="17"/>
                <w:color w:val="auto"/>
              </w:rPr>
              <w:t xml:space="preserve">Schlumberger </w:t>
            </w:r>
            <w:r>
              <w:rPr>
                <w:rFonts w:ascii="Arial" w:cs="Arial" w:eastAsia="Arial" w:hAnsi="Arial"/>
                <w:sz w:val="14"/>
                <w:szCs w:val="14"/>
                <w:color w:val="auto"/>
              </w:rPr>
              <w:t>(2)</w:t>
            </w:r>
          </w:p>
        </w:tc>
      </w:tr>
      <w:tr>
        <w:trPr>
          <w:trHeight w:val="227"/>
        </w:trPr>
        <w:tc>
          <w:tcPr>
            <w:tcW w:w="3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Arial" w:cs="Arial" w:eastAsia="Arial" w:hAnsi="Arial"/>
                <w:sz w:val="17"/>
                <w:szCs w:val="17"/>
                <w:color w:val="auto"/>
                <w:w w:val="88"/>
              </w:rPr>
              <w:t xml:space="preserve">Revenue </w:t>
            </w:r>
            <w:r>
              <w:rPr>
                <w:rFonts w:ascii="Arial" w:cs="Arial" w:eastAsia="Arial" w:hAnsi="Arial"/>
                <w:sz w:val="14"/>
                <w:szCs w:val="14"/>
                <w:color w:val="auto"/>
                <w:w w:val="88"/>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7"/>
                <w:szCs w:val="17"/>
                <w:color w:val="auto"/>
                <w:w w:val="95"/>
              </w:rPr>
              <w:t xml:space="preserve">Margin </w:t>
            </w:r>
            <w:r>
              <w:rPr>
                <w:rFonts w:ascii="Arial" w:cs="Arial" w:eastAsia="Arial" w:hAnsi="Arial"/>
                <w:sz w:val="14"/>
                <w:szCs w:val="14"/>
                <w:color w:val="auto"/>
                <w:w w:val="95"/>
              </w:rPr>
              <w:t>(1), (2)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Schlumberger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Basic</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Dilute</w:t>
            </w:r>
          </w:p>
        </w:tc>
      </w:tr>
      <w:tr>
        <w:trPr>
          <w:trHeight w:val="214"/>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Quarters 2017</w:t>
            </w:r>
          </w:p>
        </w:tc>
        <w:tc>
          <w:tcPr>
            <w:tcW w:w="20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r>
      <w:tr>
        <w:trPr>
          <w:trHeight w:val="221"/>
        </w:trPr>
        <w:tc>
          <w:tcPr>
            <w:tcW w:w="3100" w:type="dxa"/>
            <w:vAlign w:val="bottom"/>
          </w:tcPr>
          <w:p>
            <w:pPr>
              <w:ind w:left="240"/>
              <w:spacing w:after="0"/>
              <w:rPr>
                <w:sz w:val="20"/>
                <w:szCs w:val="20"/>
                <w:color w:val="auto"/>
              </w:rPr>
            </w:pPr>
            <w:r>
              <w:rPr>
                <w:rFonts w:ascii="Arial" w:cs="Arial" w:eastAsia="Arial" w:hAnsi="Arial"/>
                <w:sz w:val="17"/>
                <w:szCs w:val="17"/>
                <w:b w:val="1"/>
                <w:bCs w:val="1"/>
                <w:color w:val="auto"/>
              </w:rPr>
              <w:t xml:space="preserve">First </w:t>
            </w:r>
            <w:r>
              <w:rPr>
                <w:rFonts w:ascii="Arial" w:cs="Arial" w:eastAsia="Arial" w:hAnsi="Arial"/>
                <w:sz w:val="14"/>
                <w:szCs w:val="14"/>
                <w:b w:val="1"/>
                <w:bCs w:val="1"/>
                <w:color w:val="auto"/>
              </w:rPr>
              <w:t>(3)</w:t>
            </w:r>
          </w:p>
        </w:tc>
        <w:tc>
          <w:tcPr>
            <w:tcW w:w="21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6,894</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818</w:t>
            </w:r>
          </w:p>
        </w:tc>
        <w:tc>
          <w:tcPr>
            <w:tcW w:w="3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279</w:t>
            </w:r>
          </w:p>
        </w:tc>
        <w:tc>
          <w:tcPr>
            <w:tcW w:w="60" w:type="dxa"/>
            <w:vAlign w:val="bottom"/>
          </w:tcPr>
          <w:p>
            <w:pPr>
              <w:spacing w:after="0"/>
              <w:rPr>
                <w:sz w:val="19"/>
                <w:szCs w:val="19"/>
                <w:color w:val="auto"/>
              </w:rPr>
            </w:pPr>
          </w:p>
        </w:tc>
        <w:tc>
          <w:tcPr>
            <w:tcW w:w="380" w:type="dxa"/>
            <w:vAlign w:val="bottom"/>
            <w:gridSpan w:val="2"/>
          </w:tcPr>
          <w:p>
            <w:pPr>
              <w:jc w:val="right"/>
              <w:ind w:right="6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0.20</w:t>
            </w:r>
          </w:p>
        </w:tc>
        <w:tc>
          <w:tcPr>
            <w:tcW w:w="220" w:type="dxa"/>
            <w:vAlign w:val="bottom"/>
          </w:tcPr>
          <w:p>
            <w:pPr>
              <w:spacing w:after="0"/>
              <w:rPr>
                <w:sz w:val="19"/>
                <w:szCs w:val="19"/>
                <w:color w:val="auto"/>
              </w:rPr>
            </w:pPr>
          </w:p>
        </w:tc>
        <w:tc>
          <w:tcPr>
            <w:tcW w:w="760" w:type="dxa"/>
            <w:vAlign w:val="bottom"/>
            <w:gridSpan w:val="2"/>
          </w:tcPr>
          <w:p>
            <w:pPr>
              <w:jc w:val="right"/>
              <w:ind w:right="612"/>
              <w:spacing w:after="0"/>
              <w:rPr>
                <w:sz w:val="20"/>
                <w:szCs w:val="20"/>
                <w:color w:val="auto"/>
              </w:rPr>
            </w:pPr>
            <w:r>
              <w:rPr>
                <w:rFonts w:ascii="Arial" w:cs="Arial" w:eastAsia="Arial" w:hAnsi="Arial"/>
                <w:sz w:val="15"/>
                <w:szCs w:val="15"/>
                <w:b w:val="1"/>
                <w:bCs w:val="1"/>
                <w:color w:val="auto"/>
                <w:w w:val="71"/>
              </w:rPr>
              <w:t>$</w:t>
            </w:r>
          </w:p>
        </w:tc>
      </w:tr>
      <w:tr>
        <w:trPr>
          <w:trHeight w:val="221"/>
        </w:trPr>
        <w:tc>
          <w:tcPr>
            <w:tcW w:w="310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4"/>
                <w:szCs w:val="14"/>
                <w:b w:val="1"/>
                <w:bCs w:val="1"/>
                <w:color w:val="auto"/>
              </w:rPr>
              <w:t>(4)</w:t>
            </w: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7,464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(74)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(0.05)</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21"/>
        </w:trPr>
        <w:tc>
          <w:tcPr>
            <w:tcW w:w="3100" w:type="dxa"/>
            <w:vAlign w:val="bottom"/>
          </w:tcPr>
          <w:p>
            <w:pPr>
              <w:ind w:left="240"/>
              <w:spacing w:after="0"/>
              <w:rPr>
                <w:sz w:val="20"/>
                <w:szCs w:val="20"/>
                <w:color w:val="auto"/>
              </w:rPr>
            </w:pPr>
            <w:r>
              <w:rPr>
                <w:rFonts w:ascii="Arial" w:cs="Arial" w:eastAsia="Arial" w:hAnsi="Arial"/>
                <w:sz w:val="17"/>
                <w:szCs w:val="17"/>
                <w:b w:val="1"/>
                <w:bCs w:val="1"/>
                <w:color w:val="auto"/>
              </w:rPr>
              <w:t xml:space="preserve">Third </w:t>
            </w:r>
            <w:r>
              <w:rPr>
                <w:rFonts w:ascii="Arial" w:cs="Arial" w:eastAsia="Arial" w:hAnsi="Arial"/>
                <w:sz w:val="14"/>
                <w:szCs w:val="14"/>
                <w:b w:val="1"/>
                <w:bCs w:val="1"/>
                <w:color w:val="auto"/>
              </w:rPr>
              <w:t>(5)</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7,905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545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0.39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1"/>
        </w:trPr>
        <w:tc>
          <w:tcPr>
            <w:tcW w:w="310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 xml:space="preserve">Fourth </w:t>
            </w:r>
            <w:r>
              <w:rPr>
                <w:rFonts w:ascii="Arial" w:cs="Arial" w:eastAsia="Arial" w:hAnsi="Arial"/>
                <w:sz w:val="14"/>
                <w:szCs w:val="14"/>
                <w:b w:val="1"/>
                <w:bCs w:val="1"/>
                <w:color w:val="auto"/>
              </w:rPr>
              <w:t>(6)</w:t>
            </w: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8,179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(2,255)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(1.63)</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54"/>
        </w:trPr>
        <w:tc>
          <w:tcPr>
            <w:tcW w:w="3100" w:type="dxa"/>
            <w:vAlign w:val="bottom"/>
            <w:tcBorders>
              <w:bottom w:val="single" w:sz="8" w:color="CFF0FC"/>
            </w:tcBorders>
          </w:tcPr>
          <w:p>
            <w:pPr>
              <w:spacing w:after="0"/>
              <w:rPr>
                <w:sz w:val="22"/>
                <w:szCs w:val="22"/>
                <w:color w:val="auto"/>
              </w:rPr>
            </w:pPr>
          </w:p>
        </w:tc>
        <w:tc>
          <w:tcPr>
            <w:tcW w:w="20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30,440</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3,897</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(1,505)</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w w:val="71"/>
              </w:rPr>
              <w:t>$</w:t>
            </w:r>
          </w:p>
        </w:tc>
      </w:tr>
      <w:tr>
        <w:trPr>
          <w:trHeight w:val="200"/>
        </w:trPr>
        <w:tc>
          <w:tcPr>
            <w:tcW w:w="3100" w:type="dxa"/>
            <w:vAlign w:val="bottom"/>
            <w:shd w:val="clear" w:color="auto" w:fill="CFF0FC"/>
          </w:tcPr>
          <w:p>
            <w:pPr>
              <w:spacing w:after="0"/>
              <w:rPr>
                <w:sz w:val="20"/>
                <w:szCs w:val="20"/>
                <w:color w:val="auto"/>
              </w:rPr>
            </w:pPr>
            <w:r>
              <w:rPr>
                <w:rFonts w:ascii="Arial" w:cs="Arial" w:eastAsia="Arial" w:hAnsi="Arial"/>
                <w:sz w:val="17"/>
                <w:szCs w:val="17"/>
                <w:color w:val="auto"/>
              </w:rPr>
              <w:t>Quarters 2016</w:t>
            </w: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21"/>
        </w:trPr>
        <w:tc>
          <w:tcPr>
            <w:tcW w:w="3100" w:type="dxa"/>
            <w:vAlign w:val="bottom"/>
          </w:tcPr>
          <w:p>
            <w:pPr>
              <w:ind w:left="240"/>
              <w:spacing w:after="0"/>
              <w:rPr>
                <w:sz w:val="20"/>
                <w:szCs w:val="20"/>
                <w:color w:val="auto"/>
              </w:rPr>
            </w:pPr>
            <w:r>
              <w:rPr>
                <w:rFonts w:ascii="Arial" w:cs="Arial" w:eastAsia="Arial" w:hAnsi="Arial"/>
                <w:sz w:val="17"/>
                <w:szCs w:val="17"/>
                <w:color w:val="auto"/>
              </w:rPr>
              <w:t>First</w:t>
            </w: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6,520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1,059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500</w:t>
            </w:r>
          </w:p>
        </w:tc>
        <w:tc>
          <w:tcPr>
            <w:tcW w:w="60" w:type="dxa"/>
            <w:vAlign w:val="bottom"/>
          </w:tcPr>
          <w:p>
            <w:pPr>
              <w:spacing w:after="0"/>
              <w:rPr>
                <w:sz w:val="19"/>
                <w:szCs w:val="19"/>
                <w:color w:val="auto"/>
              </w:rPr>
            </w:pPr>
          </w:p>
        </w:tc>
        <w:tc>
          <w:tcPr>
            <w:tcW w:w="38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0.40</w:t>
            </w:r>
          </w:p>
        </w:tc>
        <w:tc>
          <w:tcPr>
            <w:tcW w:w="220" w:type="dxa"/>
            <w:vAlign w:val="bottom"/>
          </w:tcPr>
          <w:p>
            <w:pPr>
              <w:spacing w:after="0"/>
              <w:rPr>
                <w:sz w:val="19"/>
                <w:szCs w:val="19"/>
                <w:color w:val="auto"/>
              </w:rPr>
            </w:pPr>
          </w:p>
        </w:tc>
        <w:tc>
          <w:tcPr>
            <w:tcW w:w="760" w:type="dxa"/>
            <w:vAlign w:val="bottom"/>
            <w:gridSpan w:val="2"/>
          </w:tcPr>
          <w:p>
            <w:pPr>
              <w:jc w:val="right"/>
              <w:ind w:right="612"/>
              <w:spacing w:after="0"/>
              <w:rPr>
                <w:sz w:val="20"/>
                <w:szCs w:val="20"/>
                <w:color w:val="auto"/>
              </w:rPr>
            </w:pPr>
            <w:r>
              <w:rPr>
                <w:rFonts w:ascii="Arial" w:cs="Arial" w:eastAsia="Arial" w:hAnsi="Arial"/>
                <w:sz w:val="15"/>
                <w:szCs w:val="15"/>
                <w:color w:val="auto"/>
                <w:w w:val="71"/>
              </w:rPr>
              <w:t>$</w:t>
            </w:r>
          </w:p>
        </w:tc>
      </w:tr>
      <w:tr>
        <w:trPr>
          <w:trHeight w:val="221"/>
        </w:trPr>
        <w:tc>
          <w:tcPr>
            <w:tcW w:w="31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Second </w:t>
            </w:r>
            <w:r>
              <w:rPr>
                <w:rFonts w:ascii="Arial" w:cs="Arial" w:eastAsia="Arial" w:hAnsi="Arial"/>
                <w:sz w:val="14"/>
                <w:szCs w:val="14"/>
                <w:color w:val="auto"/>
              </w:rPr>
              <w:t>(7)</w:t>
            </w: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7,164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(2,159)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(1.56)</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21"/>
        </w:trPr>
        <w:tc>
          <w:tcPr>
            <w:tcW w:w="3100" w:type="dxa"/>
            <w:vAlign w:val="bottom"/>
          </w:tcPr>
          <w:p>
            <w:pPr>
              <w:ind w:left="240"/>
              <w:spacing w:after="0"/>
              <w:rPr>
                <w:sz w:val="20"/>
                <w:szCs w:val="20"/>
                <w:color w:val="auto"/>
              </w:rPr>
            </w:pPr>
            <w:r>
              <w:rPr>
                <w:rFonts w:ascii="Arial" w:cs="Arial" w:eastAsia="Arial" w:hAnsi="Arial"/>
                <w:sz w:val="17"/>
                <w:szCs w:val="17"/>
                <w:color w:val="auto"/>
              </w:rPr>
              <w:t xml:space="preserve">Third </w:t>
            </w:r>
            <w:r>
              <w:rPr>
                <w:rFonts w:ascii="Arial" w:cs="Arial" w:eastAsia="Arial" w:hAnsi="Arial"/>
                <w:sz w:val="14"/>
                <w:szCs w:val="14"/>
                <w:color w:val="auto"/>
              </w:rPr>
              <w:t>(8)</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1"/>
        </w:trPr>
        <w:tc>
          <w:tcPr>
            <w:tcW w:w="31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Fourth </w:t>
            </w:r>
            <w:r>
              <w:rPr>
                <w:rFonts w:ascii="Arial" w:cs="Arial" w:eastAsia="Arial" w:hAnsi="Arial"/>
                <w:sz w:val="14"/>
                <w:szCs w:val="14"/>
                <w:color w:val="auto"/>
              </w:rPr>
              <w:t>(9)</w:t>
            </w: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(0.15)</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4"/>
        </w:trPr>
        <w:tc>
          <w:tcPr>
            <w:tcW w:w="310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27,810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3,401</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(1,687)</w:t>
            </w:r>
          </w:p>
        </w:tc>
        <w:tc>
          <w:tcPr>
            <w:tcW w:w="38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(1.24)</w:t>
            </w:r>
          </w:p>
        </w:tc>
        <w:tc>
          <w:tcPr>
            <w:tcW w:w="760" w:type="dxa"/>
            <w:vAlign w:val="bottom"/>
            <w:gridSpan w:val="2"/>
          </w:tcPr>
          <w:p>
            <w:pPr>
              <w:jc w:val="right"/>
              <w:ind w:right="612"/>
              <w:spacing w:after="0"/>
              <w:rPr>
                <w:sz w:val="20"/>
                <w:szCs w:val="20"/>
                <w:color w:val="auto"/>
              </w:rPr>
            </w:pPr>
            <w:r>
              <w:rPr>
                <w:rFonts w:ascii="Arial" w:cs="Arial" w:eastAsia="Arial" w:hAnsi="Arial"/>
                <w:sz w:val="15"/>
                <w:szCs w:val="15"/>
                <w:color w:val="auto"/>
                <w:w w:val="71"/>
              </w:rPr>
              <w:t>$</w:t>
            </w:r>
          </w:p>
        </w:tc>
      </w:tr>
      <w:tr>
        <w:trPr>
          <w:trHeight w:val="20"/>
        </w:trPr>
        <w:tc>
          <w:tcPr>
            <w:tcW w:w="3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80" w:hanging="376"/>
        <w:spacing w:after="0"/>
        <w:tabs>
          <w:tab w:leader="none" w:pos="380" w:val="left"/>
        </w:tabs>
        <w:numPr>
          <w:ilvl w:val="0"/>
          <w:numId w:val="54"/>
        </w:numPr>
        <w:rPr>
          <w:rFonts w:ascii="Arial" w:cs="Arial" w:eastAsia="Arial" w:hAnsi="Arial"/>
          <w:sz w:val="25"/>
          <w:szCs w:val="25"/>
          <w:color w:val="auto"/>
          <w:vertAlign w:val="superscript"/>
        </w:rPr>
      </w:pPr>
      <w:r>
        <w:rPr>
          <w:rFonts w:ascii="Arial" w:cs="Arial" w:eastAsia="Arial" w:hAnsi="Arial"/>
          <w:sz w:val="17"/>
          <w:szCs w:val="17"/>
          <w:color w:val="auto"/>
        </w:rPr>
        <w:t xml:space="preserve">Gross margin equals </w:t>
      </w:r>
      <w:r>
        <w:rPr>
          <w:rFonts w:ascii="Arial" w:cs="Arial" w:eastAsia="Arial" w:hAnsi="Arial"/>
          <w:sz w:val="17"/>
          <w:szCs w:val="17"/>
          <w:i w:val="1"/>
          <w:iCs w:val="1"/>
          <w:color w:val="auto"/>
        </w:rPr>
        <w:t>Total Revenue</w:t>
      </w:r>
      <w:r>
        <w:rPr>
          <w:rFonts w:ascii="Arial" w:cs="Arial" w:eastAsia="Arial" w:hAnsi="Arial"/>
          <w:sz w:val="17"/>
          <w:szCs w:val="17"/>
          <w:color w:val="auto"/>
        </w:rPr>
        <w:t xml:space="preserve"> less </w:t>
      </w:r>
      <w:r>
        <w:rPr>
          <w:rFonts w:ascii="Arial" w:cs="Arial" w:eastAsia="Arial" w:hAnsi="Arial"/>
          <w:sz w:val="17"/>
          <w:szCs w:val="17"/>
          <w:i w:val="1"/>
          <w:iCs w:val="1"/>
          <w:color w:val="auto"/>
        </w:rPr>
        <w:t>Cost of Services</w:t>
      </w:r>
      <w:r>
        <w:rPr>
          <w:rFonts w:ascii="Arial" w:cs="Arial" w:eastAsia="Arial" w:hAnsi="Arial"/>
          <w:sz w:val="17"/>
          <w:szCs w:val="17"/>
          <w:color w:val="auto"/>
        </w:rPr>
        <w:t xml:space="preserve"> and </w:t>
      </w:r>
      <w:r>
        <w:rPr>
          <w:rFonts w:ascii="Arial" w:cs="Arial" w:eastAsia="Arial" w:hAnsi="Arial"/>
          <w:sz w:val="17"/>
          <w:szCs w:val="17"/>
          <w:i w:val="1"/>
          <w:iCs w:val="1"/>
          <w:color w:val="auto"/>
        </w:rPr>
        <w:t>Cost of Sales</w:t>
      </w:r>
      <w:r>
        <w:rPr>
          <w:rFonts w:ascii="Arial" w:cs="Arial" w:eastAsia="Arial" w:hAnsi="Arial"/>
          <w:sz w:val="17"/>
          <w:szCs w:val="17"/>
          <w:color w:val="auto"/>
        </w:rPr>
        <w:t>.</w:t>
      </w:r>
    </w:p>
    <w:p>
      <w:pPr>
        <w:spacing w:after="0" w:line="1" w:lineRule="exact"/>
        <w:rPr>
          <w:rFonts w:ascii="Arial" w:cs="Arial" w:eastAsia="Arial" w:hAnsi="Arial"/>
          <w:sz w:val="25"/>
          <w:szCs w:val="25"/>
          <w:color w:val="auto"/>
          <w:vertAlign w:val="superscript"/>
        </w:rPr>
      </w:pPr>
    </w:p>
    <w:p>
      <w:pPr>
        <w:ind w:left="380" w:hanging="376"/>
        <w:spacing w:after="0" w:line="187" w:lineRule="auto"/>
        <w:tabs>
          <w:tab w:leader="none" w:pos="380" w:val="left"/>
        </w:tabs>
        <w:numPr>
          <w:ilvl w:val="0"/>
          <w:numId w:val="54"/>
        </w:numPr>
        <w:rPr>
          <w:rFonts w:ascii="Arial" w:cs="Arial" w:eastAsia="Arial" w:hAnsi="Arial"/>
          <w:sz w:val="23"/>
          <w:szCs w:val="23"/>
          <w:color w:val="auto"/>
          <w:vertAlign w:val="superscript"/>
        </w:rPr>
      </w:pPr>
      <w:r>
        <w:rPr>
          <w:rFonts w:ascii="Arial" w:cs="Arial" w:eastAsia="Arial" w:hAnsi="Arial"/>
          <w:sz w:val="16"/>
          <w:szCs w:val="16"/>
          <w:color w:val="auto"/>
        </w:rPr>
        <w:t>Amounts may not add due to rounding.</w:t>
      </w:r>
    </w:p>
    <w:p>
      <w:pPr>
        <w:spacing w:after="0" w:line="40" w:lineRule="exact"/>
        <w:rPr>
          <w:rFonts w:ascii="Arial" w:cs="Arial" w:eastAsia="Arial" w:hAnsi="Arial"/>
          <w:sz w:val="23"/>
          <w:szCs w:val="23"/>
          <w:color w:val="auto"/>
          <w:vertAlign w:val="superscript"/>
        </w:rPr>
      </w:pPr>
    </w:p>
    <w:p>
      <w:pPr>
        <w:ind w:left="380" w:hanging="376"/>
        <w:spacing w:after="0" w:line="187" w:lineRule="auto"/>
        <w:tabs>
          <w:tab w:leader="none" w:pos="380" w:val="left"/>
        </w:tabs>
        <w:numPr>
          <w:ilvl w:val="0"/>
          <w:numId w:val="54"/>
        </w:numPr>
        <w:rPr>
          <w:rFonts w:ascii="Arial" w:cs="Arial" w:eastAsia="Arial" w:hAnsi="Arial"/>
          <w:sz w:val="23"/>
          <w:szCs w:val="23"/>
          <w:color w:val="auto"/>
          <w:vertAlign w:val="superscript"/>
        </w:rPr>
      </w:pPr>
      <w:r>
        <w:rPr>
          <w:rFonts w:ascii="Arial" w:cs="Arial" w:eastAsia="Arial" w:hAnsi="Arial"/>
          <w:sz w:val="16"/>
          <w:szCs w:val="16"/>
          <w:color w:val="auto"/>
        </w:rPr>
        <w:t>Net income in the first quarter of 2017 includes after-tax and noncontrolling interest charges of $68 million.</w:t>
      </w:r>
    </w:p>
    <w:p>
      <w:pPr>
        <w:spacing w:after="0" w:line="40" w:lineRule="exact"/>
        <w:rPr>
          <w:rFonts w:ascii="Arial" w:cs="Arial" w:eastAsia="Arial" w:hAnsi="Arial"/>
          <w:sz w:val="23"/>
          <w:szCs w:val="23"/>
          <w:color w:val="auto"/>
          <w:vertAlign w:val="superscript"/>
        </w:rPr>
      </w:pPr>
    </w:p>
    <w:p>
      <w:pPr>
        <w:ind w:left="380" w:hanging="376"/>
        <w:spacing w:after="0" w:line="187" w:lineRule="auto"/>
        <w:tabs>
          <w:tab w:leader="none" w:pos="380" w:val="left"/>
        </w:tabs>
        <w:numPr>
          <w:ilvl w:val="0"/>
          <w:numId w:val="54"/>
        </w:numPr>
        <w:rPr>
          <w:rFonts w:ascii="Arial" w:cs="Arial" w:eastAsia="Arial" w:hAnsi="Arial"/>
          <w:sz w:val="23"/>
          <w:szCs w:val="23"/>
          <w:color w:val="auto"/>
          <w:vertAlign w:val="superscript"/>
        </w:rPr>
      </w:pPr>
      <w:r>
        <w:rPr>
          <w:rFonts w:ascii="Arial" w:cs="Arial" w:eastAsia="Arial" w:hAnsi="Arial"/>
          <w:sz w:val="16"/>
          <w:szCs w:val="16"/>
          <w:color w:val="auto"/>
        </w:rPr>
        <w:t>Net income in the second quarter of 2017 includes after-tax and noncontrolling interest charges of $631 million.</w:t>
      </w:r>
    </w:p>
    <w:p>
      <w:pPr>
        <w:spacing w:after="0" w:line="40" w:lineRule="exact"/>
        <w:rPr>
          <w:rFonts w:ascii="Arial" w:cs="Arial" w:eastAsia="Arial" w:hAnsi="Arial"/>
          <w:sz w:val="23"/>
          <w:szCs w:val="23"/>
          <w:color w:val="auto"/>
          <w:vertAlign w:val="superscript"/>
        </w:rPr>
      </w:pPr>
    </w:p>
    <w:p>
      <w:pPr>
        <w:ind w:left="380" w:hanging="376"/>
        <w:spacing w:after="0" w:line="187" w:lineRule="auto"/>
        <w:tabs>
          <w:tab w:leader="none" w:pos="380" w:val="left"/>
        </w:tabs>
        <w:numPr>
          <w:ilvl w:val="0"/>
          <w:numId w:val="54"/>
        </w:numPr>
        <w:rPr>
          <w:rFonts w:ascii="Arial" w:cs="Arial" w:eastAsia="Arial" w:hAnsi="Arial"/>
          <w:sz w:val="23"/>
          <w:szCs w:val="23"/>
          <w:color w:val="auto"/>
          <w:vertAlign w:val="superscript"/>
        </w:rPr>
      </w:pPr>
      <w:r>
        <w:rPr>
          <w:rFonts w:ascii="Arial" w:cs="Arial" w:eastAsia="Arial" w:hAnsi="Arial"/>
          <w:sz w:val="16"/>
          <w:szCs w:val="16"/>
          <w:color w:val="auto"/>
        </w:rPr>
        <w:t>Net income in the third quarter of 2017 includes after-tax charges of $36 million.</w:t>
      </w:r>
    </w:p>
    <w:p>
      <w:pPr>
        <w:spacing w:after="0" w:line="40" w:lineRule="exact"/>
        <w:rPr>
          <w:rFonts w:ascii="Arial" w:cs="Arial" w:eastAsia="Arial" w:hAnsi="Arial"/>
          <w:sz w:val="23"/>
          <w:szCs w:val="23"/>
          <w:color w:val="auto"/>
          <w:vertAlign w:val="superscript"/>
        </w:rPr>
      </w:pPr>
    </w:p>
    <w:p>
      <w:pPr>
        <w:ind w:left="380" w:hanging="376"/>
        <w:spacing w:after="0" w:line="187" w:lineRule="auto"/>
        <w:tabs>
          <w:tab w:leader="none" w:pos="380" w:val="left"/>
        </w:tabs>
        <w:numPr>
          <w:ilvl w:val="0"/>
          <w:numId w:val="54"/>
        </w:numPr>
        <w:rPr>
          <w:rFonts w:ascii="Arial" w:cs="Arial" w:eastAsia="Arial" w:hAnsi="Arial"/>
          <w:sz w:val="23"/>
          <w:szCs w:val="23"/>
          <w:color w:val="auto"/>
          <w:vertAlign w:val="superscript"/>
        </w:rPr>
      </w:pPr>
      <w:r>
        <w:rPr>
          <w:rFonts w:ascii="Arial" w:cs="Arial" w:eastAsia="Arial" w:hAnsi="Arial"/>
          <w:sz w:val="16"/>
          <w:szCs w:val="16"/>
          <w:color w:val="auto"/>
        </w:rPr>
        <w:t>Net income in the fourth quarter of 2017 includes after-tax charges of $2.923 billion.</w:t>
      </w:r>
    </w:p>
    <w:p>
      <w:pPr>
        <w:spacing w:after="0" w:line="40" w:lineRule="exact"/>
        <w:rPr>
          <w:rFonts w:ascii="Arial" w:cs="Arial" w:eastAsia="Arial" w:hAnsi="Arial"/>
          <w:sz w:val="23"/>
          <w:szCs w:val="23"/>
          <w:color w:val="auto"/>
          <w:vertAlign w:val="superscript"/>
        </w:rPr>
      </w:pPr>
    </w:p>
    <w:p>
      <w:pPr>
        <w:ind w:left="380" w:hanging="376"/>
        <w:spacing w:after="0" w:line="187" w:lineRule="auto"/>
        <w:tabs>
          <w:tab w:leader="none" w:pos="380" w:val="left"/>
        </w:tabs>
        <w:numPr>
          <w:ilvl w:val="0"/>
          <w:numId w:val="54"/>
        </w:numPr>
        <w:rPr>
          <w:rFonts w:ascii="Arial" w:cs="Arial" w:eastAsia="Arial" w:hAnsi="Arial"/>
          <w:sz w:val="23"/>
          <w:szCs w:val="23"/>
          <w:color w:val="auto"/>
          <w:vertAlign w:val="superscript"/>
        </w:rPr>
      </w:pPr>
      <w:r>
        <w:rPr>
          <w:rFonts w:ascii="Arial" w:cs="Arial" w:eastAsia="Arial" w:hAnsi="Arial"/>
          <w:sz w:val="16"/>
          <w:szCs w:val="16"/>
          <w:color w:val="auto"/>
        </w:rPr>
        <w:t>Net income in the second quarter of 2016 includes after-tax charges of $2.476 billion.</w:t>
      </w:r>
    </w:p>
    <w:p>
      <w:pPr>
        <w:spacing w:after="0" w:line="206" w:lineRule="auto"/>
        <w:tabs>
          <w:tab w:leader="none" w:pos="360" w:val="left"/>
        </w:tabs>
        <w:rPr>
          <w:sz w:val="20"/>
          <w:szCs w:val="20"/>
          <w:color w:val="auto"/>
        </w:rPr>
      </w:pPr>
      <w:r>
        <w:rPr>
          <w:rFonts w:ascii="Arial" w:cs="Arial" w:eastAsia="Arial" w:hAnsi="Arial"/>
          <w:sz w:val="25"/>
          <w:szCs w:val="25"/>
          <w:color w:val="auto"/>
          <w:vertAlign w:val="superscript"/>
        </w:rPr>
        <w:t>(8</w:t>
      </w:r>
      <w:r>
        <w:rPr>
          <w:sz w:val="20"/>
          <w:szCs w:val="20"/>
          <w:color w:val="auto"/>
        </w:rPr>
        <w:tab/>
      </w:r>
      <w:r>
        <w:rPr>
          <w:rFonts w:ascii="Arial" w:cs="Arial" w:eastAsia="Arial" w:hAnsi="Arial"/>
          <w:sz w:val="17"/>
          <w:szCs w:val="17"/>
          <w:color w:val="auto"/>
        </w:rPr>
        <w:t>Net income in the third quarter of 2016 includes after-tax charges of $176 million.</w:t>
      </w:r>
    </w:p>
    <w:p>
      <w:pPr>
        <w:ind w:left="380" w:hanging="376"/>
        <w:spacing w:after="0" w:line="206" w:lineRule="auto"/>
        <w:tabs>
          <w:tab w:leader="none" w:pos="380" w:val="left"/>
        </w:tabs>
        <w:numPr>
          <w:ilvl w:val="0"/>
          <w:numId w:val="55"/>
        </w:numPr>
        <w:rPr>
          <w:rFonts w:ascii="Arial" w:cs="Arial" w:eastAsia="Arial" w:hAnsi="Arial"/>
          <w:sz w:val="25"/>
          <w:szCs w:val="25"/>
          <w:color w:val="auto"/>
          <w:vertAlign w:val="superscript"/>
        </w:rPr>
      </w:pPr>
      <w:r>
        <w:rPr>
          <w:rFonts w:ascii="Arial" w:cs="Arial" w:eastAsia="Arial" w:hAnsi="Arial"/>
          <w:sz w:val="17"/>
          <w:szCs w:val="17"/>
          <w:color w:val="auto"/>
        </w:rPr>
        <w:t>Net income in the fourth quarter of 2016 includes after-tax charges of $583 million.</w:t>
      </w:r>
    </w:p>
    <w:p>
      <w:pPr>
        <w:spacing w:after="0" w:line="200" w:lineRule="exact"/>
        <w:rPr>
          <w:sz w:val="20"/>
          <w:szCs w:val="20"/>
          <w:color w:val="auto"/>
        </w:rPr>
      </w:pPr>
    </w:p>
    <w:p>
      <w:pPr>
        <w:spacing w:after="0" w:line="204" w:lineRule="exact"/>
        <w:rPr>
          <w:sz w:val="20"/>
          <w:szCs w:val="20"/>
          <w:color w:val="auto"/>
        </w:rPr>
      </w:pPr>
    </w:p>
    <w:p>
      <w:pPr>
        <w:ind w:left="320" w:hanging="303"/>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Mark of Schlumberger</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 Changes in and Disagreements with Accountants on Accounting and Financial Disclosure.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9A. Controls and Procedures.</w:t>
      </w:r>
    </w:p>
    <w:p>
      <w:pPr>
        <w:spacing w:after="0" w:line="122" w:lineRule="exact"/>
        <w:rPr>
          <w:sz w:val="20"/>
          <w:szCs w:val="20"/>
          <w:color w:val="auto"/>
        </w:rPr>
      </w:pPr>
    </w:p>
    <w:p>
      <w:pPr>
        <w:jc w:val="both"/>
        <w:ind w:right="100"/>
        <w:spacing w:after="0" w:line="276"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so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fourth quarter of 2017 that has materially affected, or is reasonably likely to materially affect, Schlumberger’s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auto"/>
        </w:rPr>
        <w:t>Item 9B. Other Information.</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59"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Schlumberger’s residual transactions or dealings with the government of Iran during 2017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fourth quarter of 2016, a non-US subsidiary entered into a memorandum of understanding (“MOU”) with NIOC relating to the non-disclosure of data required for the technical evaluation of an oilfield project. In the first quarter of 2017, the Schlumberger subsidiary provided NIOC with written notice that it was terminating the MOU, effective March 11, 2017. The MOU did not involve the provision of services. During the second quarter of 2017, and in furtherance of the termination of the MOU, the Schlumberger subsidiary had residual dealings with the NIOC consisting solely of the return of client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PART III</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10. Directors, Executive Officers and Corporate Governance of Schlumberger.</w:t>
      </w:r>
    </w:p>
    <w:p>
      <w:pPr>
        <w:spacing w:after="0" w:line="12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See “Item 1. Business – Executive Officers of Schlumberger” of this Report for Item 10 information regarding executive officers of Schlumberger. The information under the captions “Election of Directors,” “Section 16(a) Beneficial Ownership Reporting Compliance,” “Corporate Governance – Director Nominations” and “Corporate Governance – Board Committees – Audit Committee” in Schlumberger’s 2018 Proxy Statement is incorporated herein by reference.</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Schlumberger has a Code of Conduct that applies to all of its directors, officers and employees, including its principal executive, financial and accounting officers, or persons performing similar functions. Schlumberger’s Code of Conduct is posted on its website at www.slb.com/about/codeofconduct.aspx. Schlumberger intends to disclose future amendments to the Code of Conduct and any grant of a waiver from a provision of the Code of Conduct requiring disclosure under applicable SEC rules at www.slb.com/about/codeofconduct.aspx.</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11. Executive Compensation.</w:t>
      </w:r>
    </w:p>
    <w:p>
      <w:pPr>
        <w:spacing w:after="0" w:line="122" w:lineRule="exact"/>
        <w:rPr>
          <w:sz w:val="20"/>
          <w:szCs w:val="20"/>
          <w:color w:val="auto"/>
        </w:rPr>
      </w:pPr>
    </w:p>
    <w:p>
      <w:pPr>
        <w:jc w:val="both"/>
        <w:spacing w:after="0" w:line="355" w:lineRule="auto"/>
        <w:rPr>
          <w:sz w:val="20"/>
          <w:szCs w:val="20"/>
          <w:color w:val="auto"/>
        </w:rPr>
      </w:pPr>
      <w:r>
        <w:rPr>
          <w:rFonts w:ascii="Arial" w:cs="Arial" w:eastAsia="Arial" w:hAnsi="Arial"/>
          <w:sz w:val="15"/>
          <w:szCs w:val="15"/>
          <w:color w:val="auto"/>
        </w:rPr>
        <w:t>The information set forth under the captions “Compensation Discussion and Analysis,” “Executive Compensation Tables and Accompanying Narrative,” “Compensation Committee Report” and “Director Compensation in Fiscal Year 2017” in Schlumberger’s 2018 Proxy Statement is incorporated herein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12. Security Ownership of Certain Beneficial Owners and Management and Related Stockholder Matters.</w:t>
      </w:r>
    </w:p>
    <w:p>
      <w:pPr>
        <w:spacing w:after="0" w:line="122"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The information under the captions “Stock Ownership Information—Security Ownership by Certain Beneficial Owners,” “Stock Ownership Information—Security Ownership by Management” and “Equity Compensation Plan Information” in Schlumberger’s 2018 Proxy Statement is incorporated herein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13. Certain Relationships and Related Transactions, and Director Independence.</w:t>
      </w:r>
    </w:p>
    <w:p>
      <w:pPr>
        <w:spacing w:after="0" w:line="1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information under the captions “Corporate Governance—Board Independence” and “Corporate Governance—Policies and Procedures for Approval of Related Person Transactions” in Schlumberger’s 2018 Proxy Statement is incorporated herein by reference.</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14. Principal Accounting Fees and Services.</w:t>
      </w:r>
    </w:p>
    <w:p>
      <w:pPr>
        <w:spacing w:after="0" w:line="122" w:lineRule="exact"/>
        <w:rPr>
          <w:sz w:val="20"/>
          <w:szCs w:val="20"/>
          <w:color w:val="auto"/>
        </w:rPr>
      </w:pPr>
    </w:p>
    <w:p>
      <w:pPr>
        <w:ind w:right="380"/>
        <w:spacing w:after="0" w:line="285" w:lineRule="auto"/>
        <w:rPr>
          <w:sz w:val="20"/>
          <w:szCs w:val="20"/>
          <w:color w:val="auto"/>
        </w:rPr>
      </w:pPr>
      <w:r>
        <w:rPr>
          <w:rFonts w:ascii="Arial" w:cs="Arial" w:eastAsia="Arial" w:hAnsi="Arial"/>
          <w:sz w:val="17"/>
          <w:szCs w:val="17"/>
          <w:color w:val="auto"/>
        </w:rPr>
        <w:t>The information under the caption “Appointment of Independent Registered Public Accounting Firm” in Schlumberger’s 2018 Proxy Statement is incorporated herein by reference.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6"/>
        </w:trPr>
        <w:tc>
          <w:tcPr>
            <w:tcW w:w="8800" w:type="dxa"/>
            <w:vAlign w:val="bottom"/>
            <w:gridSpan w:val="12"/>
          </w:tcPr>
          <w:p>
            <w:pPr>
              <w:spacing w:after="0"/>
              <w:rPr>
                <w:sz w:val="20"/>
                <w:szCs w:val="20"/>
                <w:color w:val="auto"/>
              </w:rPr>
            </w:pPr>
            <w:r>
              <w:rPr>
                <w:rFonts w:ascii="Arial" w:cs="Arial" w:eastAsia="Arial" w:hAnsi="Arial"/>
                <w:sz w:val="17"/>
                <w:szCs w:val="17"/>
                <w:b w:val="1"/>
                <w:bCs w:val="1"/>
                <w:color w:val="auto"/>
              </w:rPr>
              <w:t>PART IV</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8800" w:type="dxa"/>
            <w:vAlign w:val="bottom"/>
            <w:gridSpan w:val="12"/>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60" w:type="dxa"/>
            <w:vAlign w:val="bottom"/>
          </w:tcPr>
          <w:p>
            <w:pPr>
              <w:spacing w:after="0"/>
              <w:rPr>
                <w:sz w:val="20"/>
                <w:szCs w:val="20"/>
                <w:color w:val="auto"/>
              </w:rPr>
            </w:pPr>
            <w:r>
              <w:rPr>
                <w:rFonts w:ascii="Arial" w:cs="Arial" w:eastAsia="Arial" w:hAnsi="Arial"/>
                <w:sz w:val="17"/>
                <w:szCs w:val="17"/>
                <w:color w:val="auto"/>
              </w:rPr>
              <w:t>(a)</w:t>
            </w:r>
          </w:p>
        </w:tc>
        <w:tc>
          <w:tcPr>
            <w:tcW w:w="8440" w:type="dxa"/>
            <w:vAlign w:val="bottom"/>
            <w:gridSpan w:val="11"/>
          </w:tcPr>
          <w:p>
            <w:pPr>
              <w:ind w:left="160"/>
              <w:spacing w:after="0"/>
              <w:rPr>
                <w:sz w:val="20"/>
                <w:szCs w:val="20"/>
                <w:color w:val="auto"/>
              </w:rPr>
            </w:pPr>
            <w:r>
              <w:rPr>
                <w:rFonts w:ascii="Arial" w:cs="Arial" w:eastAsia="Arial" w:hAnsi="Arial"/>
                <w:sz w:val="17"/>
                <w:szCs w:val="17"/>
                <w:color w:val="auto"/>
              </w:rPr>
              <w:t>The following documents are filed as part of this Report: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8440" w:type="dxa"/>
            <w:vAlign w:val="bottom"/>
            <w:gridSpan w:val="11"/>
            <w:vMerge w:val="restart"/>
          </w:tcPr>
          <w:p>
            <w:pPr>
              <w:ind w:left="560"/>
              <w:spacing w:after="0"/>
              <w:rPr>
                <w:sz w:val="20"/>
                <w:szCs w:val="20"/>
                <w:color w:val="auto"/>
              </w:rPr>
            </w:pPr>
            <w:r>
              <w:rPr>
                <w:rFonts w:ascii="Arial" w:cs="Arial" w:eastAsia="Arial" w:hAnsi="Arial"/>
                <w:sz w:val="17"/>
                <w:szCs w:val="17"/>
                <w:color w:val="auto"/>
              </w:rPr>
              <w:t>(1)  Financial Statements</w:t>
            </w:r>
          </w:p>
        </w:tc>
        <w:tc>
          <w:tcPr>
            <w:tcW w:w="1540" w:type="dxa"/>
            <w:vAlign w:val="bottom"/>
          </w:tcPr>
          <w:p>
            <w:pPr>
              <w:jc w:val="center"/>
              <w:ind w:left="755"/>
              <w:spacing w:after="0"/>
              <w:rPr>
                <w:sz w:val="20"/>
                <w:szCs w:val="20"/>
                <w:color w:val="auto"/>
              </w:rPr>
            </w:pPr>
            <w:r>
              <w:rPr>
                <w:rFonts w:ascii="Arial" w:cs="Arial" w:eastAsia="Arial" w:hAnsi="Arial"/>
                <w:sz w:val="14"/>
                <w:szCs w:val="14"/>
                <w:color w:val="auto"/>
                <w:w w:val="85"/>
              </w:rPr>
              <w:t>Page(s)</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8440" w:type="dxa"/>
            <w:vAlign w:val="bottom"/>
            <w:gridSpan w:val="11"/>
            <w:vMerge w:val="continue"/>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540" w:type="dxa"/>
            <w:vAlign w:val="bottom"/>
            <w:gridSpan w:val="10"/>
          </w:tcPr>
          <w:p>
            <w:pPr>
              <w:spacing w:after="0" w:line="181" w:lineRule="exact"/>
              <w:rPr>
                <w:rFonts w:ascii="Arial" w:cs="Arial" w:eastAsia="Arial" w:hAnsi="Arial"/>
                <w:sz w:val="17"/>
                <w:szCs w:val="17"/>
                <w:color w:val="0000EE"/>
              </w:rPr>
            </w:pPr>
            <w:hyperlink w:anchor="page30">
              <w:r>
                <w:rPr>
                  <w:rFonts w:ascii="Arial" w:cs="Arial" w:eastAsia="Arial" w:hAnsi="Arial"/>
                  <w:sz w:val="17"/>
                  <w:szCs w:val="17"/>
                  <w:color w:val="0000EE"/>
                </w:rPr>
                <w:t>Consolidated Statement of Income (Loss) for the three years ended December 31, 2017</w:t>
              </w:r>
            </w:hyperlink>
          </w:p>
        </w:tc>
        <w:tc>
          <w:tcPr>
            <w:tcW w:w="1540" w:type="dxa"/>
            <w:vAlign w:val="bottom"/>
          </w:tcPr>
          <w:p>
            <w:pPr>
              <w:jc w:val="center"/>
              <w:ind w:left="755"/>
              <w:spacing w:after="0" w:line="181" w:lineRule="exact"/>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540" w:type="dxa"/>
            <w:vAlign w:val="bottom"/>
            <w:gridSpan w:val="10"/>
          </w:tcPr>
          <w:p>
            <w:pPr>
              <w:spacing w:after="0" w:line="188" w:lineRule="exact"/>
              <w:rPr>
                <w:rFonts w:ascii="Arial" w:cs="Arial" w:eastAsia="Arial" w:hAnsi="Arial"/>
                <w:sz w:val="17"/>
                <w:szCs w:val="17"/>
                <w:color w:val="0000EE"/>
              </w:rPr>
            </w:pPr>
            <w:hyperlink w:anchor="page31">
              <w:r>
                <w:rPr>
                  <w:rFonts w:ascii="Arial" w:cs="Arial" w:eastAsia="Arial" w:hAnsi="Arial"/>
                  <w:sz w:val="17"/>
                  <w:szCs w:val="17"/>
                  <w:color w:val="0000EE"/>
                </w:rPr>
                <w:t>Consolidated Statement of Comprehensive Income for the three years ended December 31, 2017</w:t>
              </w:r>
            </w:hyperlink>
          </w:p>
        </w:tc>
        <w:tc>
          <w:tcPr>
            <w:tcW w:w="1540" w:type="dxa"/>
            <w:vAlign w:val="bottom"/>
          </w:tcPr>
          <w:p>
            <w:pPr>
              <w:jc w:val="center"/>
              <w:ind w:left="755"/>
              <w:spacing w:after="0" w:line="188" w:lineRule="exact"/>
              <w:rPr>
                <w:sz w:val="20"/>
                <w:szCs w:val="20"/>
                <w:color w:val="auto"/>
              </w:rPr>
            </w:pPr>
            <w:r>
              <w:rPr>
                <w:rFonts w:ascii="Arial" w:cs="Arial" w:eastAsia="Arial" w:hAnsi="Arial"/>
                <w:sz w:val="17"/>
                <w:szCs w:val="17"/>
                <w:color w:val="auto"/>
                <w:w w:val="94"/>
              </w:rPr>
              <w:t>31</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0" w:type="dxa"/>
            <w:vAlign w:val="bottom"/>
            <w:tcBorders>
              <w:top w:val="single" w:sz="8" w:color="0000EE"/>
              <w:bottom w:val="single" w:sz="8" w:color="0000EE"/>
            </w:tcBorders>
            <w:gridSpan w:val="5"/>
          </w:tcPr>
          <w:p>
            <w:pPr>
              <w:spacing w:after="0" w:line="188" w:lineRule="exact"/>
              <w:rPr>
                <w:rFonts w:ascii="Arial" w:cs="Arial" w:eastAsia="Arial" w:hAnsi="Arial"/>
                <w:sz w:val="17"/>
                <w:szCs w:val="17"/>
                <w:color w:val="0000EE"/>
                <w:w w:val="90"/>
              </w:rPr>
            </w:pPr>
            <w:hyperlink w:anchor="page32">
              <w:r>
                <w:rPr>
                  <w:rFonts w:ascii="Arial" w:cs="Arial" w:eastAsia="Arial" w:hAnsi="Arial"/>
                  <w:sz w:val="17"/>
                  <w:szCs w:val="17"/>
                  <w:color w:val="0000EE"/>
                  <w:w w:val="90"/>
                </w:rPr>
                <w:t>Consolidated Balance Sheet at December 31, 2017 and 2016</w:t>
              </w:r>
            </w:hyperlink>
          </w:p>
        </w:tc>
        <w:tc>
          <w:tcPr>
            <w:tcW w:w="2480" w:type="dxa"/>
            <w:vAlign w:val="bottom"/>
            <w:tcBorders>
              <w:top w:val="single" w:sz="8" w:color="0000EE"/>
            </w:tcBorders>
            <w:gridSpan w:val="4"/>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jc w:val="center"/>
              <w:ind w:left="755"/>
              <w:spacing w:after="0" w:line="188" w:lineRule="exact"/>
              <w:rPr>
                <w:sz w:val="20"/>
                <w:szCs w:val="20"/>
                <w:color w:val="auto"/>
              </w:rPr>
            </w:pPr>
            <w:r>
              <w:rPr>
                <w:rFonts w:ascii="Arial" w:cs="Arial" w:eastAsia="Arial" w:hAnsi="Arial"/>
                <w:sz w:val="17"/>
                <w:szCs w:val="17"/>
                <w:color w:val="auto"/>
                <w:w w:val="94"/>
              </w:rPr>
              <w:t>32</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60" w:type="dxa"/>
            <w:vAlign w:val="bottom"/>
            <w:tcBorders>
              <w:bottom w:val="single" w:sz="8" w:color="0000EE"/>
            </w:tcBorders>
            <w:gridSpan w:val="6"/>
          </w:tcPr>
          <w:p>
            <w:pPr>
              <w:spacing w:after="0" w:line="188" w:lineRule="exact"/>
              <w:rPr>
                <w:rFonts w:ascii="Arial" w:cs="Arial" w:eastAsia="Arial" w:hAnsi="Arial"/>
                <w:sz w:val="17"/>
                <w:szCs w:val="17"/>
                <w:color w:val="0000EE"/>
                <w:w w:val="90"/>
              </w:rPr>
            </w:pPr>
            <w:hyperlink w:anchor="page33">
              <w:r>
                <w:rPr>
                  <w:rFonts w:ascii="Arial" w:cs="Arial" w:eastAsia="Arial" w:hAnsi="Arial"/>
                  <w:sz w:val="17"/>
                  <w:szCs w:val="17"/>
                  <w:color w:val="0000EE"/>
                  <w:w w:val="90"/>
                </w:rPr>
                <w:t>Consolidated Statement of Cash Flows for the three years ended December 31, 2017</w:t>
              </w:r>
            </w:hyperlink>
          </w:p>
        </w:tc>
        <w:tc>
          <w:tcPr>
            <w:tcW w:w="1680" w:type="dxa"/>
            <w:vAlign w:val="bottom"/>
            <w:gridSpan w:val="4"/>
          </w:tcPr>
          <w:p>
            <w:pPr>
              <w:spacing w:after="0"/>
              <w:rPr>
                <w:sz w:val="16"/>
                <w:szCs w:val="16"/>
                <w:color w:val="auto"/>
              </w:rPr>
            </w:pPr>
          </w:p>
        </w:tc>
        <w:tc>
          <w:tcPr>
            <w:tcW w:w="1540" w:type="dxa"/>
            <w:vAlign w:val="bottom"/>
          </w:tcPr>
          <w:p>
            <w:pPr>
              <w:jc w:val="center"/>
              <w:ind w:left="755"/>
              <w:spacing w:after="0" w:line="188" w:lineRule="exact"/>
              <w:rPr>
                <w:sz w:val="20"/>
                <w:szCs w:val="20"/>
                <w:color w:val="auto"/>
              </w:rPr>
            </w:pPr>
            <w:r>
              <w:rPr>
                <w:rFonts w:ascii="Arial" w:cs="Arial" w:eastAsia="Arial" w:hAnsi="Arial"/>
                <w:sz w:val="17"/>
                <w:szCs w:val="17"/>
                <w:color w:val="auto"/>
                <w:w w:val="94"/>
              </w:rPr>
              <w:t>33</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540" w:type="dxa"/>
            <w:vAlign w:val="bottom"/>
            <w:gridSpan w:val="10"/>
          </w:tcPr>
          <w:p>
            <w:pPr>
              <w:spacing w:after="0" w:line="188" w:lineRule="exact"/>
              <w:rPr>
                <w:rFonts w:ascii="Arial" w:cs="Arial" w:eastAsia="Arial" w:hAnsi="Arial"/>
                <w:sz w:val="17"/>
                <w:szCs w:val="17"/>
                <w:color w:val="0000EE"/>
              </w:rPr>
            </w:pPr>
            <w:hyperlink w:anchor="page34">
              <w:r>
                <w:rPr>
                  <w:rFonts w:ascii="Arial" w:cs="Arial" w:eastAsia="Arial" w:hAnsi="Arial"/>
                  <w:sz w:val="17"/>
                  <w:szCs w:val="17"/>
                  <w:color w:val="0000EE"/>
                </w:rPr>
                <w:t>Consolidated Statement of Stockholders’ Equity for the three years ended December 31, 2017</w:t>
              </w:r>
            </w:hyperlink>
          </w:p>
        </w:tc>
        <w:tc>
          <w:tcPr>
            <w:tcW w:w="1540" w:type="dxa"/>
            <w:vAlign w:val="bottom"/>
          </w:tcPr>
          <w:p>
            <w:pPr>
              <w:jc w:val="center"/>
              <w:ind w:left="775"/>
              <w:spacing w:after="0" w:line="188" w:lineRule="exact"/>
              <w:rPr>
                <w:sz w:val="20"/>
                <w:szCs w:val="20"/>
                <w:color w:val="auto"/>
              </w:rPr>
            </w:pPr>
            <w:r>
              <w:rPr>
                <w:rFonts w:ascii="Arial" w:cs="Arial" w:eastAsia="Arial" w:hAnsi="Arial"/>
                <w:sz w:val="17"/>
                <w:szCs w:val="17"/>
                <w:color w:val="auto"/>
                <w:w w:val="89"/>
              </w:rPr>
              <w:t>34 and 35</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00" w:type="dxa"/>
            <w:vAlign w:val="bottom"/>
            <w:tcBorders>
              <w:top w:val="single" w:sz="8" w:color="0000EE"/>
            </w:tcBorders>
            <w:gridSpan w:val="8"/>
          </w:tcPr>
          <w:p>
            <w:pPr>
              <w:spacing w:after="0" w:line="188" w:lineRule="exact"/>
              <w:rPr>
                <w:rFonts w:ascii="Arial" w:cs="Arial" w:eastAsia="Arial" w:hAnsi="Arial"/>
                <w:sz w:val="17"/>
                <w:szCs w:val="17"/>
                <w:color w:val="0000EE"/>
              </w:rPr>
            </w:pPr>
            <w:hyperlink w:anchor="page36">
              <w:r>
                <w:rPr>
                  <w:rFonts w:ascii="Arial" w:cs="Arial" w:eastAsia="Arial" w:hAnsi="Arial"/>
                  <w:sz w:val="17"/>
                  <w:szCs w:val="17"/>
                  <w:color w:val="0000EE"/>
                </w:rPr>
                <w:t>Notes to Consolidated Financial Statements</w:t>
              </w:r>
            </w:hyperlink>
          </w:p>
        </w:tc>
        <w:tc>
          <w:tcPr>
            <w:tcW w:w="1040" w:type="dxa"/>
            <w:vAlign w:val="bottom"/>
            <w:gridSpan w:val="2"/>
          </w:tcPr>
          <w:p>
            <w:pPr>
              <w:spacing w:after="0"/>
              <w:rPr>
                <w:sz w:val="16"/>
                <w:szCs w:val="16"/>
                <w:color w:val="auto"/>
              </w:rPr>
            </w:pPr>
          </w:p>
        </w:tc>
        <w:tc>
          <w:tcPr>
            <w:tcW w:w="1540" w:type="dxa"/>
            <w:vAlign w:val="bottom"/>
          </w:tcPr>
          <w:p>
            <w:pPr>
              <w:jc w:val="center"/>
              <w:ind w:left="775"/>
              <w:spacing w:after="0" w:line="188" w:lineRule="exact"/>
              <w:rPr>
                <w:sz w:val="20"/>
                <w:szCs w:val="20"/>
                <w:color w:val="auto"/>
              </w:rPr>
            </w:pPr>
            <w:r>
              <w:rPr>
                <w:rFonts w:ascii="Arial" w:cs="Arial" w:eastAsia="Arial" w:hAnsi="Arial"/>
                <w:sz w:val="17"/>
                <w:szCs w:val="17"/>
                <w:color w:val="auto"/>
                <w:w w:val="91"/>
              </w:rPr>
              <w:t>36 to 63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60" w:type="dxa"/>
            <w:vAlign w:val="bottom"/>
            <w:tcBorders>
              <w:bottom w:val="single" w:sz="8" w:color="0000EE"/>
            </w:tcBorders>
            <w:gridSpan w:val="4"/>
          </w:tcPr>
          <w:p>
            <w:pPr>
              <w:spacing w:after="0" w:line="188" w:lineRule="exact"/>
              <w:rPr>
                <w:rFonts w:ascii="Arial" w:cs="Arial" w:eastAsia="Arial" w:hAnsi="Arial"/>
                <w:sz w:val="17"/>
                <w:szCs w:val="17"/>
                <w:color w:val="0000EE"/>
                <w:w w:val="92"/>
              </w:rPr>
            </w:pPr>
            <w:hyperlink w:anchor="page66">
              <w:r>
                <w:rPr>
                  <w:rFonts w:ascii="Arial" w:cs="Arial" w:eastAsia="Arial" w:hAnsi="Arial"/>
                  <w:sz w:val="17"/>
                  <w:szCs w:val="17"/>
                  <w:color w:val="0000EE"/>
                  <w:w w:val="92"/>
                </w:rPr>
                <w:t>Report of Independent Registered Public Accounting Firm</w:t>
              </w:r>
            </w:hyperlink>
          </w:p>
        </w:tc>
        <w:tc>
          <w:tcPr>
            <w:tcW w:w="3480" w:type="dxa"/>
            <w:vAlign w:val="bottom"/>
            <w:gridSpan w:val="6"/>
          </w:tcPr>
          <w:p>
            <w:pPr>
              <w:spacing w:after="0"/>
              <w:rPr>
                <w:sz w:val="16"/>
                <w:szCs w:val="16"/>
                <w:color w:val="auto"/>
              </w:rPr>
            </w:pPr>
          </w:p>
        </w:tc>
        <w:tc>
          <w:tcPr>
            <w:tcW w:w="1540" w:type="dxa"/>
            <w:vAlign w:val="bottom"/>
          </w:tcPr>
          <w:p>
            <w:pPr>
              <w:jc w:val="center"/>
              <w:ind w:left="755"/>
              <w:spacing w:after="0" w:line="188" w:lineRule="exact"/>
              <w:rPr>
                <w:sz w:val="20"/>
                <w:szCs w:val="20"/>
                <w:color w:val="auto"/>
              </w:rPr>
            </w:pPr>
            <w:r>
              <w:rPr>
                <w:rFonts w:ascii="Arial" w:cs="Arial" w:eastAsia="Arial" w:hAnsi="Arial"/>
                <w:sz w:val="17"/>
                <w:szCs w:val="17"/>
                <w:color w:val="auto"/>
                <w:w w:val="94"/>
              </w:rPr>
              <w:t>66</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00" w:type="dxa"/>
            <w:vAlign w:val="bottom"/>
            <w:tcBorders>
              <w:bottom w:val="single" w:sz="8" w:color="0000EE"/>
            </w:tcBorders>
          </w:tcPr>
          <w:p>
            <w:pPr>
              <w:spacing w:after="0" w:line="188" w:lineRule="exact"/>
              <w:rPr>
                <w:rFonts w:ascii="Arial" w:cs="Arial" w:eastAsia="Arial" w:hAnsi="Arial"/>
                <w:sz w:val="17"/>
                <w:szCs w:val="17"/>
                <w:color w:val="0000EE"/>
                <w:w w:val="92"/>
              </w:rPr>
            </w:pPr>
            <w:hyperlink w:anchor="page68">
              <w:r>
                <w:rPr>
                  <w:rFonts w:ascii="Arial" w:cs="Arial" w:eastAsia="Arial" w:hAnsi="Arial"/>
                  <w:sz w:val="17"/>
                  <w:szCs w:val="17"/>
                  <w:color w:val="0000EE"/>
                  <w:w w:val="92"/>
                </w:rPr>
                <w:t>Quarterly Results (Unaudited)</w:t>
              </w:r>
            </w:hyperlink>
          </w:p>
        </w:tc>
        <w:tc>
          <w:tcPr>
            <w:tcW w:w="5440" w:type="dxa"/>
            <w:vAlign w:val="bottom"/>
            <w:gridSpan w:val="9"/>
          </w:tcPr>
          <w:p>
            <w:pPr>
              <w:spacing w:after="0"/>
              <w:rPr>
                <w:sz w:val="16"/>
                <w:szCs w:val="16"/>
                <w:color w:val="auto"/>
              </w:rPr>
            </w:pPr>
          </w:p>
        </w:tc>
        <w:tc>
          <w:tcPr>
            <w:tcW w:w="1540" w:type="dxa"/>
            <w:vAlign w:val="bottom"/>
          </w:tcPr>
          <w:p>
            <w:pPr>
              <w:jc w:val="center"/>
              <w:ind w:left="755"/>
              <w:spacing w:after="0" w:line="188" w:lineRule="exact"/>
              <w:rPr>
                <w:sz w:val="20"/>
                <w:szCs w:val="20"/>
                <w:color w:val="auto"/>
              </w:rPr>
            </w:pPr>
            <w:r>
              <w:rPr>
                <w:rFonts w:ascii="Arial" w:cs="Arial" w:eastAsia="Arial" w:hAnsi="Arial"/>
                <w:sz w:val="17"/>
                <w:szCs w:val="17"/>
                <w:color w:val="auto"/>
                <w:w w:val="94"/>
              </w:rPr>
              <w:t>68</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Financial statements of companies accounted for under the equity method and unconsolidated subsidiaries have been omitted because they do not meet the materiality tests for assets or income.</w:t>
      </w:r>
    </w:p>
    <w:p>
      <w:pPr>
        <w:spacing w:after="0" w:line="185" w:lineRule="exact"/>
        <w:rPr>
          <w:sz w:val="20"/>
          <w:szCs w:val="20"/>
          <w:color w:val="auto"/>
        </w:rPr>
      </w:pPr>
    </w:p>
    <w:p>
      <w:pPr>
        <w:ind w:left="1280" w:hanging="360"/>
        <w:spacing w:after="0"/>
        <w:tabs>
          <w:tab w:leader="none" w:pos="12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Financial Statement Schedules not required</w:t>
      </w:r>
    </w:p>
    <w:p>
      <w:pPr>
        <w:spacing w:after="0" w:line="24" w:lineRule="exact"/>
        <w:rPr>
          <w:rFonts w:ascii="Arial" w:cs="Arial" w:eastAsia="Arial" w:hAnsi="Arial"/>
          <w:sz w:val="17"/>
          <w:szCs w:val="17"/>
          <w:color w:val="auto"/>
        </w:rPr>
      </w:pPr>
    </w:p>
    <w:p>
      <w:pPr>
        <w:ind w:left="1280" w:hanging="360"/>
        <w:spacing w:after="0"/>
        <w:tabs>
          <w:tab w:leader="none" w:pos="12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Exhibits: See exhibits listed under Part (b) below.</w:t>
      </w:r>
    </w:p>
    <w:p>
      <w:pPr>
        <w:spacing w:after="0" w:line="103" w:lineRule="exact"/>
        <w:rPr>
          <w:rFonts w:ascii="Arial" w:cs="Arial" w:eastAsia="Arial" w:hAnsi="Arial"/>
          <w:sz w:val="17"/>
          <w:szCs w:val="17"/>
          <w:color w:val="auto"/>
        </w:rPr>
      </w:pPr>
    </w:p>
    <w:p>
      <w:pPr>
        <w:ind w:left="520" w:hanging="516"/>
        <w:spacing w:after="0"/>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INDEX TO EXHIBITS</w:t>
      </w:r>
    </w:p>
    <w:p>
      <w:pPr>
        <w:spacing w:after="0" w:line="200" w:lineRule="exact"/>
        <w:rPr>
          <w:sz w:val="20"/>
          <w:szCs w:val="20"/>
          <w:color w:val="auto"/>
        </w:rPr>
      </w:pPr>
    </w:p>
    <w:p>
      <w:pPr>
        <w:spacing w:after="0" w:line="234"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07">
        <w:r>
          <w:rPr>
            <w:rFonts w:ascii="Arial" w:cs="Arial" w:eastAsia="Arial" w:hAnsi="Arial"/>
            <w:sz w:val="17"/>
            <w:szCs w:val="17"/>
            <w:u w:val="single" w:color="auto"/>
            <w:color w:val="0000EE"/>
          </w:rPr>
          <w:t>Articles of Incorporation of Schlumberger Limited (Schlumberger N.V.), as amended on April 6, 2016 (incorporated by reference to Exhibit 3.1 to</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Schlumberger’s Current Report on Form 8-K filed on April 6, 2016)</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08">
        <w:r>
          <w:rPr>
            <w:rFonts w:ascii="Arial" w:cs="Arial" w:eastAsia="Arial" w:hAnsi="Arial"/>
            <w:sz w:val="17"/>
            <w:szCs w:val="17"/>
            <w:u w:val="single" w:color="auto"/>
            <w:color w:val="0000EE"/>
          </w:rPr>
          <w:t>Amended and Restated By-Laws of Schlumberger Limited (Schlumberger N.V.), as amended on January 19, 2017 (incorporated by reference to</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Exhibit 3.1 to Schlumberger’s Current Report on Form 8-K filed on January 19, 2017)</w:t>
        </w:r>
      </w:hyperlink>
    </w:p>
    <w:p>
      <w:pPr>
        <w:spacing w:after="0" w:line="68" w:lineRule="exact"/>
        <w:rPr>
          <w:sz w:val="20"/>
          <w:szCs w:val="20"/>
          <w:color w:val="auto"/>
        </w:rPr>
      </w:pPr>
    </w:p>
    <w:p>
      <w:pPr>
        <w:jc w:val="both"/>
        <w:ind w:left="20"/>
        <w:spacing w:after="0" w:line="270" w:lineRule="auto"/>
        <w:rPr>
          <w:rFonts w:ascii="Arial" w:cs="Arial" w:eastAsia="Arial" w:hAnsi="Arial"/>
          <w:sz w:val="17"/>
          <w:szCs w:val="17"/>
          <w:u w:val="single" w:color="auto"/>
          <w:color w:val="0000EE"/>
        </w:rPr>
      </w:pPr>
      <w:hyperlink r:id="rId109">
        <w:r>
          <w:rPr>
            <w:rFonts w:ascii="Arial" w:cs="Arial" w:eastAsia="Arial" w:hAnsi="Arial"/>
            <w:sz w:val="17"/>
            <w:szCs w:val="17"/>
            <w:u w:val="single" w:color="auto"/>
            <w:color w:val="0000EE"/>
          </w:rPr>
          <w:t>Indenture dated as of December 3, 2013, by and among Schlumberger Investment SA, as issuer, Schlumberger Limited, as guarantor, and The</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Bank of New York Mellon Trust Company, N.A., as trustee (incorporated by reference to Exhibit 4.1 to Schlumberger’s Current Report on Form</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8-K filed on December 3, 2013)</w:t>
        </w:r>
      </w:hyperlink>
    </w:p>
    <w:p>
      <w:pPr>
        <w:spacing w:after="0" w:line="81" w:lineRule="exact"/>
        <w:rPr>
          <w:rFonts w:ascii="Arial" w:cs="Arial" w:eastAsia="Arial" w:hAnsi="Arial"/>
          <w:sz w:val="17"/>
          <w:szCs w:val="17"/>
          <w:u w:val="single" w:color="auto"/>
          <w:color w:val="0000EE"/>
        </w:rPr>
      </w:pPr>
    </w:p>
    <w:p>
      <w:pPr>
        <w:jc w:val="both"/>
        <w:ind w:left="20"/>
        <w:spacing w:after="0" w:line="294" w:lineRule="auto"/>
        <w:rPr>
          <w:rFonts w:ascii="Arial" w:cs="Arial" w:eastAsia="Arial" w:hAnsi="Arial"/>
          <w:sz w:val="16"/>
          <w:szCs w:val="16"/>
          <w:u w:val="single" w:color="auto"/>
          <w:color w:val="0000EE"/>
        </w:rPr>
      </w:pPr>
      <w:hyperlink r:id="rId110">
        <w:r>
          <w:rPr>
            <w:rFonts w:ascii="Arial" w:cs="Arial" w:eastAsia="Arial" w:hAnsi="Arial"/>
            <w:sz w:val="16"/>
            <w:szCs w:val="16"/>
            <w:u w:val="single" w:color="auto"/>
            <w:color w:val="0000EE"/>
          </w:rPr>
          <w:t>First Supplemental Indenture dated as of December 3, 2013, by and among Schlumberger Investment SA, as issuer, Schlumberger Limited, as</w:t>
        </w:r>
      </w:hyperlink>
      <w:r>
        <w:rPr>
          <w:rFonts w:ascii="Arial" w:cs="Arial" w:eastAsia="Arial" w:hAnsi="Arial"/>
          <w:sz w:val="16"/>
          <w:szCs w:val="16"/>
          <w:u w:val="single" w:color="auto"/>
          <w:color w:val="0000EE"/>
        </w:rPr>
        <w:t xml:space="preserve"> </w:t>
      </w:r>
      <w:hyperlink r:id="rId110">
        <w:r>
          <w:rPr>
            <w:rFonts w:ascii="Arial" w:cs="Arial" w:eastAsia="Arial" w:hAnsi="Arial"/>
            <w:sz w:val="16"/>
            <w:szCs w:val="16"/>
            <w:u w:val="single" w:color="auto"/>
            <w:color w:val="0000EE"/>
          </w:rPr>
          <w:t>guarantor, and The Bank of New York Mellon Trust Company, N.A., as trustee (including form of global notes representing 3.650% Senior Notes</w:t>
        </w:r>
      </w:hyperlink>
      <w:r>
        <w:rPr>
          <w:rFonts w:ascii="Arial" w:cs="Arial" w:eastAsia="Arial" w:hAnsi="Arial"/>
          <w:sz w:val="16"/>
          <w:szCs w:val="16"/>
          <w:u w:val="single" w:color="auto"/>
          <w:color w:val="0000EE"/>
        </w:rPr>
        <w:t xml:space="preserve"> </w:t>
      </w:r>
      <w:hyperlink r:id="rId110">
        <w:r>
          <w:rPr>
            <w:rFonts w:ascii="Arial" w:cs="Arial" w:eastAsia="Arial" w:hAnsi="Arial"/>
            <w:sz w:val="16"/>
            <w:szCs w:val="16"/>
            <w:u w:val="single" w:color="auto"/>
            <w:color w:val="0000EE"/>
          </w:rPr>
          <w:t>due 2023) (incorporated by reference to Exhibit 4.2 to Schlumberger’s Current Report on Form 8-K filed on December 3, 2013)</w:t>
        </w:r>
      </w:hyperlink>
    </w:p>
    <w:p>
      <w:pPr>
        <w:spacing w:after="0" w:line="64" w:lineRule="exact"/>
        <w:rPr>
          <w:rFonts w:ascii="Arial" w:cs="Arial" w:eastAsia="Arial" w:hAnsi="Arial"/>
          <w:sz w:val="16"/>
          <w:szCs w:val="16"/>
          <w:u w:val="single" w:color="auto"/>
          <w:color w:val="0000EE"/>
        </w:rPr>
      </w:pPr>
    </w:p>
    <w:p>
      <w:pPr>
        <w:jc w:val="both"/>
        <w:ind w:left="20"/>
        <w:spacing w:after="0" w:line="285" w:lineRule="auto"/>
        <w:rPr>
          <w:rFonts w:ascii="Arial" w:cs="Arial" w:eastAsia="Arial" w:hAnsi="Arial"/>
          <w:sz w:val="17"/>
          <w:szCs w:val="17"/>
          <w:u w:val="single" w:color="auto"/>
          <w:color w:val="0000EE"/>
        </w:rPr>
      </w:pPr>
      <w:hyperlink r:id="rId111">
        <w:r>
          <w:rPr>
            <w:rFonts w:ascii="Arial" w:cs="Arial" w:eastAsia="Arial" w:hAnsi="Arial"/>
            <w:sz w:val="17"/>
            <w:szCs w:val="17"/>
            <w:u w:val="single" w:color="auto"/>
            <w:color w:val="0000EE"/>
          </w:rPr>
          <w:t>Schlumberger Limited Supplementary Benefit Plan, as conformed to include amendments through January 1, 2009 (incorporated by reference to</w:t>
        </w:r>
      </w:hyperlink>
      <w:r>
        <w:rPr>
          <w:rFonts w:ascii="Arial" w:cs="Arial" w:eastAsia="Arial" w:hAnsi="Arial"/>
          <w:sz w:val="17"/>
          <w:szCs w:val="17"/>
          <w:u w:val="single" w:color="auto"/>
          <w:color w:val="0000EE"/>
        </w:rPr>
        <w:t xml:space="preserve"> </w:t>
      </w:r>
      <w:hyperlink r:id="rId111">
        <w:r>
          <w:rPr>
            <w:rFonts w:ascii="Arial" w:cs="Arial" w:eastAsia="Arial" w:hAnsi="Arial"/>
            <w:sz w:val="17"/>
            <w:szCs w:val="17"/>
            <w:u w:val="single" w:color="auto"/>
            <w:color w:val="0000EE"/>
          </w:rPr>
          <w:t>Exhibit 10.2 to Schlumberger’s Annual Report on Form 10-K for the year ended December 31, 2008)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12">
        <w:r>
          <w:rPr>
            <w:rFonts w:ascii="Arial" w:cs="Arial" w:eastAsia="Arial" w:hAnsi="Arial"/>
            <w:sz w:val="17"/>
            <w:szCs w:val="17"/>
            <w:u w:val="single" w:color="auto"/>
            <w:color w:val="0000EE"/>
          </w:rPr>
          <w:t>Schlumberger Limited Restoration Savings Plan, as conformed to include amendments through January 1, 2009 (incorporated by reference to</w:t>
        </w:r>
      </w:hyperlink>
      <w:r>
        <w:rPr>
          <w:rFonts w:ascii="Arial" w:cs="Arial" w:eastAsia="Arial" w:hAnsi="Arial"/>
          <w:sz w:val="17"/>
          <w:szCs w:val="17"/>
          <w:u w:val="single" w:color="auto"/>
          <w:color w:val="0000EE"/>
        </w:rPr>
        <w:t xml:space="preserve"> </w:t>
      </w:r>
      <w:hyperlink r:id="rId112">
        <w:r>
          <w:rPr>
            <w:rFonts w:ascii="Arial" w:cs="Arial" w:eastAsia="Arial" w:hAnsi="Arial"/>
            <w:sz w:val="17"/>
            <w:szCs w:val="17"/>
            <w:u w:val="single" w:color="auto"/>
            <w:color w:val="0000EE"/>
          </w:rPr>
          <w:t>Exhibit 10.3 to Schlumberger’s Annual Report on Form 10-K for the year ended December 31, 2008)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13">
        <w:r>
          <w:rPr>
            <w:rFonts w:ascii="Arial" w:cs="Arial" w:eastAsia="Arial" w:hAnsi="Arial"/>
            <w:sz w:val="17"/>
            <w:szCs w:val="17"/>
            <w:u w:val="single" w:color="auto"/>
            <w:color w:val="0000EE"/>
          </w:rPr>
          <w:t>First Amendment to Schlumberger Limited Restoration Savings Plan (incorporated by reference to Exhibit 10.3 to Schlumberger’s Quarterly</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Report on Form 10-Q for the quarter ended March 31, 2013)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14">
        <w:r>
          <w:rPr>
            <w:rFonts w:ascii="Arial" w:cs="Arial" w:eastAsia="Arial" w:hAnsi="Arial"/>
            <w:sz w:val="17"/>
            <w:szCs w:val="17"/>
            <w:u w:val="single" w:color="auto"/>
            <w:color w:val="0000EE"/>
          </w:rPr>
          <w:t>Schlumberger 1998 Stock Option Plan, as conformed to include amendments through January 1, 2009 (incorporated by reference to Exhibit 10.4</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to Schlumberger’s Annual Report on Form 10-K for the year ended December 31, 2008)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15">
        <w:r>
          <w:rPr>
            <w:rFonts w:ascii="Arial" w:cs="Arial" w:eastAsia="Arial" w:hAnsi="Arial"/>
            <w:sz w:val="17"/>
            <w:szCs w:val="17"/>
            <w:u w:val="single" w:color="auto"/>
            <w:color w:val="0000EE"/>
          </w:rPr>
          <w:t>Third Amendment to Schlumberger 1998 Stock Option Plan (incorporated by reference to Exhibit 10.4 to Schlumberger’s Quarterly Report on</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Form 10-Q for the quarter ended June 30, 2013)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16">
        <w:r>
          <w:rPr>
            <w:rFonts w:ascii="Arial" w:cs="Arial" w:eastAsia="Arial" w:hAnsi="Arial"/>
            <w:sz w:val="17"/>
            <w:szCs w:val="17"/>
            <w:u w:val="single" w:color="auto"/>
            <w:color w:val="0000EE"/>
          </w:rPr>
          <w:t>Schlumberger 2001 Stock Option Plan, as conformed to include amendments through January 1, 2009 (incorporated by reference to Exhibit 10.5</w:t>
        </w:r>
      </w:hyperlink>
      <w:r>
        <w:rPr>
          <w:rFonts w:ascii="Arial" w:cs="Arial" w:eastAsia="Arial" w:hAnsi="Arial"/>
          <w:sz w:val="17"/>
          <w:szCs w:val="17"/>
          <w:u w:val="single" w:color="auto"/>
          <w:color w:val="0000EE"/>
        </w:rPr>
        <w:t xml:space="preserve"> </w:t>
      </w:r>
      <w:hyperlink r:id="rId116">
        <w:r>
          <w:rPr>
            <w:rFonts w:ascii="Arial" w:cs="Arial" w:eastAsia="Arial" w:hAnsi="Arial"/>
            <w:sz w:val="17"/>
            <w:szCs w:val="17"/>
            <w:u w:val="single" w:color="auto"/>
            <w:color w:val="0000EE"/>
          </w:rPr>
          <w:t>to Schlumberger’s Annual Report on Form 10-K for the year ended December 31, 2008)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17">
        <w:r>
          <w:rPr>
            <w:rFonts w:ascii="Arial" w:cs="Arial" w:eastAsia="Arial" w:hAnsi="Arial"/>
            <w:sz w:val="17"/>
            <w:szCs w:val="17"/>
            <w:u w:val="single" w:color="auto"/>
            <w:color w:val="0000EE"/>
          </w:rPr>
          <w:t>Second Amendment to Schlumberger 2001 Stock Option Plan (incorporated by reference to Exhibit 10.5 to Schlumberger’s Quarterly Report on</w:t>
        </w:r>
      </w:hyperlink>
      <w:r>
        <w:rPr>
          <w:rFonts w:ascii="Arial" w:cs="Arial" w:eastAsia="Arial" w:hAnsi="Arial"/>
          <w:sz w:val="17"/>
          <w:szCs w:val="17"/>
          <w:u w:val="single" w:color="auto"/>
          <w:color w:val="0000EE"/>
        </w:rPr>
        <w:t xml:space="preserve"> </w:t>
      </w:r>
      <w:hyperlink r:id="rId117">
        <w:r>
          <w:rPr>
            <w:rFonts w:ascii="Arial" w:cs="Arial" w:eastAsia="Arial" w:hAnsi="Arial"/>
            <w:sz w:val="17"/>
            <w:szCs w:val="17"/>
            <w:u w:val="single" w:color="auto"/>
            <w:color w:val="0000EE"/>
          </w:rPr>
          <w:t>Form 10-Q for the quarter ended June 30, 2013)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18">
        <w:r>
          <w:rPr>
            <w:rFonts w:ascii="Arial" w:cs="Arial" w:eastAsia="Arial" w:hAnsi="Arial"/>
            <w:sz w:val="17"/>
            <w:szCs w:val="17"/>
            <w:u w:val="single" w:color="auto"/>
            <w:color w:val="0000EE"/>
          </w:rPr>
          <w:t>Schlumberger Limited 2004 Stock and Deferral Plan for Non-Employee Directors, amended and restated effective January 19, 2012 (incorporated</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by reference to Exhibit 10 to Schlumberger’s Current Report on Form 8-K filed on April 11, 2012)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19">
        <w:r>
          <w:rPr>
            <w:rFonts w:ascii="Arial" w:cs="Arial" w:eastAsia="Arial" w:hAnsi="Arial"/>
            <w:sz w:val="17"/>
            <w:szCs w:val="17"/>
            <w:u w:val="single" w:color="auto"/>
            <w:color w:val="0000EE"/>
          </w:rPr>
          <w:t>Schlumberger 2005 Stock Incentive Plan, as conformed to include amendments through January 1, 2009 (incorporated by reference to Exhibit</w:t>
        </w:r>
      </w:hyperlink>
      <w:r>
        <w:rPr>
          <w:rFonts w:ascii="Arial" w:cs="Arial" w:eastAsia="Arial" w:hAnsi="Arial"/>
          <w:sz w:val="17"/>
          <w:szCs w:val="17"/>
          <w:u w:val="single" w:color="auto"/>
          <w:color w:val="0000EE"/>
        </w:rPr>
        <w:t xml:space="preserve"> </w:t>
      </w:r>
      <w:hyperlink r:id="rId119">
        <w:r>
          <w:rPr>
            <w:rFonts w:ascii="Arial" w:cs="Arial" w:eastAsia="Arial" w:hAnsi="Arial"/>
            <w:sz w:val="17"/>
            <w:szCs w:val="17"/>
            <w:u w:val="single" w:color="auto"/>
            <w:color w:val="0000EE"/>
          </w:rPr>
          <w:t>10.6 to Schlumberger’s Annual Report on Form 10-K for the year ended December 31, 2008)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20">
        <w:r>
          <w:rPr>
            <w:rFonts w:ascii="Arial" w:cs="Arial" w:eastAsia="Arial" w:hAnsi="Arial"/>
            <w:sz w:val="17"/>
            <w:szCs w:val="17"/>
            <w:u w:val="single" w:color="auto"/>
            <w:color w:val="0000EE"/>
          </w:rPr>
          <w:t>Third Amendment to Schlumberger 2005 Stock Incentive Plan (incorporated by reference to Exhibit 10.6 to Schlumberger’s Quarterly Report on</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Form 10-Q for the quarter ended June 30, 2013)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21">
        <w:r>
          <w:rPr>
            <w:rFonts w:ascii="Arial" w:cs="Arial" w:eastAsia="Arial" w:hAnsi="Arial"/>
            <w:sz w:val="17"/>
            <w:szCs w:val="17"/>
            <w:u w:val="single" w:color="auto"/>
            <w:color w:val="0000EE"/>
          </w:rPr>
          <w:t>Schlumberger 2008 Stock Incentive Plan, as conformed to include amendments through January 1, 2009 (incorporated by reference to Exhibit</w:t>
        </w:r>
      </w:hyperlink>
      <w:r>
        <w:rPr>
          <w:rFonts w:ascii="Arial" w:cs="Arial" w:eastAsia="Arial" w:hAnsi="Arial"/>
          <w:sz w:val="17"/>
          <w:szCs w:val="17"/>
          <w:u w:val="single" w:color="auto"/>
          <w:color w:val="0000EE"/>
        </w:rPr>
        <w:t xml:space="preserve"> </w:t>
      </w:r>
      <w:hyperlink r:id="rId121">
        <w:r>
          <w:rPr>
            <w:rFonts w:ascii="Arial" w:cs="Arial" w:eastAsia="Arial" w:hAnsi="Arial"/>
            <w:sz w:val="17"/>
            <w:szCs w:val="17"/>
            <w:u w:val="single" w:color="auto"/>
            <w:color w:val="0000EE"/>
          </w:rPr>
          <w:t>10.8 to Schlumberger’s Annual Report on Form 10-K for the year ended December 31, 2008)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22">
        <w:r>
          <w:rPr>
            <w:rFonts w:ascii="Arial" w:cs="Arial" w:eastAsia="Arial" w:hAnsi="Arial"/>
            <w:sz w:val="17"/>
            <w:szCs w:val="17"/>
            <w:u w:val="single" w:color="auto"/>
            <w:color w:val="0000EE"/>
          </w:rPr>
          <w:t>Second Amendment to Schlumberger 2008 Stock Incentive Plan (incorporated by reference to Exhibit 10.7 to Schlumberger’s Quarterly Report</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on Form 10-Q for the quarter ended June 30, 2013)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23">
        <w:r>
          <w:rPr>
            <w:rFonts w:ascii="Arial" w:cs="Arial" w:eastAsia="Arial" w:hAnsi="Arial"/>
            <w:sz w:val="17"/>
            <w:szCs w:val="17"/>
            <w:u w:val="single" w:color="auto"/>
            <w:color w:val="0000EE"/>
          </w:rPr>
          <w:t>Schlumberger 2010 Omnibus Stock Incentive Plan (incorporated by reference to Exhibit 10.1 to Schlumberger’s Current Report on Form 8-K</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filed on April 9, 2010) (+)</w:t>
        </w:r>
      </w:hyperlink>
    </w:p>
    <w:p>
      <w:pPr>
        <w:spacing w:after="0" w:line="68" w:lineRule="exact"/>
        <w:rPr>
          <w:sz w:val="20"/>
          <w:szCs w:val="20"/>
          <w:color w:val="auto"/>
        </w:rPr>
      </w:pPr>
    </w:p>
    <w:p>
      <w:pPr>
        <w:jc w:val="both"/>
        <w:ind w:left="20"/>
        <w:spacing w:after="0" w:line="285" w:lineRule="auto"/>
        <w:rPr>
          <w:rFonts w:ascii="Arial" w:cs="Arial" w:eastAsia="Arial" w:hAnsi="Arial"/>
          <w:sz w:val="17"/>
          <w:szCs w:val="17"/>
          <w:u w:val="single" w:color="auto"/>
          <w:color w:val="0000EE"/>
        </w:rPr>
      </w:pPr>
      <w:hyperlink r:id="rId124">
        <w:r>
          <w:rPr>
            <w:rFonts w:ascii="Arial" w:cs="Arial" w:eastAsia="Arial" w:hAnsi="Arial"/>
            <w:sz w:val="17"/>
            <w:szCs w:val="17"/>
            <w:u w:val="single" w:color="auto"/>
            <w:color w:val="0000EE"/>
          </w:rPr>
          <w:t>First Amendment to Schlumberger 2010 Omnibus Stock Incentive Plan (incorporated by reference to Exhibit 10.8 to Schlumberger’s Quarterly</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Report on Form 10-Q for the quarter ended June 30, 2013) (+)</w:t>
        </w:r>
      </w:hyperlink>
    </w:p>
    <w:p>
      <w:pPr>
        <w:spacing w:after="0" w:line="68" w:lineRule="exact"/>
        <w:rPr>
          <w:sz w:val="20"/>
          <w:szCs w:val="20"/>
          <w:color w:val="auto"/>
        </w:rPr>
      </w:pPr>
    </w:p>
    <w:p>
      <w:pPr>
        <w:ind w:left="20"/>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Rules of the Schlumberger 2010 Omnibus Stock Incentive Plan, French Sub-Plan for Restricted Share Units (+) (*)</w:t>
        </w:r>
      </w:hyperlink>
    </w:p>
    <w:p>
      <w:pPr>
        <w:spacing w:after="0" w:line="22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4.1</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4.2</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10.5</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10.6</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10.7</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10.8</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10.9</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10.10</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10.11</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10.12</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10.13</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10.14</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10.15</w:t>
      </w:r>
    </w:p>
    <w:p>
      <w:pPr>
        <w:sectPr>
          <w:pgSz w:w="11900" w:h="16838" w:orient="portrait"/>
          <w:cols w:equalWidth="0" w:num="2">
            <w:col w:w="10160" w:space="480"/>
            <w:col w:w="780"/>
          </w:cols>
          <w:pgMar w:left="240" w:top="121" w:right="239" w:bottom="1440" w:gutter="0" w:footer="0" w:header="0"/>
        </w:sectPr>
      </w:pPr>
    </w:p>
    <w:bookmarkStart w:id="72" w:name="page73"/>
    <w:bookmarkEnd w:id="72"/>
    <w:p>
      <w:pPr>
        <w:spacing w:after="0" w:line="269" w:lineRule="exact"/>
        <w:rPr>
          <w:sz w:val="20"/>
          <w:szCs w:val="20"/>
          <w:color w:val="auto"/>
        </w:rPr>
      </w:pPr>
    </w:p>
    <w:p>
      <w:pPr>
        <w:spacing w:after="0" w:line="285" w:lineRule="auto"/>
        <w:rPr>
          <w:rFonts w:ascii="Arial" w:cs="Arial" w:eastAsia="Arial" w:hAnsi="Arial"/>
          <w:sz w:val="17"/>
          <w:szCs w:val="17"/>
          <w:u w:val="single" w:color="auto"/>
          <w:color w:val="0000EE"/>
        </w:rPr>
      </w:pPr>
      <w:hyperlink r:id="rId126">
        <w:r>
          <w:rPr>
            <w:rFonts w:ascii="Arial" w:cs="Arial" w:eastAsia="Arial" w:hAnsi="Arial"/>
            <w:sz w:val="17"/>
            <w:szCs w:val="17"/>
            <w:u w:val="single" w:color="auto"/>
            <w:color w:val="0000EE"/>
          </w:rPr>
          <w:t>Cameron International Corporation Equity Incentive Plan, as amended and restated January 1, 2013 (incorporated by reference to Exhibit 10.16 to</w:t>
        </w:r>
      </w:hyperlink>
      <w:r>
        <w:rPr>
          <w:rFonts w:ascii="Arial" w:cs="Arial" w:eastAsia="Arial" w:hAnsi="Arial"/>
          <w:sz w:val="17"/>
          <w:szCs w:val="17"/>
          <w:u w:val="single" w:color="auto"/>
          <w:color w:val="0000EE"/>
        </w:rPr>
        <w:t xml:space="preserve"> </w:t>
      </w:r>
      <w:hyperlink r:id="rId126">
        <w:r>
          <w:rPr>
            <w:rFonts w:ascii="Arial" w:cs="Arial" w:eastAsia="Arial" w:hAnsi="Arial"/>
            <w:sz w:val="17"/>
            <w:szCs w:val="17"/>
            <w:u w:val="single" w:color="auto"/>
            <w:color w:val="0000EE"/>
          </w:rPr>
          <w:t>Schlumberger’s Annual Report on Form 10-K for the year ended December 31, 2016)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27">
        <w:r>
          <w:rPr>
            <w:rFonts w:ascii="Arial" w:cs="Arial" w:eastAsia="Arial" w:hAnsi="Arial"/>
            <w:sz w:val="17"/>
            <w:szCs w:val="17"/>
            <w:u w:val="single" w:color="auto"/>
            <w:color w:val="0000EE"/>
          </w:rPr>
          <w:t>Form of 2014 Three-Year Performance Share Unit Award Agreement under Schlumberger 2013 Omnibus Stock Incentive Plan (incorporated by</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reference to Exhibit 10.1 to Schlumberger’s Quarterly Report on Form 10-Q for the quarter ended March 31, 2014)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28">
        <w:r>
          <w:rPr>
            <w:rFonts w:ascii="Arial" w:cs="Arial" w:eastAsia="Arial" w:hAnsi="Arial"/>
            <w:sz w:val="17"/>
            <w:szCs w:val="17"/>
            <w:u w:val="single" w:color="auto"/>
            <w:color w:val="0000EE"/>
          </w:rPr>
          <w:t>French Sub-Plan of Schlumberger 2010 Omnibus Stock Incentive Plan for Employees in France (incorporated by reference to Exhibit 10.7 to</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Schlumberger’s Quarterly Report on Form 10-Q for the quarter ended March 31, 2013)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29">
        <w:r>
          <w:rPr>
            <w:rFonts w:ascii="Arial" w:cs="Arial" w:eastAsia="Arial" w:hAnsi="Arial"/>
            <w:sz w:val="17"/>
            <w:szCs w:val="17"/>
            <w:u w:val="single" w:color="auto"/>
            <w:color w:val="0000EE"/>
          </w:rPr>
          <w:t>Form of Option Agreement (Employees in France), Incentive Stock Option, under Schlumberger 2010 Omnibus Stock Incentive Plan</w:t>
        </w:r>
      </w:hyperlink>
      <w:r>
        <w:rPr>
          <w:rFonts w:ascii="Arial" w:cs="Arial" w:eastAsia="Arial" w:hAnsi="Arial"/>
          <w:sz w:val="17"/>
          <w:szCs w:val="17"/>
          <w:u w:val="single" w:color="auto"/>
          <w:color w:val="0000EE"/>
        </w:rPr>
        <w:t xml:space="preserve"> </w:t>
      </w:r>
      <w:hyperlink r:id="rId129">
        <w:r>
          <w:rPr>
            <w:rFonts w:ascii="Arial" w:cs="Arial" w:eastAsia="Arial" w:hAnsi="Arial"/>
            <w:sz w:val="17"/>
            <w:szCs w:val="17"/>
            <w:u w:val="single" w:color="auto"/>
            <w:color w:val="0000EE"/>
          </w:rPr>
          <w:t>(incorporated by reference to Exhibit 10.10 to Schlumberger’s Quarterly Report on Form 10-Q for the quarter ended June 30, 2013) (+)</w:t>
        </w:r>
      </w:hyperlink>
    </w:p>
    <w:p>
      <w:pPr>
        <w:spacing w:after="0" w:line="68" w:lineRule="exact"/>
        <w:rPr>
          <w:sz w:val="20"/>
          <w:szCs w:val="20"/>
          <w:color w:val="auto"/>
        </w:rPr>
      </w:pPr>
    </w:p>
    <w:p>
      <w:pPr>
        <w:spacing w:after="0" w:line="318" w:lineRule="auto"/>
        <w:rPr>
          <w:rFonts w:ascii="Arial" w:cs="Arial" w:eastAsia="Arial" w:hAnsi="Arial"/>
          <w:sz w:val="16"/>
          <w:szCs w:val="16"/>
          <w:u w:val="single" w:color="auto"/>
          <w:color w:val="0000EE"/>
        </w:rPr>
      </w:pPr>
      <w:hyperlink r:id="rId130">
        <w:r>
          <w:rPr>
            <w:rFonts w:ascii="Arial" w:cs="Arial" w:eastAsia="Arial" w:hAnsi="Arial"/>
            <w:sz w:val="16"/>
            <w:szCs w:val="16"/>
            <w:u w:val="single" w:color="auto"/>
            <w:color w:val="0000EE"/>
          </w:rPr>
          <w:t>Form of Option Agreement (Employees in France), Non-Qualified Stock Option, under Schlumberger 2010 Omnibus Stock Incentive Plan</w:t>
        </w:r>
      </w:hyperlink>
      <w:r>
        <w:rPr>
          <w:rFonts w:ascii="Arial" w:cs="Arial" w:eastAsia="Arial" w:hAnsi="Arial"/>
          <w:sz w:val="16"/>
          <w:szCs w:val="16"/>
          <w:u w:val="single" w:color="auto"/>
          <w:color w:val="0000EE"/>
        </w:rPr>
        <w:t xml:space="preserve"> </w:t>
      </w:r>
      <w:hyperlink r:id="rId130">
        <w:r>
          <w:rPr>
            <w:rFonts w:ascii="Arial" w:cs="Arial" w:eastAsia="Arial" w:hAnsi="Arial"/>
            <w:sz w:val="16"/>
            <w:szCs w:val="16"/>
            <w:u w:val="single" w:color="auto"/>
            <w:color w:val="0000EE"/>
          </w:rPr>
          <w:t>(incorporated by reference to Exhibit 10.11 to Schlumberger’s Quarterly Report on Form 10-Q for the quarter ended June 30, 2013) (+)</w:t>
        </w:r>
      </w:hyperlink>
    </w:p>
    <w:p>
      <w:pPr>
        <w:spacing w:after="0" w:line="45" w:lineRule="exact"/>
        <w:rPr>
          <w:sz w:val="20"/>
          <w:szCs w:val="20"/>
          <w:color w:val="auto"/>
        </w:rPr>
      </w:pPr>
    </w:p>
    <w:p>
      <w:pPr>
        <w:spacing w:after="0" w:line="285" w:lineRule="auto"/>
        <w:rPr>
          <w:rFonts w:ascii="Arial" w:cs="Arial" w:eastAsia="Arial" w:hAnsi="Arial"/>
          <w:sz w:val="17"/>
          <w:szCs w:val="17"/>
          <w:u w:val="single" w:color="auto"/>
          <w:color w:val="0000EE"/>
        </w:rPr>
      </w:pPr>
      <w:hyperlink r:id="rId131">
        <w:r>
          <w:rPr>
            <w:rFonts w:ascii="Arial" w:cs="Arial" w:eastAsia="Arial" w:hAnsi="Arial"/>
            <w:sz w:val="17"/>
            <w:szCs w:val="17"/>
            <w:u w:val="single" w:color="auto"/>
            <w:color w:val="0000EE"/>
          </w:rPr>
          <w:t>Form of Schlumberger Stock Incentive Plan Restricted Stock Unit Award Agreement for France (incorporated by reference to Exhibit 10.3 to</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Schlumberger’s Quarterly report on Form 10-Q for the quarter ended March 31, 2017)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32">
        <w:r>
          <w:rPr>
            <w:rFonts w:ascii="Arial" w:cs="Arial" w:eastAsia="Arial" w:hAnsi="Arial"/>
            <w:sz w:val="17"/>
            <w:szCs w:val="17"/>
            <w:u w:val="single" w:color="auto"/>
            <w:color w:val="0000EE"/>
          </w:rPr>
          <w:t>Schlumberger 2013 Omnibus Stock Incentive Plan (incorporated by reference to Appendix A to Schlumberger’s Definitive Proxy Statement on</w:t>
        </w:r>
      </w:hyperlink>
      <w:r>
        <w:rPr>
          <w:rFonts w:ascii="Arial" w:cs="Arial" w:eastAsia="Arial" w:hAnsi="Arial"/>
          <w:sz w:val="17"/>
          <w:szCs w:val="17"/>
          <w:u w:val="single" w:color="auto"/>
          <w:color w:val="0000EE"/>
        </w:rPr>
        <w:t xml:space="preserve"> </w:t>
      </w:r>
      <w:hyperlink r:id="rId132">
        <w:r>
          <w:rPr>
            <w:rFonts w:ascii="Arial" w:cs="Arial" w:eastAsia="Arial" w:hAnsi="Arial"/>
            <w:sz w:val="17"/>
            <w:szCs w:val="17"/>
            <w:u w:val="single" w:color="auto"/>
            <w:color w:val="0000EE"/>
          </w:rPr>
          <w:t>Schedule 14A filed on March 1, 2013)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33">
        <w:r>
          <w:rPr>
            <w:rFonts w:ascii="Arial" w:cs="Arial" w:eastAsia="Arial" w:hAnsi="Arial"/>
            <w:sz w:val="17"/>
            <w:szCs w:val="17"/>
            <w:u w:val="single" w:color="auto"/>
            <w:color w:val="0000EE"/>
          </w:rPr>
          <w:t>First Amendment to Schlumberger 2013 Omnibus Stock Incentive Plan (incorporated by reference to Exhibit 10.9 to Schlumberger’s Quarterly</w:t>
        </w:r>
      </w:hyperlink>
      <w:r>
        <w:rPr>
          <w:rFonts w:ascii="Arial" w:cs="Arial" w:eastAsia="Arial" w:hAnsi="Arial"/>
          <w:sz w:val="17"/>
          <w:szCs w:val="17"/>
          <w:u w:val="single" w:color="auto"/>
          <w:color w:val="0000EE"/>
        </w:rPr>
        <w:t xml:space="preserve"> </w:t>
      </w:r>
      <w:hyperlink r:id="rId133">
        <w:r>
          <w:rPr>
            <w:rFonts w:ascii="Arial" w:cs="Arial" w:eastAsia="Arial" w:hAnsi="Arial"/>
            <w:sz w:val="17"/>
            <w:szCs w:val="17"/>
            <w:u w:val="single" w:color="auto"/>
            <w:color w:val="0000EE"/>
          </w:rPr>
          <w:t>Report on Form 10-Q for the quarter ended June 30, 2013)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34">
        <w:r>
          <w:rPr>
            <w:rFonts w:ascii="Arial" w:cs="Arial" w:eastAsia="Arial" w:hAnsi="Arial"/>
            <w:sz w:val="17"/>
            <w:szCs w:val="17"/>
            <w:u w:val="single" w:color="auto"/>
            <w:color w:val="0000EE"/>
          </w:rPr>
          <w:t>Form of Option Agreement, Incentive Stock Option, under Schlumberger 2013 Omnibus Stock Incentive Plan (incorporated by reference to</w:t>
        </w:r>
      </w:hyperlink>
      <w:r>
        <w:rPr>
          <w:rFonts w:ascii="Arial" w:cs="Arial" w:eastAsia="Arial" w:hAnsi="Arial"/>
          <w:sz w:val="17"/>
          <w:szCs w:val="17"/>
          <w:u w:val="single" w:color="auto"/>
          <w:color w:val="0000EE"/>
        </w:rPr>
        <w:t xml:space="preserve"> </w:t>
      </w:r>
      <w:hyperlink r:id="rId134">
        <w:r>
          <w:rPr>
            <w:rFonts w:ascii="Arial" w:cs="Arial" w:eastAsia="Arial" w:hAnsi="Arial"/>
            <w:sz w:val="17"/>
            <w:szCs w:val="17"/>
            <w:u w:val="single" w:color="auto"/>
            <w:color w:val="0000EE"/>
          </w:rPr>
          <w:t>Exhibit 10.1 to the Schlumberger’s Quarterly Report on Form 10-Q for the quarter ended in June 30, 2015)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35">
        <w:r>
          <w:rPr>
            <w:rFonts w:ascii="Arial" w:cs="Arial" w:eastAsia="Arial" w:hAnsi="Arial"/>
            <w:sz w:val="17"/>
            <w:szCs w:val="17"/>
            <w:u w:val="single" w:color="auto"/>
            <w:color w:val="0000EE"/>
          </w:rPr>
          <w:t>Form of Option Agreement, Non-Qualified Stock Option, under Schlumberger 2013 Omnibus Stock Incentive Plan (incorporated by reference to</w:t>
        </w:r>
      </w:hyperlink>
      <w:r>
        <w:rPr>
          <w:rFonts w:ascii="Arial" w:cs="Arial" w:eastAsia="Arial" w:hAnsi="Arial"/>
          <w:sz w:val="17"/>
          <w:szCs w:val="17"/>
          <w:u w:val="single" w:color="auto"/>
          <w:color w:val="0000EE"/>
        </w:rPr>
        <w:t xml:space="preserve"> </w:t>
      </w:r>
      <w:hyperlink r:id="rId135">
        <w:r>
          <w:rPr>
            <w:rFonts w:ascii="Arial" w:cs="Arial" w:eastAsia="Arial" w:hAnsi="Arial"/>
            <w:sz w:val="17"/>
            <w:szCs w:val="17"/>
            <w:u w:val="single" w:color="auto"/>
            <w:color w:val="0000EE"/>
          </w:rPr>
          <w:t>Exhibit 10.2 to Schlumberger’s Quarterly Report on Form 10-Q for the quarter ended June 30, 2015)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36">
        <w:r>
          <w:rPr>
            <w:rFonts w:ascii="Arial" w:cs="Arial" w:eastAsia="Arial" w:hAnsi="Arial"/>
            <w:sz w:val="17"/>
            <w:szCs w:val="17"/>
            <w:u w:val="single" w:color="auto"/>
            <w:color w:val="0000EE"/>
          </w:rPr>
          <w:t>Form of Restricted Stock Unit Award Agreement under Schlumberger 2013 Omnibus Stock Incentive Plan (incorporated by reference to Exhibit</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10.3 to Schlumberger’s Quarterly Report on Form 10-Q for the quarter ended June 30, 2015)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37">
        <w:r>
          <w:rPr>
            <w:rFonts w:ascii="Arial" w:cs="Arial" w:eastAsia="Arial" w:hAnsi="Arial"/>
            <w:sz w:val="17"/>
            <w:szCs w:val="17"/>
            <w:u w:val="single" w:color="auto"/>
            <w:color w:val="0000EE"/>
          </w:rPr>
          <w:t>Schlumberger Discounted Stock Purchase Plan, as amended and restated effective as of January 19, 2017 (incorporated by reference to Appendix</w:t>
        </w:r>
      </w:hyperlink>
      <w:r>
        <w:rPr>
          <w:rFonts w:ascii="Arial" w:cs="Arial" w:eastAsia="Arial" w:hAnsi="Arial"/>
          <w:sz w:val="17"/>
          <w:szCs w:val="17"/>
          <w:u w:val="single" w:color="auto"/>
          <w:color w:val="0000EE"/>
        </w:rPr>
        <w:t xml:space="preserve"> </w:t>
      </w:r>
      <w:hyperlink r:id="rId137">
        <w:r>
          <w:rPr>
            <w:rFonts w:ascii="Arial" w:cs="Arial" w:eastAsia="Arial" w:hAnsi="Arial"/>
            <w:sz w:val="17"/>
            <w:szCs w:val="17"/>
            <w:u w:val="single" w:color="auto"/>
            <w:color w:val="0000EE"/>
          </w:rPr>
          <w:t>C to Schlumberger’s Definitive Proxy Statement on Schedule 14A filed on February 21, 2017)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37">
        <w:r>
          <w:rPr>
            <w:rFonts w:ascii="Arial" w:cs="Arial" w:eastAsia="Arial" w:hAnsi="Arial"/>
            <w:sz w:val="17"/>
            <w:szCs w:val="17"/>
            <w:u w:val="single" w:color="auto"/>
            <w:color w:val="0000EE"/>
          </w:rPr>
          <w:t>Schlumberger 2017 Omnibus Stock Incentive Plan (incorporated by reference to Appendix B of Schlumberger’s Definitive Proxy Statement filed</w:t>
        </w:r>
      </w:hyperlink>
      <w:r>
        <w:rPr>
          <w:rFonts w:ascii="Arial" w:cs="Arial" w:eastAsia="Arial" w:hAnsi="Arial"/>
          <w:sz w:val="17"/>
          <w:szCs w:val="17"/>
          <w:u w:val="single" w:color="auto"/>
          <w:color w:val="0000EE"/>
        </w:rPr>
        <w:t xml:space="preserve"> </w:t>
      </w:r>
      <w:hyperlink r:id="rId137">
        <w:r>
          <w:rPr>
            <w:rFonts w:ascii="Arial" w:cs="Arial" w:eastAsia="Arial" w:hAnsi="Arial"/>
            <w:sz w:val="17"/>
            <w:szCs w:val="17"/>
            <w:u w:val="single" w:color="auto"/>
            <w:color w:val="0000EE"/>
          </w:rPr>
          <w:t>on February 21, 2017)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38">
        <w:r>
          <w:rPr>
            <w:rFonts w:ascii="Arial" w:cs="Arial" w:eastAsia="Arial" w:hAnsi="Arial"/>
            <w:sz w:val="17"/>
            <w:szCs w:val="17"/>
            <w:u w:val="single" w:color="auto"/>
            <w:color w:val="0000EE"/>
          </w:rPr>
          <w:t>Form of Incentive Stock Option Agreement under 2017 Schlumberger Omnibus Stock Incentive Plan (incorporated by reference to Exhibit 10.6</w:t>
        </w:r>
      </w:hyperlink>
      <w:r>
        <w:rPr>
          <w:rFonts w:ascii="Arial" w:cs="Arial" w:eastAsia="Arial" w:hAnsi="Arial"/>
          <w:sz w:val="17"/>
          <w:szCs w:val="17"/>
          <w:u w:val="single" w:color="auto"/>
          <w:color w:val="0000EE"/>
        </w:rPr>
        <w:t xml:space="preserve"> </w:t>
      </w:r>
      <w:hyperlink r:id="rId138">
        <w:r>
          <w:rPr>
            <w:rFonts w:ascii="Arial" w:cs="Arial" w:eastAsia="Arial" w:hAnsi="Arial"/>
            <w:sz w:val="17"/>
            <w:szCs w:val="17"/>
            <w:u w:val="single" w:color="auto"/>
            <w:color w:val="0000EE"/>
          </w:rPr>
          <w:t>to Schlumberger’s Quarterly Report on Form 10-Q for the quarter ended March 31, 2017)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39">
        <w:r>
          <w:rPr>
            <w:rFonts w:ascii="Arial" w:cs="Arial" w:eastAsia="Arial" w:hAnsi="Arial"/>
            <w:sz w:val="17"/>
            <w:szCs w:val="17"/>
            <w:u w:val="single" w:color="auto"/>
            <w:color w:val="0000EE"/>
          </w:rPr>
          <w:t>Form of Restricted Stock Unit Award Agreement under Schlumberger 2017 Omnibus Stock Incentive Plan (incorporated by reference to Exhibit</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10.4 to Schlumberger’s Quarterly Report on Form 10-Q for the quarter ended March 31, 2017)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40">
        <w:r>
          <w:rPr>
            <w:rFonts w:ascii="Arial" w:cs="Arial" w:eastAsia="Arial" w:hAnsi="Arial"/>
            <w:sz w:val="17"/>
            <w:szCs w:val="17"/>
            <w:u w:val="single" w:color="auto"/>
            <w:color w:val="0000EE"/>
          </w:rPr>
          <w:t>Form of Non-Qualified Stock Option Agreement under Schlumberger 2017 Omnibus Stock Incentive Plan (incorporated by reference to Exhibit</w:t>
        </w:r>
      </w:hyperlink>
      <w:r>
        <w:rPr>
          <w:rFonts w:ascii="Arial" w:cs="Arial" w:eastAsia="Arial" w:hAnsi="Arial"/>
          <w:sz w:val="17"/>
          <w:szCs w:val="17"/>
          <w:u w:val="single" w:color="auto"/>
          <w:color w:val="0000EE"/>
        </w:rPr>
        <w:t xml:space="preserve"> </w:t>
      </w:r>
      <w:hyperlink r:id="rId140">
        <w:r>
          <w:rPr>
            <w:rFonts w:ascii="Arial" w:cs="Arial" w:eastAsia="Arial" w:hAnsi="Arial"/>
            <w:sz w:val="17"/>
            <w:szCs w:val="17"/>
            <w:u w:val="single" w:color="auto"/>
            <w:color w:val="0000EE"/>
          </w:rPr>
          <w:t>10.5 to Schlumberger’s Quarterly Report on Form 10-Q for the quarter ended March 31, 2017)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41">
        <w:r>
          <w:rPr>
            <w:rFonts w:ascii="Arial" w:cs="Arial" w:eastAsia="Arial" w:hAnsi="Arial"/>
            <w:sz w:val="17"/>
            <w:szCs w:val="17"/>
            <w:u w:val="single" w:color="auto"/>
            <w:color w:val="0000EE"/>
          </w:rPr>
          <w:t>Form of 2016 Three-Year Performance Share Unit Award Agreement under Schlumberger 2013 Omnibus Stock Incentive Plan (incorporated by</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reference to Exhibit 10.1 to Schlumberger’s Quarterly Report on Form 10-Q for the quarter ended April 27, 2016) (+)</w:t>
        </w:r>
      </w:hyperlink>
    </w:p>
    <w:p>
      <w:pPr>
        <w:spacing w:after="0" w:line="68" w:lineRule="exact"/>
        <w:rPr>
          <w:sz w:val="20"/>
          <w:szCs w:val="20"/>
          <w:color w:val="auto"/>
        </w:rPr>
      </w:pPr>
    </w:p>
    <w:p>
      <w:pPr>
        <w:spacing w:after="0" w:line="285" w:lineRule="auto"/>
        <w:rPr>
          <w:rFonts w:ascii="Arial" w:cs="Arial" w:eastAsia="Arial" w:hAnsi="Arial"/>
          <w:sz w:val="17"/>
          <w:szCs w:val="17"/>
          <w:u w:val="single" w:color="auto"/>
          <w:color w:val="0000EE"/>
        </w:rPr>
      </w:pPr>
      <w:hyperlink r:id="rId142">
        <w:r>
          <w:rPr>
            <w:rFonts w:ascii="Arial" w:cs="Arial" w:eastAsia="Arial" w:hAnsi="Arial"/>
            <w:sz w:val="17"/>
            <w:szCs w:val="17"/>
            <w:u w:val="single" w:color="auto"/>
            <w:color w:val="0000EE"/>
          </w:rPr>
          <w:t>Form of 2017 Two-Year Performance Share Unit Award Agreement under Schlumberger 2013 Omnibus Stock Incentive Plan (incorporated by</w:t>
        </w:r>
      </w:hyperlink>
      <w:r>
        <w:rPr>
          <w:rFonts w:ascii="Arial" w:cs="Arial" w:eastAsia="Arial" w:hAnsi="Arial"/>
          <w:sz w:val="17"/>
          <w:szCs w:val="17"/>
          <w:u w:val="single" w:color="auto"/>
          <w:color w:val="0000EE"/>
        </w:rPr>
        <w:t xml:space="preserve"> </w:t>
      </w:r>
      <w:hyperlink r:id="rId142">
        <w:r>
          <w:rPr>
            <w:rFonts w:ascii="Arial" w:cs="Arial" w:eastAsia="Arial" w:hAnsi="Arial"/>
            <w:sz w:val="17"/>
            <w:szCs w:val="17"/>
            <w:u w:val="single" w:color="auto"/>
            <w:color w:val="0000EE"/>
          </w:rPr>
          <w:t>reference to Exhibit 10.1 to Schlumberger’s Quarterly Report on Form 10-Q for the quarter ended March 31, 2017) (+)</w:t>
        </w:r>
      </w:hyperlink>
    </w:p>
    <w:p>
      <w:pPr>
        <w:spacing w:after="0" w:line="15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77470</wp:posOffset>
            </wp:positionV>
            <wp:extent cx="729361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Exhibit</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10.16</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10.17</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10.18</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10.19</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10.20</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10.21</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10.22</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10.23</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10.24</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10.25</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10.26</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10.27</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10.28</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10.29</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10.30</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10.31</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10.32</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10.33</w:t>
      </w:r>
    </w:p>
    <w:p>
      <w:pPr>
        <w:sectPr>
          <w:pgSz w:w="11900" w:h="16838" w:orient="portrait"/>
          <w:cols w:equalWidth="0" w:num="2">
            <w:col w:w="10140" w:space="480"/>
            <w:col w:w="780"/>
          </w:cols>
          <w:pgMar w:left="260" w:top="118" w:right="239" w:bottom="1440" w:gutter="0" w:footer="0" w:header="0"/>
        </w:sectPr>
      </w:pPr>
    </w:p>
    <w:bookmarkStart w:id="73" w:name="page74"/>
    <w:bookmarkEnd w:id="73"/>
    <w:p>
      <w:pPr>
        <w:spacing w:after="0" w:line="360" w:lineRule="exact"/>
        <w:rPr>
          <w:sz w:val="20"/>
          <w:szCs w:val="20"/>
          <w:color w:val="auto"/>
        </w:rPr>
      </w:pPr>
    </w:p>
    <w:p>
      <w:pPr>
        <w:ind w:left="3"/>
        <w:spacing w:after="0" w:line="285" w:lineRule="auto"/>
        <w:rPr>
          <w:rFonts w:ascii="Arial" w:cs="Arial" w:eastAsia="Arial" w:hAnsi="Arial"/>
          <w:sz w:val="17"/>
          <w:szCs w:val="17"/>
          <w:u w:val="single" w:color="auto"/>
          <w:color w:val="0000EE"/>
        </w:rPr>
      </w:pPr>
      <w:hyperlink r:id="rId144">
        <w:r>
          <w:rPr>
            <w:rFonts w:ascii="Arial" w:cs="Arial" w:eastAsia="Arial" w:hAnsi="Arial"/>
            <w:sz w:val="17"/>
            <w:szCs w:val="17"/>
            <w:u w:val="single" w:color="auto"/>
            <w:color w:val="0000EE"/>
          </w:rPr>
          <w:t>Form of 2017 Three-Year Performance Share Unit Award Agreement under Schlumberger 2013 Omnibus Stock Incentive Plan (incorporated by</w:t>
        </w:r>
      </w:hyperlink>
      <w:r>
        <w:rPr>
          <w:rFonts w:ascii="Arial" w:cs="Arial" w:eastAsia="Arial" w:hAnsi="Arial"/>
          <w:sz w:val="17"/>
          <w:szCs w:val="17"/>
          <w:u w:val="single" w:color="auto"/>
          <w:color w:val="0000EE"/>
        </w:rPr>
        <w:t xml:space="preserve"> </w:t>
      </w:r>
      <w:hyperlink r:id="rId144">
        <w:r>
          <w:rPr>
            <w:rFonts w:ascii="Arial" w:cs="Arial" w:eastAsia="Arial" w:hAnsi="Arial"/>
            <w:sz w:val="17"/>
            <w:szCs w:val="17"/>
            <w:u w:val="single" w:color="auto"/>
            <w:color w:val="0000EE"/>
          </w:rPr>
          <w:t>reference to Exhibit 10.2 to Schlumberger’s Quarterly Report on Form 10-Q for the quarter ended March 31, 2017) (+)</w:t>
        </w:r>
      </w:hyperlink>
    </w:p>
    <w:p>
      <w:pPr>
        <w:spacing w:after="0" w:line="68" w:lineRule="exact"/>
        <w:rPr>
          <w:sz w:val="20"/>
          <w:szCs w:val="20"/>
          <w:color w:val="auto"/>
        </w:rPr>
      </w:pPr>
    </w:p>
    <w:p>
      <w:pPr>
        <w:ind w:left="3" w:right="240"/>
        <w:spacing w:after="0" w:line="285" w:lineRule="auto"/>
        <w:rPr>
          <w:rFonts w:ascii="Arial" w:cs="Arial" w:eastAsia="Arial" w:hAnsi="Arial"/>
          <w:sz w:val="17"/>
          <w:szCs w:val="17"/>
          <w:u w:val="single" w:color="auto"/>
          <w:color w:val="0000EE"/>
        </w:rPr>
      </w:pPr>
      <w:hyperlink r:id="rId145">
        <w:r>
          <w:rPr>
            <w:rFonts w:ascii="Arial" w:cs="Arial" w:eastAsia="Arial" w:hAnsi="Arial"/>
            <w:sz w:val="17"/>
            <w:szCs w:val="17"/>
            <w:u w:val="single" w:color="auto"/>
            <w:color w:val="0000EE"/>
          </w:rPr>
          <w:t>Form of 2015 Cameron International Corporation Stock Option Agreement applicable to Chief Executive Officer (incorporated by reference to</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Exhibit 10.38 to Schlumberger’s Annual Report on Form 10-K for the year ended December 31, 2016) (+)</w:t>
        </w:r>
      </w:hyperlink>
    </w:p>
    <w:p>
      <w:pPr>
        <w:spacing w:after="0" w:line="55" w:lineRule="exact"/>
        <w:rPr>
          <w:sz w:val="20"/>
          <w:szCs w:val="20"/>
          <w:color w:val="auto"/>
        </w:rPr>
      </w:pPr>
    </w:p>
    <w:p>
      <w:pPr>
        <w:ind w:left="3"/>
        <w:spacing w:after="0" w:line="285" w:lineRule="auto"/>
        <w:rPr>
          <w:rFonts w:ascii="Arial" w:cs="Arial" w:eastAsia="Arial" w:hAnsi="Arial"/>
          <w:sz w:val="17"/>
          <w:szCs w:val="17"/>
          <w:u w:val="single" w:color="auto"/>
          <w:color w:val="0000EE"/>
        </w:rPr>
      </w:pPr>
      <w:hyperlink r:id="rId146">
        <w:r>
          <w:rPr>
            <w:rFonts w:ascii="Arial" w:cs="Arial" w:eastAsia="Arial" w:hAnsi="Arial"/>
            <w:sz w:val="17"/>
            <w:szCs w:val="17"/>
            <w:u w:val="single" w:color="auto"/>
            <w:color w:val="0000EE"/>
          </w:rPr>
          <w:t>Form of 2011 Cameron International Corporation Non-Qualified Stock Option Agreement (incorporated by reference to Exhibit 10.39 to</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Schlumberger’s Annual Report on Form 10-K for the year ended December 31, 2016) (+)</w:t>
        </w:r>
      </w:hyperlink>
    </w:p>
    <w:p>
      <w:pPr>
        <w:spacing w:after="0" w:line="159" w:lineRule="exact"/>
        <w:rPr>
          <w:sz w:val="20"/>
          <w:szCs w:val="20"/>
          <w:color w:val="auto"/>
        </w:rPr>
      </w:pPr>
    </w:p>
    <w:p>
      <w:pPr>
        <w:ind w:left="3"/>
        <w:spacing w:after="0" w:line="285" w:lineRule="auto"/>
        <w:rPr>
          <w:rFonts w:ascii="Arial" w:cs="Arial" w:eastAsia="Arial" w:hAnsi="Arial"/>
          <w:sz w:val="17"/>
          <w:szCs w:val="17"/>
          <w:u w:val="single" w:color="auto"/>
          <w:color w:val="0000EE"/>
        </w:rPr>
      </w:pPr>
      <w:hyperlink r:id="rId147">
        <w:r>
          <w:rPr>
            <w:rFonts w:ascii="Arial" w:cs="Arial" w:eastAsia="Arial" w:hAnsi="Arial"/>
            <w:sz w:val="17"/>
            <w:szCs w:val="17"/>
            <w:u w:val="single" w:color="auto"/>
            <w:color w:val="0000EE"/>
          </w:rPr>
          <w:t>Form of 2013 Cameron International Corporation Non-Qualified Stock Option Agreement (incorporated by reference to Exhibit 10.40 to</w:t>
        </w:r>
      </w:hyperlink>
      <w:r>
        <w:rPr>
          <w:rFonts w:ascii="Arial" w:cs="Arial" w:eastAsia="Arial" w:hAnsi="Arial"/>
          <w:sz w:val="17"/>
          <w:szCs w:val="17"/>
          <w:u w:val="single" w:color="auto"/>
          <w:color w:val="0000EE"/>
        </w:rPr>
        <w:t xml:space="preserve"> </w:t>
      </w:r>
      <w:hyperlink r:id="rId147">
        <w:r>
          <w:rPr>
            <w:rFonts w:ascii="Arial" w:cs="Arial" w:eastAsia="Arial" w:hAnsi="Arial"/>
            <w:sz w:val="17"/>
            <w:szCs w:val="17"/>
            <w:u w:val="single" w:color="auto"/>
            <w:color w:val="0000EE"/>
          </w:rPr>
          <w:t>Schlumberger’s Annual Report on Form 10-K for the year ended December 31, 2016) (+)</w:t>
        </w:r>
      </w:hyperlink>
    </w:p>
    <w:p>
      <w:pPr>
        <w:spacing w:after="0" w:line="68" w:lineRule="exact"/>
        <w:rPr>
          <w:sz w:val="20"/>
          <w:szCs w:val="20"/>
          <w:color w:val="auto"/>
        </w:rPr>
      </w:pPr>
    </w:p>
    <w:p>
      <w:pPr>
        <w:ind w:left="3"/>
        <w:spacing w:after="0" w:line="285" w:lineRule="auto"/>
        <w:rPr>
          <w:rFonts w:ascii="Arial" w:cs="Arial" w:eastAsia="Arial" w:hAnsi="Arial"/>
          <w:sz w:val="17"/>
          <w:szCs w:val="17"/>
          <w:u w:val="single" w:color="auto"/>
          <w:color w:val="0000EE"/>
        </w:rPr>
      </w:pPr>
      <w:hyperlink r:id="rId148">
        <w:r>
          <w:rPr>
            <w:rFonts w:ascii="Arial" w:cs="Arial" w:eastAsia="Arial" w:hAnsi="Arial"/>
            <w:sz w:val="17"/>
            <w:szCs w:val="17"/>
            <w:u w:val="single" w:color="auto"/>
            <w:color w:val="0000EE"/>
          </w:rPr>
          <w:t>Form of 2014 Cameron International Corporation Non-Qualified Stock Option Agreement (incorporated by reference to Exhibit 10.41 to</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Schlumberger’s Annual Report on Form 10-K for the year ended December 31, 2016) (+)</w:t>
        </w:r>
      </w:hyperlink>
    </w:p>
    <w:p>
      <w:pPr>
        <w:spacing w:after="0" w:line="68" w:lineRule="exact"/>
        <w:rPr>
          <w:sz w:val="20"/>
          <w:szCs w:val="20"/>
          <w:color w:val="auto"/>
        </w:rPr>
      </w:pPr>
    </w:p>
    <w:p>
      <w:pPr>
        <w:ind w:left="3"/>
        <w:spacing w:after="0" w:line="285" w:lineRule="auto"/>
        <w:rPr>
          <w:rFonts w:ascii="Arial" w:cs="Arial" w:eastAsia="Arial" w:hAnsi="Arial"/>
          <w:sz w:val="17"/>
          <w:szCs w:val="17"/>
          <w:u w:val="single" w:color="auto"/>
          <w:color w:val="0000EE"/>
        </w:rPr>
      </w:pPr>
      <w:hyperlink r:id="rId149">
        <w:r>
          <w:rPr>
            <w:rFonts w:ascii="Arial" w:cs="Arial" w:eastAsia="Arial" w:hAnsi="Arial"/>
            <w:sz w:val="17"/>
            <w:szCs w:val="17"/>
            <w:u w:val="single" w:color="auto"/>
            <w:color w:val="0000EE"/>
          </w:rPr>
          <w:t>Form of 2011 Cameron International Corporation Incentive Stock Option Agreement (incorporated by reference to Exhibit 10.43 to</w:t>
        </w:r>
      </w:hyperlink>
      <w:r>
        <w:rPr>
          <w:rFonts w:ascii="Arial" w:cs="Arial" w:eastAsia="Arial" w:hAnsi="Arial"/>
          <w:sz w:val="17"/>
          <w:szCs w:val="17"/>
          <w:u w:val="single" w:color="auto"/>
          <w:color w:val="0000EE"/>
        </w:rPr>
        <w:t xml:space="preserve"> </w:t>
      </w:r>
      <w:hyperlink r:id="rId149">
        <w:r>
          <w:rPr>
            <w:rFonts w:ascii="Arial" w:cs="Arial" w:eastAsia="Arial" w:hAnsi="Arial"/>
            <w:sz w:val="17"/>
            <w:szCs w:val="17"/>
            <w:u w:val="single" w:color="auto"/>
            <w:color w:val="0000EE"/>
          </w:rPr>
          <w:t>Schlumberger’s Annual Report on Form 10-K for the year ended December 31, 2016) (+)</w:t>
        </w:r>
      </w:hyperlink>
    </w:p>
    <w:p>
      <w:pPr>
        <w:spacing w:after="0" w:line="68" w:lineRule="exact"/>
        <w:rPr>
          <w:sz w:val="20"/>
          <w:szCs w:val="20"/>
          <w:color w:val="auto"/>
        </w:rPr>
      </w:pPr>
    </w:p>
    <w:p>
      <w:pPr>
        <w:ind w:left="3"/>
        <w:spacing w:after="0" w:line="285" w:lineRule="auto"/>
        <w:rPr>
          <w:rFonts w:ascii="Arial" w:cs="Arial" w:eastAsia="Arial" w:hAnsi="Arial"/>
          <w:sz w:val="17"/>
          <w:szCs w:val="17"/>
          <w:u w:val="single" w:color="auto"/>
          <w:color w:val="0000EE"/>
        </w:rPr>
      </w:pPr>
      <w:hyperlink r:id="rId150">
        <w:r>
          <w:rPr>
            <w:rFonts w:ascii="Arial" w:cs="Arial" w:eastAsia="Arial" w:hAnsi="Arial"/>
            <w:sz w:val="17"/>
            <w:szCs w:val="17"/>
            <w:u w:val="single" w:color="auto"/>
            <w:color w:val="0000EE"/>
          </w:rPr>
          <w:t>Form of 2013 Cameron International Corporation Incentive Stock Option Agreement (incorporated by reference to Exhibit 10.44 to</w:t>
        </w:r>
      </w:hyperlink>
      <w:r>
        <w:rPr>
          <w:rFonts w:ascii="Arial" w:cs="Arial" w:eastAsia="Arial" w:hAnsi="Arial"/>
          <w:sz w:val="17"/>
          <w:szCs w:val="17"/>
          <w:u w:val="single" w:color="auto"/>
          <w:color w:val="0000EE"/>
        </w:rPr>
        <w:t xml:space="preserve"> </w:t>
      </w:r>
      <w:hyperlink r:id="rId150">
        <w:r>
          <w:rPr>
            <w:rFonts w:ascii="Arial" w:cs="Arial" w:eastAsia="Arial" w:hAnsi="Arial"/>
            <w:sz w:val="17"/>
            <w:szCs w:val="17"/>
            <w:u w:val="single" w:color="auto"/>
            <w:color w:val="0000EE"/>
          </w:rPr>
          <w:t>Schlumberger’s Annual Report on Form 10-K for the year ended December 31, 2016) (+)</w:t>
        </w:r>
      </w:hyperlink>
    </w:p>
    <w:p>
      <w:pPr>
        <w:spacing w:after="0" w:line="68" w:lineRule="exact"/>
        <w:rPr>
          <w:sz w:val="20"/>
          <w:szCs w:val="20"/>
          <w:color w:val="auto"/>
        </w:rPr>
      </w:pPr>
    </w:p>
    <w:p>
      <w:pPr>
        <w:ind w:left="3"/>
        <w:spacing w:after="0" w:line="285" w:lineRule="auto"/>
        <w:rPr>
          <w:rFonts w:ascii="Arial" w:cs="Arial" w:eastAsia="Arial" w:hAnsi="Arial"/>
          <w:sz w:val="17"/>
          <w:szCs w:val="17"/>
          <w:u w:val="single" w:color="auto"/>
          <w:color w:val="0000EE"/>
        </w:rPr>
      </w:pPr>
      <w:hyperlink r:id="rId151">
        <w:r>
          <w:rPr>
            <w:rFonts w:ascii="Arial" w:cs="Arial" w:eastAsia="Arial" w:hAnsi="Arial"/>
            <w:sz w:val="17"/>
            <w:szCs w:val="17"/>
            <w:u w:val="single" w:color="auto"/>
            <w:color w:val="0000EE"/>
          </w:rPr>
          <w:t>Form of 2014 Cameron International Corporation Incentive Stock Option Agreement (incorporated by reference to Exhibit 10.45 to</w:t>
        </w:r>
      </w:hyperlink>
      <w:r>
        <w:rPr>
          <w:rFonts w:ascii="Arial" w:cs="Arial" w:eastAsia="Arial" w:hAnsi="Arial"/>
          <w:sz w:val="17"/>
          <w:szCs w:val="17"/>
          <w:u w:val="single" w:color="auto"/>
          <w:color w:val="0000EE"/>
        </w:rPr>
        <w:t xml:space="preserve"> </w:t>
      </w:r>
      <w:hyperlink r:id="rId151">
        <w:r>
          <w:rPr>
            <w:rFonts w:ascii="Arial" w:cs="Arial" w:eastAsia="Arial" w:hAnsi="Arial"/>
            <w:sz w:val="17"/>
            <w:szCs w:val="17"/>
            <w:u w:val="single" w:color="auto"/>
            <w:color w:val="0000EE"/>
          </w:rPr>
          <w:t>Schlumberger’s Annual Report on Form 10-K for the year ended December 31, 2016) (+)</w:t>
        </w:r>
      </w:hyperlink>
    </w:p>
    <w:p>
      <w:pPr>
        <w:spacing w:after="0" w:line="68" w:lineRule="exact"/>
        <w:rPr>
          <w:sz w:val="20"/>
          <w:szCs w:val="20"/>
          <w:color w:val="auto"/>
        </w:rPr>
      </w:pPr>
    </w:p>
    <w:p>
      <w:pPr>
        <w:ind w:left="3"/>
        <w:spacing w:after="0" w:line="285" w:lineRule="auto"/>
        <w:rPr>
          <w:rFonts w:ascii="Arial" w:cs="Arial" w:eastAsia="Arial" w:hAnsi="Arial"/>
          <w:sz w:val="17"/>
          <w:szCs w:val="17"/>
          <w:u w:val="single" w:color="auto"/>
          <w:color w:val="0000EE"/>
        </w:rPr>
      </w:pPr>
      <w:hyperlink r:id="rId152">
        <w:r>
          <w:rPr>
            <w:rFonts w:ascii="Arial" w:cs="Arial" w:eastAsia="Arial" w:hAnsi="Arial"/>
            <w:sz w:val="17"/>
            <w:szCs w:val="17"/>
            <w:u w:val="single" w:color="auto"/>
            <w:color w:val="0000EE"/>
          </w:rPr>
          <w:t>Form of Indemnification Agreement (incorporated by reference to Exhibit 10 to Schlumberger’s Current Report on Form 8-K filed on October 21,</w:t>
        </w:r>
      </w:hyperlink>
      <w:r>
        <w:rPr>
          <w:rFonts w:ascii="Arial" w:cs="Arial" w:eastAsia="Arial" w:hAnsi="Arial"/>
          <w:sz w:val="17"/>
          <w:szCs w:val="17"/>
          <w:u w:val="single" w:color="auto"/>
          <w:color w:val="0000EE"/>
        </w:rPr>
        <w:t xml:space="preserve"> </w:t>
      </w:r>
      <w:hyperlink r:id="rId152">
        <w:r>
          <w:rPr>
            <w:rFonts w:ascii="Arial" w:cs="Arial" w:eastAsia="Arial" w:hAnsi="Arial"/>
            <w:sz w:val="17"/>
            <w:szCs w:val="17"/>
            <w:u w:val="single" w:color="auto"/>
            <w:color w:val="0000EE"/>
          </w:rPr>
          <w:t>2013)</w:t>
        </w:r>
      </w:hyperlink>
    </w:p>
    <w:p>
      <w:pPr>
        <w:spacing w:after="0" w:line="68" w:lineRule="exact"/>
        <w:rPr>
          <w:sz w:val="20"/>
          <w:szCs w:val="20"/>
          <w:color w:val="auto"/>
        </w:rPr>
      </w:pPr>
    </w:p>
    <w:p>
      <w:pPr>
        <w:ind w:left="3"/>
        <w:spacing w:after="0"/>
        <w:rPr>
          <w:rFonts w:ascii="Arial" w:cs="Arial" w:eastAsia="Arial" w:hAnsi="Arial"/>
          <w:sz w:val="17"/>
          <w:szCs w:val="17"/>
          <w:u w:val="single" w:color="auto"/>
          <w:color w:val="0000EE"/>
        </w:rPr>
      </w:pPr>
      <w:hyperlink w:anchor="page89">
        <w:r>
          <w:rPr>
            <w:rFonts w:ascii="Arial" w:cs="Arial" w:eastAsia="Arial" w:hAnsi="Arial"/>
            <w:sz w:val="17"/>
            <w:szCs w:val="17"/>
            <w:u w:val="single" w:color="auto"/>
            <w:color w:val="0000EE"/>
          </w:rPr>
          <w:t>Subsidiaries (*)</w:t>
        </w:r>
      </w:hyperlink>
    </w:p>
    <w:p>
      <w:pPr>
        <w:spacing w:after="0" w:line="129" w:lineRule="exact"/>
        <w:rPr>
          <w:sz w:val="20"/>
          <w:szCs w:val="20"/>
          <w:color w:val="auto"/>
        </w:rPr>
      </w:pPr>
    </w:p>
    <w:p>
      <w:pPr>
        <w:ind w:left="3"/>
        <w:spacing w:after="0"/>
        <w:rPr>
          <w:rFonts w:ascii="Arial" w:cs="Arial" w:eastAsia="Arial" w:hAnsi="Arial"/>
          <w:sz w:val="17"/>
          <w:szCs w:val="17"/>
          <w:u w:val="single" w:color="auto"/>
          <w:color w:val="0000EE"/>
        </w:rPr>
      </w:pPr>
      <w:hyperlink w:anchor="page90">
        <w:r>
          <w:rPr>
            <w:rFonts w:ascii="Arial" w:cs="Arial" w:eastAsia="Arial" w:hAnsi="Arial"/>
            <w:sz w:val="17"/>
            <w:szCs w:val="17"/>
            <w:u w:val="single" w:color="auto"/>
            <w:color w:val="0000EE"/>
          </w:rPr>
          <w:t>Consent of Independent Registered Public Accounting Firm (*)</w:t>
        </w:r>
      </w:hyperlink>
    </w:p>
    <w:p>
      <w:pPr>
        <w:spacing w:after="0" w:line="90" w:lineRule="exact"/>
        <w:rPr>
          <w:sz w:val="20"/>
          <w:szCs w:val="20"/>
          <w:color w:val="auto"/>
        </w:rPr>
      </w:pPr>
    </w:p>
    <w:p>
      <w:pPr>
        <w:ind w:left="3"/>
        <w:spacing w:after="0"/>
        <w:rPr>
          <w:rFonts w:ascii="Arial" w:cs="Arial" w:eastAsia="Arial" w:hAnsi="Arial"/>
          <w:sz w:val="17"/>
          <w:szCs w:val="17"/>
          <w:u w:val="single" w:color="auto"/>
          <w:color w:val="0000EE"/>
        </w:rPr>
      </w:pPr>
      <w:hyperlink w:anchor="page91">
        <w:r>
          <w:rPr>
            <w:rFonts w:ascii="Arial" w:cs="Arial" w:eastAsia="Arial" w:hAnsi="Arial"/>
            <w:sz w:val="17"/>
            <w:szCs w:val="17"/>
            <w:u w:val="single" w:color="auto"/>
            <w:color w:val="0000EE"/>
          </w:rPr>
          <w:t>Powers of Attorney (*)</w:t>
        </w:r>
      </w:hyperlink>
    </w:p>
    <w:p>
      <w:pPr>
        <w:spacing w:after="0" w:line="90" w:lineRule="exact"/>
        <w:rPr>
          <w:sz w:val="20"/>
          <w:szCs w:val="20"/>
          <w:color w:val="auto"/>
        </w:rPr>
      </w:pPr>
    </w:p>
    <w:p>
      <w:pPr>
        <w:ind w:left="3"/>
        <w:spacing w:after="0"/>
        <w:rPr>
          <w:rFonts w:ascii="Arial" w:cs="Arial" w:eastAsia="Arial" w:hAnsi="Arial"/>
          <w:sz w:val="16"/>
          <w:szCs w:val="16"/>
          <w:u w:val="single" w:color="auto"/>
          <w:color w:val="0000EE"/>
        </w:rPr>
      </w:pPr>
      <w:hyperlink w:anchor="page92">
        <w:r>
          <w:rPr>
            <w:rFonts w:ascii="Arial" w:cs="Arial" w:eastAsia="Arial" w:hAnsi="Arial"/>
            <w:sz w:val="16"/>
            <w:szCs w:val="16"/>
            <w:u w:val="single" w:color="auto"/>
            <w:color w:val="0000EE"/>
          </w:rPr>
          <w:t>Certification of Chief Executive Officer pursuant to Rule 13a-14(a) as Adopted Pursuant to Section 302 of the Sarbanes-Oxley Act of 2002 (*)</w:t>
        </w:r>
      </w:hyperlink>
    </w:p>
    <w:p>
      <w:pPr>
        <w:spacing w:after="0" w:line="102" w:lineRule="exact"/>
        <w:rPr>
          <w:sz w:val="20"/>
          <w:szCs w:val="20"/>
          <w:color w:val="auto"/>
        </w:rPr>
      </w:pPr>
    </w:p>
    <w:p>
      <w:pPr>
        <w:ind w:left="3"/>
        <w:spacing w:after="0"/>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Certification of Chief Financial Officer pursuant to Rule 13a-14(a) as Adopted Pursuant to Section 302 of the Sarbanes-Oxley Act of 2002 (*)</w:t>
        </w:r>
      </w:hyperlink>
    </w:p>
    <w:p>
      <w:pPr>
        <w:spacing w:after="0" w:line="102" w:lineRule="exact"/>
        <w:rPr>
          <w:sz w:val="20"/>
          <w:szCs w:val="20"/>
          <w:color w:val="auto"/>
        </w:rPr>
      </w:pPr>
    </w:p>
    <w:p>
      <w:pPr>
        <w:ind w:left="3"/>
        <w:spacing w:after="0" w:line="285" w:lineRule="auto"/>
        <w:rPr>
          <w:rFonts w:ascii="Arial" w:cs="Arial" w:eastAsia="Arial" w:hAnsi="Arial"/>
          <w:sz w:val="17"/>
          <w:szCs w:val="17"/>
          <w:u w:val="single" w:color="auto"/>
          <w:color w:val="0000EE"/>
        </w:rPr>
      </w:pPr>
      <w:hyperlink w:anchor="page94">
        <w:r>
          <w:rPr>
            <w:rFonts w:ascii="Arial" w:cs="Arial" w:eastAsia="Arial" w:hAnsi="Arial"/>
            <w:sz w:val="17"/>
            <w:szCs w:val="17"/>
            <w:u w:val="single" w:color="auto"/>
            <w:color w:val="0000EE"/>
          </w:rPr>
          <w:t>Certification of Chief Executive Officer pursuant to 18 U.S.C. Section 1350, as Adopted Pursuant to Section 906 of the Sarbanes-Oxley Act of</w:t>
        </w:r>
      </w:hyperlink>
      <w:r>
        <w:rPr>
          <w:rFonts w:ascii="Arial" w:cs="Arial" w:eastAsia="Arial" w:hAnsi="Arial"/>
          <w:sz w:val="17"/>
          <w:szCs w:val="17"/>
          <w:u w:val="single" w:color="auto"/>
          <w:color w:val="0000EE"/>
        </w:rPr>
        <w:t xml:space="preserve"> </w:t>
      </w:r>
      <w:hyperlink w:anchor="page94">
        <w:r>
          <w:rPr>
            <w:rFonts w:ascii="Arial" w:cs="Arial" w:eastAsia="Arial" w:hAnsi="Arial"/>
            <w:sz w:val="17"/>
            <w:szCs w:val="17"/>
            <w:u w:val="single" w:color="auto"/>
            <w:color w:val="0000EE"/>
          </w:rPr>
          <w:t>2002 (*)</w:t>
        </w:r>
      </w:hyperlink>
    </w:p>
    <w:p>
      <w:pPr>
        <w:spacing w:after="0" w:line="68" w:lineRule="exact"/>
        <w:rPr>
          <w:sz w:val="20"/>
          <w:szCs w:val="20"/>
          <w:color w:val="auto"/>
        </w:rPr>
      </w:pPr>
    </w:p>
    <w:p>
      <w:pPr>
        <w:ind w:left="3"/>
        <w:spacing w:after="0" w:line="285" w:lineRule="auto"/>
        <w:rPr>
          <w:rFonts w:ascii="Arial" w:cs="Arial" w:eastAsia="Arial" w:hAnsi="Arial"/>
          <w:sz w:val="17"/>
          <w:szCs w:val="17"/>
          <w:u w:val="single" w:color="auto"/>
          <w:color w:val="0000EE"/>
        </w:rPr>
      </w:pPr>
      <w:hyperlink w:anchor="page95">
        <w:r>
          <w:rPr>
            <w:rFonts w:ascii="Arial" w:cs="Arial" w:eastAsia="Arial" w:hAnsi="Arial"/>
            <w:sz w:val="17"/>
            <w:szCs w:val="17"/>
            <w:u w:val="single" w:color="auto"/>
            <w:color w:val="0000EE"/>
          </w:rPr>
          <w:t>Certification of Chief Financial Officer pursuant to 18 U.S.C. Section 1350, as Adopted Pursuant to Section 906 of the Sarbanes-Oxley Act of</w:t>
        </w:r>
      </w:hyperlink>
      <w:r>
        <w:rPr>
          <w:rFonts w:ascii="Arial" w:cs="Arial" w:eastAsia="Arial" w:hAnsi="Arial"/>
          <w:sz w:val="17"/>
          <w:szCs w:val="17"/>
          <w:u w:val="single" w:color="auto"/>
          <w:color w:val="0000EE"/>
        </w:rPr>
        <w:t xml:space="preserve"> </w:t>
      </w:r>
      <w:hyperlink w:anchor="page95">
        <w:r>
          <w:rPr>
            <w:rFonts w:ascii="Arial" w:cs="Arial" w:eastAsia="Arial" w:hAnsi="Arial"/>
            <w:sz w:val="17"/>
            <w:szCs w:val="17"/>
            <w:u w:val="single" w:color="auto"/>
            <w:color w:val="0000EE"/>
          </w:rPr>
          <w:t>2002 (*)</w:t>
        </w:r>
      </w:hyperlink>
    </w:p>
    <w:p>
      <w:pPr>
        <w:spacing w:after="0" w:line="29" w:lineRule="exact"/>
        <w:rPr>
          <w:sz w:val="20"/>
          <w:szCs w:val="20"/>
          <w:color w:val="auto"/>
        </w:rPr>
      </w:pPr>
    </w:p>
    <w:p>
      <w:pPr>
        <w:ind w:left="3"/>
        <w:spacing w:after="0"/>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Mine Safety Disclosure (*)</w:t>
        </w:r>
      </w:hyperlink>
    </w:p>
    <w:p>
      <w:pPr>
        <w:spacing w:after="0" w:line="90" w:lineRule="exact"/>
        <w:rPr>
          <w:sz w:val="20"/>
          <w:szCs w:val="20"/>
          <w:color w:val="auto"/>
        </w:rPr>
      </w:pPr>
    </w:p>
    <w:p>
      <w:pPr>
        <w:jc w:val="both"/>
        <w:ind w:left="3"/>
        <w:spacing w:after="0" w:line="279" w:lineRule="auto"/>
        <w:rPr>
          <w:sz w:val="20"/>
          <w:szCs w:val="20"/>
          <w:color w:val="auto"/>
        </w:rPr>
      </w:pPr>
      <w:r>
        <w:rPr>
          <w:rFonts w:ascii="Arial" w:cs="Arial" w:eastAsia="Arial" w:hAnsi="Arial"/>
          <w:sz w:val="16"/>
          <w:szCs w:val="16"/>
          <w:color w:val="auto"/>
        </w:rPr>
        <w:t>The following materials from Schlumberger Limited’s Annual Report on Form 10-K for the year ended December 31, 2017, formatted in XBRL (eXtensible Business Reporting Language): (i) Consolidated Statement of Income, (ii) Consolidated Statement of Comprehensive Income,</w:t>
      </w:r>
    </w:p>
    <w:p>
      <w:pPr>
        <w:ind w:left="3" w:hanging="3"/>
        <w:spacing w:after="0" w:line="270" w:lineRule="auto"/>
        <w:tabs>
          <w:tab w:leader="none" w:pos="358"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Consolidated Balance Sheet, (iv) Consolidated Statement of Cash Flows, (v) Consolidated Statement of Equity and (vi) Notes to Consolidated Financial Statements. (*)</w:t>
      </w:r>
    </w:p>
    <w:p>
      <w:pPr>
        <w:spacing w:after="0" w:line="278" w:lineRule="exact"/>
        <w:rPr>
          <w:sz w:val="20"/>
          <w:szCs w:val="20"/>
          <w:color w:val="auto"/>
        </w:rPr>
      </w:pPr>
    </w:p>
    <w:p>
      <w:pPr>
        <w:ind w:left="223" w:hanging="223"/>
        <w:spacing w:after="0"/>
        <w:tabs>
          <w:tab w:leader="none" w:pos="2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Exhibits electronically filed with this Form 10-K. All other exhibits incorporated by reference.</w:t>
      </w:r>
    </w:p>
    <w:p>
      <w:pPr>
        <w:spacing w:after="0" w:line="14" w:lineRule="exact"/>
        <w:rPr>
          <w:rFonts w:ascii="Arial" w:cs="Arial" w:eastAsia="Arial" w:hAnsi="Arial"/>
          <w:sz w:val="16"/>
          <w:szCs w:val="16"/>
          <w:color w:val="auto"/>
        </w:rPr>
      </w:pPr>
    </w:p>
    <w:p>
      <w:pPr>
        <w:ind w:left="3"/>
        <w:spacing w:after="0"/>
        <w:rPr>
          <w:rFonts w:ascii="Arial" w:cs="Arial" w:eastAsia="Arial" w:hAnsi="Arial"/>
          <w:sz w:val="16"/>
          <w:szCs w:val="16"/>
          <w:color w:val="auto"/>
        </w:rPr>
      </w:pPr>
      <w:r>
        <w:rPr>
          <w:rFonts w:ascii="Arial" w:cs="Arial" w:eastAsia="Arial" w:hAnsi="Arial"/>
          <w:sz w:val="16"/>
          <w:szCs w:val="16"/>
          <w:color w:val="auto"/>
        </w:rPr>
        <w:t>(+) Management contracts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03"/>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77470</wp:posOffset>
            </wp:positionV>
            <wp:extent cx="729361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Exhibit</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10.34</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10.35</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10.36</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10.37</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10.38</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10.39</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10.40</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10.41</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10.42</w:t>
      </w:r>
    </w:p>
    <w:p>
      <w:pPr>
        <w:spacing w:after="0" w:line="33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21</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23</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31.2</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32.1</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32.2</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95</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w:t>
      </w:r>
    </w:p>
    <w:p>
      <w:pPr>
        <w:sectPr>
          <w:pgSz w:w="11900" w:h="16838" w:orient="portrait"/>
          <w:cols w:equalWidth="0" w:num="2">
            <w:col w:w="10143" w:space="480"/>
            <w:col w:w="780"/>
          </w:cols>
          <w:pgMar w:left="257" w:top="118"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tabs>
          <w:tab w:leader="none" w:pos="520" w:val="left"/>
          <w:tab w:leader="none" w:pos="7220" w:val="left"/>
        </w:tabs>
        <w:rPr>
          <w:sz w:val="20"/>
          <w:szCs w:val="20"/>
          <w:color w:val="auto"/>
        </w:rPr>
      </w:pPr>
      <w:r>
        <w:rPr>
          <w:rFonts w:ascii="Arial" w:cs="Arial" w:eastAsia="Arial" w:hAnsi="Arial"/>
          <w:sz w:val="17"/>
          <w:szCs w:val="17"/>
          <w:color w:val="auto"/>
        </w:rPr>
        <w:t>Date:</w:t>
        <w:tab/>
        <w:t>January 24, 2018</w:t>
      </w:r>
      <w:r>
        <w:rPr>
          <w:sz w:val="20"/>
          <w:szCs w:val="20"/>
          <w:color w:val="auto"/>
        </w:rPr>
        <w:tab/>
      </w:r>
      <w:r>
        <w:rPr>
          <w:rFonts w:ascii="Arial" w:cs="Arial" w:eastAsia="Arial" w:hAnsi="Arial"/>
          <w:sz w:val="17"/>
          <w:szCs w:val="17"/>
          <w:color w:val="auto"/>
        </w:rPr>
        <w:t>S</w:t>
      </w:r>
      <w:r>
        <w:rPr>
          <w:rFonts w:ascii="Arial" w:cs="Arial" w:eastAsia="Arial" w:hAnsi="Arial"/>
          <w:sz w:val="12"/>
          <w:szCs w:val="12"/>
          <w:color w:val="auto"/>
        </w:rPr>
        <w:t>CHLUMBERGER</w:t>
      </w:r>
      <w:r>
        <w:rPr>
          <w:rFonts w:ascii="Arial" w:cs="Arial" w:eastAsia="Arial" w:hAnsi="Arial"/>
          <w:sz w:val="17"/>
          <w:szCs w:val="17"/>
          <w:color w:val="auto"/>
        </w:rPr>
        <w:t xml:space="preserve"> L</w:t>
      </w:r>
      <w:r>
        <w:rPr>
          <w:rFonts w:ascii="Arial" w:cs="Arial" w:eastAsia="Arial" w:hAnsi="Arial"/>
          <w:sz w:val="12"/>
          <w:szCs w:val="12"/>
          <w:color w:val="auto"/>
        </w:rPr>
        <w:t>IMITED</w:t>
      </w:r>
    </w:p>
    <w:p>
      <w:pPr>
        <w:spacing w:after="0" w:line="220" w:lineRule="exact"/>
        <w:rPr>
          <w:sz w:val="20"/>
          <w:szCs w:val="20"/>
          <w:color w:val="auto"/>
        </w:rPr>
      </w:pPr>
    </w:p>
    <w:p>
      <w:pPr>
        <w:jc w:val="center"/>
        <w:ind w:left="6760"/>
        <w:spacing w:after="0"/>
        <w:tabs>
          <w:tab w:leader="none" w:pos="200" w:val="left"/>
        </w:tabs>
        <w:rPr>
          <w:sz w:val="20"/>
          <w:szCs w:val="20"/>
          <w:color w:val="auto"/>
        </w:rPr>
      </w:pPr>
      <w:r>
        <w:rPr>
          <w:rFonts w:ascii="Arial" w:cs="Arial" w:eastAsia="Arial" w:hAnsi="Arial"/>
          <w:sz w:val="17"/>
          <w:szCs w:val="17"/>
          <w:color w:val="auto"/>
        </w:rPr>
        <w:t>By:</w:t>
        <w:tab/>
        <w:t>/</w:t>
      </w:r>
      <w:r>
        <w:rPr>
          <w:rFonts w:ascii="Arial" w:cs="Arial" w:eastAsia="Arial" w:hAnsi="Arial"/>
          <w:sz w:val="12"/>
          <w:szCs w:val="12"/>
          <w:color w:val="auto"/>
        </w:rPr>
        <w:t>S</w:t>
      </w:r>
      <w:r>
        <w:rPr>
          <w:rFonts w:ascii="Arial" w:cs="Arial" w:eastAsia="Arial" w:hAnsi="Arial"/>
          <w:sz w:val="17"/>
          <w:szCs w:val="17"/>
          <w:color w:val="auto"/>
        </w:rPr>
        <w:t>/ H</w:t>
      </w:r>
      <w:r>
        <w:rPr>
          <w:rFonts w:ascii="Arial" w:cs="Arial" w:eastAsia="Arial" w:hAnsi="Arial"/>
          <w:sz w:val="12"/>
          <w:szCs w:val="12"/>
          <w:color w:val="auto"/>
        </w:rPr>
        <w:t>OWARD</w:t>
      </w:r>
      <w:r>
        <w:rPr>
          <w:rFonts w:ascii="Arial" w:cs="Arial" w:eastAsia="Arial" w:hAnsi="Arial"/>
          <w:sz w:val="17"/>
          <w:szCs w:val="17"/>
          <w:color w:val="auto"/>
        </w:rPr>
        <w:t xml:space="preserve"> G</w:t>
      </w:r>
      <w:r>
        <w:rPr>
          <w:rFonts w:ascii="Arial" w:cs="Arial" w:eastAsia="Arial" w:hAnsi="Arial"/>
          <w:sz w:val="12"/>
          <w:szCs w:val="12"/>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15875</wp:posOffset>
            </wp:positionV>
            <wp:extent cx="26562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4"/>
          <w:szCs w:val="14"/>
          <w:b w:val="1"/>
          <w:bCs w:val="1"/>
          <w:color w:val="auto"/>
        </w:rPr>
        <w:t>Howard Guild</w:t>
      </w:r>
    </w:p>
    <w:p>
      <w:pPr>
        <w:ind w:left="7240"/>
        <w:spacing w:after="0"/>
        <w:rPr>
          <w:sz w:val="20"/>
          <w:szCs w:val="20"/>
          <w:color w:val="auto"/>
        </w:rPr>
      </w:pPr>
      <w:r>
        <w:rPr>
          <w:rFonts w:ascii="Arial" w:cs="Arial" w:eastAsia="Arial" w:hAnsi="Arial"/>
          <w:sz w:val="14"/>
          <w:szCs w:val="14"/>
          <w:b w:val="1"/>
          <w:bCs w:val="1"/>
          <w:color w:val="auto"/>
        </w:rPr>
        <w:t>Chief Accounting Officer</w:t>
      </w:r>
    </w:p>
    <w:p>
      <w:pPr>
        <w:spacing w:after="0" w:line="223"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77470</wp:posOffset>
            </wp:positionV>
            <wp:extent cx="729361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2"/>
        </w:trPr>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89"/>
              </w:rPr>
              <w:t>Name</w:t>
            </w:r>
          </w:p>
        </w:tc>
        <w:tc>
          <w:tcPr>
            <w:tcW w:w="3920" w:type="dxa"/>
            <w:vAlign w:val="bottom"/>
          </w:tcPr>
          <w:p>
            <w:pPr>
              <w:ind w:left="2880"/>
              <w:spacing w:after="0"/>
              <w:rPr>
                <w:sz w:val="20"/>
                <w:szCs w:val="20"/>
                <w:color w:val="auto"/>
              </w:rPr>
            </w:pPr>
            <w:r>
              <w:rPr>
                <w:rFonts w:ascii="Arial" w:cs="Arial" w:eastAsia="Arial" w:hAnsi="Arial"/>
                <w:sz w:val="14"/>
                <w:szCs w:val="14"/>
                <w:b w:val="1"/>
                <w:bCs w:val="1"/>
                <w:color w:val="auto"/>
              </w:rPr>
              <w:t>Title</w:t>
            </w:r>
          </w:p>
        </w:tc>
      </w:tr>
      <w:tr>
        <w:trPr>
          <w:trHeight w:val="402"/>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40"/>
              <w:spacing w:after="0"/>
              <w:rPr>
                <w:sz w:val="20"/>
                <w:szCs w:val="20"/>
                <w:color w:val="auto"/>
              </w:rPr>
            </w:pPr>
            <w:r>
              <w:rPr>
                <w:rFonts w:ascii="Arial" w:cs="Arial" w:eastAsia="Arial" w:hAnsi="Arial"/>
                <w:sz w:val="17"/>
                <w:szCs w:val="17"/>
                <w:color w:val="auto"/>
              </w:rPr>
              <w:t>Chairman and Chief Executive Officer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1"/>
              </w:rPr>
              <w:t>Paal Kibsgaard</w:t>
            </w:r>
          </w:p>
        </w:tc>
        <w:tc>
          <w:tcPr>
            <w:tcW w:w="3920" w:type="dxa"/>
            <w:vAlign w:val="bottom"/>
          </w:tcPr>
          <w:p>
            <w:pPr>
              <w:ind w:left="240"/>
              <w:spacing w:after="0"/>
              <w:rPr>
                <w:sz w:val="20"/>
                <w:szCs w:val="20"/>
                <w:color w:val="auto"/>
              </w:rPr>
            </w:pPr>
            <w:r>
              <w:rPr>
                <w:rFonts w:ascii="Arial" w:cs="Arial" w:eastAsia="Arial" w:hAnsi="Arial"/>
                <w:sz w:val="17"/>
                <w:szCs w:val="17"/>
                <w:color w:val="auto"/>
              </w:rPr>
              <w:t>(Principal Executive Officer)</w:t>
            </w: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S</w:t>
            </w:r>
            <w:r>
              <w:rPr>
                <w:rFonts w:ascii="Arial" w:cs="Arial" w:eastAsia="Arial" w:hAnsi="Arial"/>
                <w:sz w:val="12"/>
                <w:szCs w:val="12"/>
                <w:color w:val="auto"/>
              </w:rPr>
              <w:t>IMON</w:t>
            </w:r>
            <w:r>
              <w:rPr>
                <w:rFonts w:ascii="Arial" w:cs="Arial" w:eastAsia="Arial" w:hAnsi="Arial"/>
                <w:sz w:val="17"/>
                <w:szCs w:val="17"/>
                <w:color w:val="auto"/>
              </w:rPr>
              <w:t xml:space="preserve"> A</w:t>
            </w:r>
            <w:r>
              <w:rPr>
                <w:rFonts w:ascii="Arial" w:cs="Arial" w:eastAsia="Arial" w:hAnsi="Arial"/>
                <w:sz w:val="12"/>
                <w:szCs w:val="12"/>
                <w:color w:val="auto"/>
              </w:rPr>
              <w:t>YAT</w:t>
            </w:r>
          </w:p>
        </w:tc>
        <w:tc>
          <w:tcPr>
            <w:tcW w:w="3920" w:type="dxa"/>
            <w:vAlign w:val="bottom"/>
          </w:tcPr>
          <w:p>
            <w:pPr>
              <w:ind w:left="240"/>
              <w:spacing w:after="0"/>
              <w:rPr>
                <w:sz w:val="20"/>
                <w:szCs w:val="20"/>
                <w:color w:val="auto"/>
              </w:rPr>
            </w:pPr>
            <w:r>
              <w:rPr>
                <w:rFonts w:ascii="Arial" w:cs="Arial" w:eastAsia="Arial" w:hAnsi="Arial"/>
                <w:sz w:val="17"/>
                <w:szCs w:val="17"/>
                <w:color w:val="auto"/>
                <w:w w:val="93"/>
              </w:rPr>
              <w:t>Executive Vice President and Chief Financial Officer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4"/>
              </w:rPr>
              <w:t>Simon Ayat</w:t>
            </w:r>
          </w:p>
        </w:tc>
        <w:tc>
          <w:tcPr>
            <w:tcW w:w="3920" w:type="dxa"/>
            <w:vAlign w:val="bottom"/>
          </w:tcPr>
          <w:p>
            <w:pPr>
              <w:ind w:left="240"/>
              <w:spacing w:after="0"/>
              <w:rPr>
                <w:sz w:val="20"/>
                <w:szCs w:val="20"/>
                <w:color w:val="auto"/>
              </w:rPr>
            </w:pPr>
            <w:r>
              <w:rPr>
                <w:rFonts w:ascii="Arial" w:cs="Arial" w:eastAsia="Arial" w:hAnsi="Arial"/>
                <w:sz w:val="17"/>
                <w:szCs w:val="17"/>
                <w:color w:val="auto"/>
              </w:rPr>
              <w:t>(Principal Financial Officer)</w:t>
            </w: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H</w:t>
            </w:r>
            <w:r>
              <w:rPr>
                <w:rFonts w:ascii="Arial" w:cs="Arial" w:eastAsia="Arial" w:hAnsi="Arial"/>
                <w:sz w:val="12"/>
                <w:szCs w:val="12"/>
                <w:color w:val="auto"/>
              </w:rPr>
              <w:t>OWARD</w:t>
            </w:r>
            <w:r>
              <w:rPr>
                <w:rFonts w:ascii="Arial" w:cs="Arial" w:eastAsia="Arial" w:hAnsi="Arial"/>
                <w:sz w:val="17"/>
                <w:szCs w:val="17"/>
                <w:color w:val="auto"/>
              </w:rPr>
              <w:t xml:space="preserve"> G</w:t>
            </w:r>
            <w:r>
              <w:rPr>
                <w:rFonts w:ascii="Arial" w:cs="Arial" w:eastAsia="Arial" w:hAnsi="Arial"/>
                <w:sz w:val="12"/>
                <w:szCs w:val="12"/>
                <w:color w:val="auto"/>
              </w:rPr>
              <w:t>UILD</w:t>
            </w:r>
          </w:p>
        </w:tc>
        <w:tc>
          <w:tcPr>
            <w:tcW w:w="3920" w:type="dxa"/>
            <w:vAlign w:val="bottom"/>
          </w:tcPr>
          <w:p>
            <w:pPr>
              <w:ind w:left="240"/>
              <w:spacing w:after="0"/>
              <w:rPr>
                <w:sz w:val="20"/>
                <w:szCs w:val="20"/>
                <w:color w:val="auto"/>
              </w:rPr>
            </w:pPr>
            <w:r>
              <w:rPr>
                <w:rFonts w:ascii="Arial" w:cs="Arial" w:eastAsia="Arial" w:hAnsi="Arial"/>
                <w:sz w:val="17"/>
                <w:szCs w:val="17"/>
                <w:color w:val="auto"/>
              </w:rPr>
              <w:t>Chief Accounting Officer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5"/>
              </w:rPr>
              <w:t>Howard Guild</w:t>
            </w:r>
          </w:p>
        </w:tc>
        <w:tc>
          <w:tcPr>
            <w:tcW w:w="3920" w:type="dxa"/>
            <w:vAlign w:val="bottom"/>
          </w:tcPr>
          <w:p>
            <w:pPr>
              <w:ind w:left="240"/>
              <w:spacing w:after="0"/>
              <w:rPr>
                <w:sz w:val="20"/>
                <w:szCs w:val="20"/>
                <w:color w:val="auto"/>
              </w:rPr>
            </w:pPr>
            <w:r>
              <w:rPr>
                <w:rFonts w:ascii="Arial" w:cs="Arial" w:eastAsia="Arial" w:hAnsi="Arial"/>
                <w:sz w:val="17"/>
                <w:szCs w:val="17"/>
                <w:color w:val="auto"/>
              </w:rPr>
              <w:t>(Principal Accounting Officer)</w:t>
            </w: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3"/>
              </w:rPr>
              <w:t>Peter L.S. Currie</w:t>
            </w:r>
          </w:p>
        </w:tc>
        <w:tc>
          <w:tcPr>
            <w:tcW w:w="3920" w:type="dxa"/>
            <w:vAlign w:val="bottom"/>
          </w:tcPr>
          <w:p>
            <w:pPr>
              <w:spacing w:after="0"/>
              <w:rPr>
                <w:sz w:val="18"/>
                <w:szCs w:val="18"/>
                <w:color w:val="auto"/>
              </w:rPr>
            </w:pP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7"/>
              </w:rPr>
              <w:t>Miguel Galuccio</w:t>
            </w:r>
          </w:p>
        </w:tc>
        <w:tc>
          <w:tcPr>
            <w:tcW w:w="3920" w:type="dxa"/>
            <w:vAlign w:val="bottom"/>
          </w:tcPr>
          <w:p>
            <w:pPr>
              <w:spacing w:after="0"/>
              <w:rPr>
                <w:sz w:val="18"/>
                <w:szCs w:val="18"/>
                <w:color w:val="auto"/>
              </w:rPr>
            </w:pP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2"/>
              </w:rPr>
              <w:t>V. Maureen Kempston Darkes</w:t>
            </w:r>
          </w:p>
        </w:tc>
        <w:tc>
          <w:tcPr>
            <w:tcW w:w="3920" w:type="dxa"/>
            <w:vAlign w:val="bottom"/>
          </w:tcPr>
          <w:p>
            <w:pPr>
              <w:spacing w:after="0"/>
              <w:rPr>
                <w:sz w:val="18"/>
                <w:szCs w:val="18"/>
                <w:color w:val="auto"/>
              </w:rPr>
            </w:pP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7"/>
              </w:rPr>
              <w:t>Nikolay Kudryavtsev</w:t>
            </w:r>
          </w:p>
        </w:tc>
        <w:tc>
          <w:tcPr>
            <w:tcW w:w="3920" w:type="dxa"/>
            <w:vAlign w:val="bottom"/>
          </w:tcPr>
          <w:p>
            <w:pPr>
              <w:spacing w:after="0"/>
              <w:rPr>
                <w:sz w:val="18"/>
                <w:szCs w:val="18"/>
                <w:color w:val="auto"/>
              </w:rPr>
            </w:pP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4"/>
              </w:rPr>
              <w:t>Helge Lund</w:t>
            </w:r>
          </w:p>
        </w:tc>
        <w:tc>
          <w:tcPr>
            <w:tcW w:w="3920" w:type="dxa"/>
            <w:vAlign w:val="bottom"/>
          </w:tcPr>
          <w:p>
            <w:pPr>
              <w:spacing w:after="0"/>
              <w:rPr>
                <w:sz w:val="18"/>
                <w:szCs w:val="18"/>
                <w:color w:val="auto"/>
              </w:rPr>
            </w:pP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6"/>
              </w:rPr>
              <w:t>Michael E. Marks</w:t>
            </w:r>
          </w:p>
        </w:tc>
        <w:tc>
          <w:tcPr>
            <w:tcW w:w="3920" w:type="dxa"/>
            <w:vAlign w:val="bottom"/>
          </w:tcPr>
          <w:p>
            <w:pPr>
              <w:spacing w:after="0"/>
              <w:rPr>
                <w:sz w:val="18"/>
                <w:szCs w:val="18"/>
                <w:color w:val="auto"/>
              </w:rPr>
            </w:pP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8"/>
              </w:rPr>
              <w:t>Indra K. Nooyi</w:t>
            </w:r>
          </w:p>
        </w:tc>
        <w:tc>
          <w:tcPr>
            <w:tcW w:w="3920" w:type="dxa"/>
            <w:vAlign w:val="bottom"/>
          </w:tcPr>
          <w:p>
            <w:pPr>
              <w:spacing w:after="0"/>
              <w:rPr>
                <w:sz w:val="18"/>
                <w:szCs w:val="18"/>
                <w:color w:val="auto"/>
              </w:rPr>
            </w:pP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3"/>
              </w:rPr>
              <w:t>Lubna S. Olayan</w:t>
            </w:r>
          </w:p>
        </w:tc>
        <w:tc>
          <w:tcPr>
            <w:tcW w:w="3920" w:type="dxa"/>
            <w:vAlign w:val="bottom"/>
          </w:tcPr>
          <w:p>
            <w:pPr>
              <w:spacing w:after="0"/>
              <w:rPr>
                <w:sz w:val="18"/>
                <w:szCs w:val="18"/>
                <w:color w:val="auto"/>
              </w:rPr>
            </w:pP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3"/>
              </w:rPr>
              <w:t>Leo Rafael Reif</w:t>
            </w:r>
          </w:p>
        </w:tc>
        <w:tc>
          <w:tcPr>
            <w:tcW w:w="3920" w:type="dxa"/>
            <w:vAlign w:val="bottom"/>
          </w:tcPr>
          <w:p>
            <w:pPr>
              <w:spacing w:after="0"/>
              <w:rPr>
                <w:sz w:val="18"/>
                <w:szCs w:val="18"/>
                <w:color w:val="auto"/>
              </w:rPr>
            </w:pP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2"/>
              </w:rPr>
              <w:t>Tore Sandvold</w:t>
            </w:r>
          </w:p>
        </w:tc>
        <w:tc>
          <w:tcPr>
            <w:tcW w:w="3920" w:type="dxa"/>
            <w:vAlign w:val="bottom"/>
          </w:tcPr>
          <w:p>
            <w:pPr>
              <w:spacing w:after="0"/>
              <w:rPr>
                <w:sz w:val="18"/>
                <w:szCs w:val="18"/>
                <w:color w:val="auto"/>
              </w:rPr>
            </w:pP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5"/>
              </w:rPr>
              <w:t>Henri Seydoux</w:t>
            </w:r>
          </w:p>
        </w:tc>
        <w:tc>
          <w:tcPr>
            <w:tcW w:w="3920" w:type="dxa"/>
            <w:vAlign w:val="bottom"/>
          </w:tcPr>
          <w:p>
            <w:pPr>
              <w:spacing w:after="0"/>
              <w:rPr>
                <w:sz w:val="18"/>
                <w:szCs w:val="18"/>
                <w:color w:val="auto"/>
              </w:rPr>
            </w:pPr>
          </w:p>
        </w:tc>
      </w:tr>
      <w:tr>
        <w:trPr>
          <w:trHeight w:val="40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A</w:t>
            </w:r>
            <w:r>
              <w:rPr>
                <w:rFonts w:ascii="Arial" w:cs="Arial" w:eastAsia="Arial" w:hAnsi="Arial"/>
                <w:sz w:val="12"/>
                <w:szCs w:val="12"/>
                <w:color w:val="auto"/>
              </w:rPr>
              <w:t>LEXANDER</w:t>
            </w:r>
            <w:r>
              <w:rPr>
                <w:rFonts w:ascii="Arial" w:cs="Arial" w:eastAsia="Arial" w:hAnsi="Arial"/>
                <w:sz w:val="17"/>
                <w:szCs w:val="17"/>
                <w:color w:val="auto"/>
              </w:rPr>
              <w:t xml:space="preserve"> C. J</w:t>
            </w:r>
            <w:r>
              <w:rPr>
                <w:rFonts w:ascii="Arial" w:cs="Arial" w:eastAsia="Arial" w:hAnsi="Arial"/>
                <w:sz w:val="12"/>
                <w:szCs w:val="12"/>
                <w:color w:val="auto"/>
              </w:rPr>
              <w:t>UDEN</w:t>
            </w:r>
          </w:p>
        </w:tc>
        <w:tc>
          <w:tcPr>
            <w:tcW w:w="3920" w:type="dxa"/>
            <w:vAlign w:val="bottom"/>
          </w:tcPr>
          <w:p>
            <w:pPr>
              <w:ind w:left="240"/>
              <w:spacing w:after="0"/>
              <w:rPr>
                <w:sz w:val="20"/>
                <w:szCs w:val="20"/>
                <w:color w:val="auto"/>
              </w:rPr>
            </w:pPr>
            <w:r>
              <w:rPr>
                <w:rFonts w:ascii="Arial" w:cs="Arial" w:eastAsia="Arial" w:hAnsi="Arial"/>
                <w:sz w:val="17"/>
                <w:szCs w:val="17"/>
                <w:color w:val="auto"/>
              </w:rPr>
              <w:t>January 24, 2018</w:t>
            </w:r>
          </w:p>
        </w:tc>
      </w:tr>
      <w:tr>
        <w:trPr>
          <w:trHeight w:val="213"/>
        </w:trPr>
        <w:tc>
          <w:tcPr>
            <w:tcW w:w="5580" w:type="dxa"/>
            <w:vAlign w:val="bottom"/>
          </w:tcPr>
          <w:p>
            <w:pPr>
              <w:jc w:val="center"/>
              <w:spacing w:after="0"/>
              <w:rPr>
                <w:sz w:val="20"/>
                <w:szCs w:val="20"/>
                <w:color w:val="auto"/>
              </w:rPr>
            </w:pPr>
            <w:r>
              <w:rPr>
                <w:rFonts w:ascii="Arial" w:cs="Arial" w:eastAsia="Arial" w:hAnsi="Arial"/>
                <w:sz w:val="17"/>
                <w:szCs w:val="17"/>
                <w:color w:val="auto"/>
                <w:w w:val="94"/>
              </w:rPr>
              <w:t>*By Alexander C. Juden Attorney-in-Fact</w:t>
            </w:r>
          </w:p>
        </w:tc>
        <w:tc>
          <w:tcPr>
            <w:tcW w:w="3920" w:type="dxa"/>
            <w:vAlign w:val="bottom"/>
          </w:tcPr>
          <w:p>
            <w:pPr>
              <w:spacing w:after="0"/>
              <w:rPr>
                <w:sz w:val="18"/>
                <w:szCs w:val="18"/>
                <w:color w:val="auto"/>
              </w:rPr>
            </w:pPr>
          </w:p>
        </w:tc>
      </w:tr>
      <w:tr>
        <w:trPr>
          <w:trHeight w:val="611"/>
        </w:trPr>
        <w:tc>
          <w:tcPr>
            <w:tcW w:w="5580" w:type="dxa"/>
            <w:vAlign w:val="bottom"/>
          </w:tcPr>
          <w:p>
            <w:pPr>
              <w:spacing w:after="0"/>
              <w:rPr>
                <w:sz w:val="24"/>
                <w:szCs w:val="24"/>
                <w:color w:val="auto"/>
              </w:rPr>
            </w:pPr>
          </w:p>
        </w:tc>
        <w:tc>
          <w:tcPr>
            <w:tcW w:w="3920" w:type="dxa"/>
            <w:vAlign w:val="bottom"/>
          </w:tcPr>
          <w:p>
            <w:pPr>
              <w:ind w:left="20"/>
              <w:spacing w:after="0"/>
              <w:rPr>
                <w:sz w:val="20"/>
                <w:szCs w:val="20"/>
                <w:color w:val="auto"/>
              </w:rPr>
            </w:pPr>
            <w:r>
              <w:rPr>
                <w:rFonts w:ascii="Arial" w:cs="Arial" w:eastAsia="Arial" w:hAnsi="Arial"/>
                <w:sz w:val="17"/>
                <w:szCs w:val="17"/>
                <w:color w:val="auto"/>
              </w:rPr>
              <w:t>76</w:t>
            </w:r>
          </w:p>
        </w:tc>
      </w:tr>
    </w:tbl>
    <w:p>
      <w:pPr>
        <w:sectPr>
          <w:pgSz w:w="11900" w:h="16838" w:orient="portrait"/>
          <w:cols w:equalWidth="0" w:num="1">
            <w:col w:w="10199"/>
          </w:cols>
          <w:pgMar w:left="260" w:top="325"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b w:val="1"/>
          <w:bCs w:val="1"/>
          <w:u w:val="single" w:color="auto"/>
          <w:color w:val="auto"/>
        </w:rPr>
        <w:t>Exhibit 10.15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Rules of the Schlumberger</w:t>
      </w:r>
    </w:p>
    <w:p>
      <w:pPr>
        <w:jc w:val="center"/>
        <w:spacing w:after="0"/>
        <w:rPr>
          <w:sz w:val="20"/>
          <w:szCs w:val="20"/>
          <w:color w:val="auto"/>
        </w:rPr>
      </w:pPr>
      <w:r>
        <w:rPr>
          <w:rFonts w:ascii="Arial" w:cs="Arial" w:eastAsia="Arial" w:hAnsi="Arial"/>
          <w:sz w:val="21"/>
          <w:szCs w:val="21"/>
          <w:b w:val="1"/>
          <w:bCs w:val="1"/>
          <w:u w:val="single" w:color="auto"/>
          <w:color w:val="auto"/>
        </w:rPr>
        <w:t>2010 Omnibus Stock Incentive Plan for Employees in France</w:t>
      </w:r>
    </w:p>
    <w:p>
      <w:pPr>
        <w:spacing w:after="0" w:line="182" w:lineRule="exact"/>
        <w:rPr>
          <w:sz w:val="20"/>
          <w:szCs w:val="20"/>
          <w:color w:val="auto"/>
        </w:rPr>
      </w:pPr>
    </w:p>
    <w:p>
      <w:pPr>
        <w:jc w:val="both"/>
        <w:ind w:firstLine="878"/>
        <w:spacing w:after="0" w:line="251" w:lineRule="auto"/>
        <w:rPr>
          <w:sz w:val="20"/>
          <w:szCs w:val="20"/>
          <w:color w:val="auto"/>
        </w:rPr>
      </w:pPr>
      <w:r>
        <w:rPr>
          <w:rFonts w:ascii="Arial" w:cs="Arial" w:eastAsia="Arial" w:hAnsi="Arial"/>
          <w:sz w:val="20"/>
          <w:szCs w:val="20"/>
          <w:color w:val="auto"/>
        </w:rPr>
        <w:t>The Board of Directors (the “Board”) of Schlumberger Limited (the “Company”) has established the Schlumberger 2010 Omnibus Stock Incentive Plan (the “Plan”) in order to 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This includes the Company’s branch in France and the Company’s subsidiaries in France of which the Company holds directly or indirectly at least 10% of the share capital (the “French Subsidiary”).</w:t>
      </w:r>
    </w:p>
    <w:p>
      <w:pPr>
        <w:spacing w:after="0" w:line="168"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color w:val="auto"/>
        </w:rPr>
        <w:t>Section 21 of the Plan specifically authorizes the Committee to establish sub-plans as the Committee deems appropriate or advisable to implement the Plan.</w:t>
      </w:r>
    </w:p>
    <w:p>
      <w:pPr>
        <w:spacing w:after="0" w:line="160"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9"/>
          <w:szCs w:val="19"/>
          <w:color w:val="auto"/>
        </w:rPr>
        <w:t>The Committee, therefore, intends with this document to establish a sub-plan of the Plan for the purpose of granting awards that qualify for the specific treatment applicable to French Qualified Stock Options, French Qualified Restricted Share Units and French Qualified Performance Share Units awards to employees who are resident of France and who are or may become subject to French tax (i.e. income tax and/or social security tax) as a result of awards granted under the Plan (the “French Grantees”). The terms of the Plan, as set out in Appendix 1, 2, 3 &amp; 4 hereto, shall, subject to the modifications in the following rules, constitute the Rules of the 2010 Schlumberger Omnibus Stock Incentive Plan for Employees in France (the “French Plan”).</w:t>
      </w:r>
    </w:p>
    <w:p>
      <w:pPr>
        <w:spacing w:after="0" w:line="153" w:lineRule="exact"/>
        <w:rPr>
          <w:sz w:val="20"/>
          <w:szCs w:val="20"/>
          <w:color w:val="auto"/>
        </w:rPr>
      </w:pPr>
    </w:p>
    <w:p>
      <w:pPr>
        <w:jc w:val="both"/>
        <w:ind w:firstLine="878"/>
        <w:spacing w:after="0"/>
        <w:rPr>
          <w:sz w:val="20"/>
          <w:szCs w:val="20"/>
          <w:color w:val="auto"/>
        </w:rPr>
      </w:pPr>
      <w:r>
        <w:rPr>
          <w:rFonts w:ascii="Arial" w:cs="Arial" w:eastAsia="Arial" w:hAnsi="Arial"/>
          <w:sz w:val="21"/>
          <w:szCs w:val="21"/>
          <w:color w:val="auto"/>
        </w:rPr>
        <w:t>The adoption of this French Plan shall not confer upon the French Grantees, or any employees of the French Subsidiary, any employment rights and shall not be construed as part of the French Grantees’ employment contracts, if any. Subject to the terms of the Plan, the Committee reserves the right to amend or terminate the French Plan at any time. Such amendments would only apply to future grants and would not be retroactive.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amendment and restatement of the French Plan is effective as of January 1, 2016 and is adopted as of April 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1066800</wp:posOffset>
            </wp:positionV>
            <wp:extent cx="729361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1"/>
          <w:szCs w:val="21"/>
          <w:b w:val="1"/>
          <w:bCs w:val="1"/>
          <w:u w:val="single" w:color="auto"/>
          <w:color w:val="auto"/>
        </w:rPr>
        <w:t>Appendix 1: French Terms applicable to Stock-Options</w:t>
      </w:r>
    </w:p>
    <w:p>
      <w:pPr>
        <w:spacing w:after="0" w:line="206"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21"/>
          <w:szCs w:val="21"/>
          <w:color w:val="auto"/>
        </w:rPr>
        <w:t>It is intended that Stock-Options granted under the French Plan shall qualify for the specific tax and social security charges treatment applicable to French Qualified Stock-Options granted under Articles L. 225-177 to L. 225-186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w:t>
      </w:r>
    </w:p>
    <w:p>
      <w:pPr>
        <w:spacing w:after="0" w:line="174" w:lineRule="exact"/>
        <w:rPr>
          <w:sz w:val="20"/>
          <w:szCs w:val="20"/>
          <w:color w:val="auto"/>
        </w:rPr>
      </w:pPr>
    </w:p>
    <w:p>
      <w:pPr>
        <w:ind w:left="480" w:hanging="476"/>
        <w:spacing w:after="0"/>
        <w:tabs>
          <w:tab w:leader="none" w:pos="480"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Definitions.</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Capitalized terms not otherwise defined herein shall have the same meanings as set forth in the Plan. The terms set out below will have the following meanings:</w:t>
      </w:r>
    </w:p>
    <w:p>
      <w:pPr>
        <w:spacing w:after="0" w:line="160" w:lineRule="exact"/>
        <w:rPr>
          <w:sz w:val="20"/>
          <w:szCs w:val="20"/>
          <w:color w:val="auto"/>
        </w:rPr>
      </w:pPr>
    </w:p>
    <w:p>
      <w:pPr>
        <w:ind w:left="1300" w:hanging="426"/>
        <w:spacing w:after="0"/>
        <w:tabs>
          <w:tab w:leader="none" w:pos="1300" w:val="left"/>
        </w:tabs>
        <w:numPr>
          <w:ilvl w:val="1"/>
          <w:numId w:val="62"/>
        </w:numPr>
        <w:rPr>
          <w:rFonts w:ascii="Arial" w:cs="Arial" w:eastAsia="Arial" w:hAnsi="Arial"/>
          <w:sz w:val="21"/>
          <w:szCs w:val="21"/>
          <w:color w:val="auto"/>
        </w:rPr>
      </w:pPr>
      <w:r>
        <w:rPr>
          <w:rFonts w:ascii="Arial" w:cs="Arial" w:eastAsia="Arial" w:hAnsi="Arial"/>
          <w:sz w:val="21"/>
          <w:szCs w:val="21"/>
          <w:u w:val="single" w:color="auto"/>
          <w:color w:val="auto"/>
        </w:rPr>
        <w:t>Option</w:t>
      </w:r>
      <w:r>
        <w:rPr>
          <w:rFonts w:ascii="Arial" w:cs="Arial" w:eastAsia="Arial" w:hAnsi="Arial"/>
          <w:sz w:val="21"/>
          <w:szCs w:val="21"/>
          <w:color w:val="auto"/>
        </w:rPr>
        <w:t>. The term “Option” shall have the following meaning:</w:t>
      </w:r>
    </w:p>
    <w:p>
      <w:pPr>
        <w:spacing w:after="0" w:line="200" w:lineRule="exact"/>
        <w:rPr>
          <w:rFonts w:ascii="Arial" w:cs="Arial" w:eastAsia="Arial" w:hAnsi="Arial"/>
          <w:sz w:val="21"/>
          <w:szCs w:val="21"/>
          <w:color w:val="auto"/>
        </w:rPr>
      </w:pPr>
    </w:p>
    <w:p>
      <w:pPr>
        <w:ind w:left="2620" w:hanging="862"/>
        <w:spacing w:after="0" w:line="256" w:lineRule="auto"/>
        <w:tabs>
          <w:tab w:leader="none" w:pos="2620" w:val="left"/>
        </w:tabs>
        <w:numPr>
          <w:ilvl w:val="2"/>
          <w:numId w:val="62"/>
        </w:numPr>
        <w:rPr>
          <w:rFonts w:ascii="Arial" w:cs="Arial" w:eastAsia="Arial" w:hAnsi="Arial"/>
          <w:sz w:val="21"/>
          <w:szCs w:val="21"/>
          <w:color w:val="auto"/>
        </w:rPr>
      </w:pPr>
      <w:r>
        <w:rPr>
          <w:rFonts w:ascii="Arial" w:cs="Arial" w:eastAsia="Arial" w:hAnsi="Arial"/>
          <w:sz w:val="21"/>
          <w:szCs w:val="21"/>
          <w:color w:val="auto"/>
        </w:rPr>
        <w:t>Purchase stock options that are rights to acquire shares of Common Shares of the Company (“Shares”) repurchased by the Company prior to the vesting of the Options; or</w:t>
      </w:r>
    </w:p>
    <w:p>
      <w:pPr>
        <w:spacing w:after="0" w:line="160" w:lineRule="exact"/>
        <w:rPr>
          <w:rFonts w:ascii="Arial" w:cs="Arial" w:eastAsia="Arial" w:hAnsi="Arial"/>
          <w:sz w:val="21"/>
          <w:szCs w:val="21"/>
          <w:color w:val="auto"/>
        </w:rPr>
      </w:pPr>
    </w:p>
    <w:p>
      <w:pPr>
        <w:ind w:left="2620" w:hanging="862"/>
        <w:spacing w:after="0"/>
        <w:tabs>
          <w:tab w:leader="none" w:pos="2620" w:val="left"/>
        </w:tabs>
        <w:numPr>
          <w:ilvl w:val="2"/>
          <w:numId w:val="62"/>
        </w:numPr>
        <w:rPr>
          <w:rFonts w:ascii="Arial" w:cs="Arial" w:eastAsia="Arial" w:hAnsi="Arial"/>
          <w:sz w:val="21"/>
          <w:szCs w:val="21"/>
          <w:color w:val="auto"/>
        </w:rPr>
      </w:pPr>
      <w:r>
        <w:rPr>
          <w:rFonts w:ascii="Arial" w:cs="Arial" w:eastAsia="Arial" w:hAnsi="Arial"/>
          <w:sz w:val="21"/>
          <w:szCs w:val="21"/>
          <w:color w:val="auto"/>
        </w:rPr>
        <w:t>Subscription stock options that are rights to subscribe for newly issued Shares.</w:t>
      </w:r>
    </w:p>
    <w:p>
      <w:pPr>
        <w:spacing w:after="0" w:line="200" w:lineRule="exact"/>
        <w:rPr>
          <w:rFonts w:ascii="Arial" w:cs="Arial" w:eastAsia="Arial" w:hAnsi="Arial"/>
          <w:sz w:val="21"/>
          <w:szCs w:val="21"/>
          <w:color w:val="auto"/>
        </w:rPr>
      </w:pPr>
    </w:p>
    <w:p>
      <w:pPr>
        <w:jc w:val="both"/>
        <w:ind w:left="1300" w:hanging="426"/>
        <w:spacing w:after="0" w:line="244" w:lineRule="auto"/>
        <w:tabs>
          <w:tab w:leader="none" w:pos="1300" w:val="left"/>
        </w:tabs>
        <w:numPr>
          <w:ilvl w:val="1"/>
          <w:numId w:val="62"/>
        </w:numPr>
        <w:rPr>
          <w:rFonts w:ascii="Arial" w:cs="Arial" w:eastAsia="Arial" w:hAnsi="Arial"/>
          <w:sz w:val="21"/>
          <w:szCs w:val="21"/>
          <w:color w:val="auto"/>
        </w:rPr>
      </w:pPr>
      <w:r>
        <w:rPr>
          <w:rFonts w:ascii="Arial" w:cs="Arial" w:eastAsia="Arial" w:hAnsi="Arial"/>
          <w:sz w:val="21"/>
          <w:szCs w:val="21"/>
          <w:u w:val="single" w:color="auto"/>
          <w:color w:val="auto"/>
        </w:rPr>
        <w:t>Closed Period</w:t>
      </w:r>
      <w:r>
        <w:rPr>
          <w:rFonts w:ascii="Arial" w:cs="Arial" w:eastAsia="Arial" w:hAnsi="Arial"/>
          <w:sz w:val="21"/>
          <w:szCs w:val="21"/>
          <w:color w:val="auto"/>
        </w:rPr>
        <w:t>. The term “Closed Period” means specific periods as set forth by Article L. 225-177 of the French Commercial Code, as amended, during which French Qualified Stock-Options cannot be granted, so long as such Closed Periods are applicable to Options, as described in Section 8 below.</w:t>
      </w:r>
    </w:p>
    <w:p>
      <w:pPr>
        <w:spacing w:after="0" w:line="172" w:lineRule="exact"/>
        <w:rPr>
          <w:rFonts w:ascii="Arial" w:cs="Arial" w:eastAsia="Arial" w:hAnsi="Arial"/>
          <w:sz w:val="21"/>
          <w:szCs w:val="21"/>
          <w:color w:val="auto"/>
        </w:rPr>
      </w:pPr>
    </w:p>
    <w:p>
      <w:pPr>
        <w:jc w:val="both"/>
        <w:ind w:left="1300" w:hanging="426"/>
        <w:spacing w:after="0"/>
        <w:tabs>
          <w:tab w:leader="none" w:pos="1300" w:val="left"/>
        </w:tabs>
        <w:numPr>
          <w:ilvl w:val="1"/>
          <w:numId w:val="62"/>
        </w:numPr>
        <w:rPr>
          <w:rFonts w:ascii="Arial" w:cs="Arial" w:eastAsia="Arial" w:hAnsi="Arial"/>
          <w:sz w:val="21"/>
          <w:szCs w:val="21"/>
          <w:color w:val="auto"/>
        </w:rPr>
      </w:pPr>
      <w:r>
        <w:rPr>
          <w:rFonts w:ascii="Arial" w:cs="Arial" w:eastAsia="Arial" w:hAnsi="Arial"/>
          <w:sz w:val="21"/>
          <w:szCs w:val="21"/>
          <w:u w:val="single" w:color="auto"/>
          <w:color w:val="auto"/>
        </w:rPr>
        <w:t>Grant Date</w:t>
      </w:r>
      <w:r>
        <w:rPr>
          <w:rFonts w:ascii="Arial" w:cs="Arial" w:eastAsia="Arial" w:hAnsi="Arial"/>
          <w:sz w:val="21"/>
          <w:szCs w:val="21"/>
          <w:color w:val="auto"/>
        </w:rPr>
        <w:t>. The term “Grant Date” shall be the date on which both (a) the French Grantee is designated, and (b) the terms and conditions of the Award including the number of Shares and the method for determining the Exercise Price are specified. In no event shall the Grant Date be during a Closed Period. In such a case, the Grant Date for the French Grantee would be the date described in Section 8 below.</w:t>
      </w:r>
    </w:p>
    <w:p>
      <w:pPr>
        <w:spacing w:after="0" w:line="171" w:lineRule="exact"/>
        <w:rPr>
          <w:rFonts w:ascii="Arial" w:cs="Arial" w:eastAsia="Arial" w:hAnsi="Arial"/>
          <w:sz w:val="21"/>
          <w:szCs w:val="21"/>
          <w:color w:val="auto"/>
        </w:rPr>
      </w:pPr>
    </w:p>
    <w:p>
      <w:pPr>
        <w:ind w:left="480" w:hanging="476"/>
        <w:spacing w:after="0"/>
        <w:tabs>
          <w:tab w:leader="none" w:pos="480" w:val="left"/>
        </w:tabs>
        <w:numPr>
          <w:ilvl w:val="0"/>
          <w:numId w:val="6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Eligibility.</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Options may not be granted under this Appendix 1 to an individual:</w:t>
      </w:r>
    </w:p>
    <w:p>
      <w:pPr>
        <w:spacing w:after="0" w:line="200" w:lineRule="exact"/>
        <w:rPr>
          <w:sz w:val="20"/>
          <w:szCs w:val="20"/>
          <w:color w:val="auto"/>
        </w:rPr>
      </w:pPr>
    </w:p>
    <w:p>
      <w:pPr>
        <w:ind w:left="1300" w:hanging="426"/>
        <w:spacing w:after="0" w:line="256" w:lineRule="auto"/>
        <w:tabs>
          <w:tab w:leader="none" w:pos="13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unless he is employed by Schlumberger Limited or by a company which is a corporate subsidiary of Schlumberger Limited, as defined in Article 225-197-2 of the French “Code de Commerce” in France; or</w:t>
      </w:r>
    </w:p>
    <w:p>
      <w:pPr>
        <w:spacing w:after="0" w:line="160" w:lineRule="exact"/>
        <w:rPr>
          <w:rFonts w:ascii="Arial" w:cs="Arial" w:eastAsia="Arial" w:hAnsi="Arial"/>
          <w:sz w:val="21"/>
          <w:szCs w:val="21"/>
          <w:color w:val="auto"/>
        </w:rPr>
      </w:pPr>
    </w:p>
    <w:p>
      <w:pPr>
        <w:jc w:val="both"/>
        <w:ind w:left="1300" w:hanging="426"/>
        <w:spacing w:after="0" w:line="244" w:lineRule="auto"/>
        <w:tabs>
          <w:tab w:leader="none" w:pos="13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unless he is a director with a management function as defined in Article 225-185 of the French “Code de Commerce” of a company which is a corporate subsidiary of Schlumberger Limited, as defined in Article 225-197-2 of the French “Code de Commerce” in France;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457200</wp:posOffset>
            </wp:positionV>
            <wp:extent cx="729361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78" w:name="page79"/>
    <w:bookmarkEnd w:id="78"/>
    <w:p>
      <w:pPr>
        <w:ind w:left="1300" w:hanging="426"/>
        <w:spacing w:after="0" w:line="308" w:lineRule="auto"/>
        <w:tabs>
          <w:tab w:leader="none" w:pos="1300" w:val="left"/>
        </w:tabs>
        <w:numPr>
          <w:ilvl w:val="1"/>
          <w:numId w:val="65"/>
        </w:numPr>
        <w:rPr>
          <w:rFonts w:ascii="Arial" w:cs="Arial" w:eastAsia="Arial" w:hAnsi="Arial"/>
          <w:sz w:val="19"/>
          <w:szCs w:val="19"/>
          <w:color w:val="auto"/>
        </w:rPr>
      </w:pPr>
      <w:r>
        <w:rPr>
          <w:rFonts w:ascii="Arial" w:cs="Arial" w:eastAsia="Arial" w:hAnsi="Arial"/>
          <w:sz w:val="19"/>
          <w:szCs w:val="19"/>
          <w:color w:val="auto"/>
        </w:rPr>
        <w:t>who owns more than 10% of the share capital of Schlumberger Limited and who may not therefore be granted an option to satisfy the requirements of sub-paragraph 2 of Article 225-182 of the French “Code de Commerce” in France.</w:t>
      </w:r>
    </w:p>
    <w:p>
      <w:pPr>
        <w:spacing w:after="0" w:line="108" w:lineRule="exact"/>
        <w:rPr>
          <w:rFonts w:ascii="Arial" w:cs="Arial" w:eastAsia="Arial" w:hAnsi="Arial"/>
          <w:sz w:val="19"/>
          <w:szCs w:val="19"/>
          <w:color w:val="auto"/>
        </w:rPr>
      </w:pPr>
    </w:p>
    <w:p>
      <w:pPr>
        <w:ind w:left="480" w:hanging="476"/>
        <w:spacing w:after="0"/>
        <w:tabs>
          <w:tab w:leader="none" w:pos="480"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Non-Transferability.</w:t>
      </w:r>
    </w:p>
    <w:p>
      <w:pPr>
        <w:spacing w:after="0" w:line="206" w:lineRule="exact"/>
        <w:rPr>
          <w:sz w:val="20"/>
          <w:szCs w:val="20"/>
          <w:color w:val="auto"/>
        </w:rPr>
      </w:pPr>
    </w:p>
    <w:p>
      <w:pPr>
        <w:ind w:firstLine="439"/>
        <w:spacing w:after="0" w:line="308" w:lineRule="auto"/>
        <w:rPr>
          <w:sz w:val="20"/>
          <w:szCs w:val="20"/>
          <w:color w:val="auto"/>
        </w:rPr>
      </w:pPr>
      <w:r>
        <w:rPr>
          <w:rFonts w:ascii="Arial" w:cs="Arial" w:eastAsia="Arial" w:hAnsi="Arial"/>
          <w:sz w:val="19"/>
          <w:szCs w:val="19"/>
          <w:color w:val="auto"/>
        </w:rPr>
        <w:t>Notwithstanding any provision in the Plan and, except in the case of death, Awards cannot be transferred to any third party. In addition, the Awards are only exercisable by the French Grantee during the lifetime of the French Grantee, to the extent applicable.</w:t>
      </w:r>
    </w:p>
    <w:p>
      <w:pPr>
        <w:spacing w:after="0" w:line="109" w:lineRule="exact"/>
        <w:rPr>
          <w:sz w:val="20"/>
          <w:szCs w:val="20"/>
          <w:color w:val="auto"/>
        </w:rPr>
      </w:pPr>
    </w:p>
    <w:p>
      <w:pPr>
        <w:ind w:left="480" w:hanging="476"/>
        <w:spacing w:after="0"/>
        <w:tabs>
          <w:tab w:leader="none" w:pos="48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Conditions of the Option/Exercise Price.</w:t>
      </w:r>
    </w:p>
    <w:p>
      <w:pPr>
        <w:spacing w:after="0" w:line="206" w:lineRule="exact"/>
        <w:rPr>
          <w:rFonts w:ascii="Arial" w:cs="Arial" w:eastAsia="Arial" w:hAnsi="Arial"/>
          <w:sz w:val="21"/>
          <w:szCs w:val="21"/>
          <w:b w:val="1"/>
          <w:bCs w:val="1"/>
          <w:color w:val="auto"/>
        </w:rPr>
      </w:pPr>
    </w:p>
    <w:p>
      <w:pPr>
        <w:jc w:val="both"/>
        <w:ind w:left="1300" w:hanging="426"/>
        <w:spacing w:after="0" w:line="244" w:lineRule="auto"/>
        <w:tabs>
          <w:tab w:leader="none" w:pos="1300" w:val="left"/>
        </w:tabs>
        <w:numPr>
          <w:ilvl w:val="1"/>
          <w:numId w:val="67"/>
        </w:numPr>
        <w:rPr>
          <w:rFonts w:ascii="Arial" w:cs="Arial" w:eastAsia="Arial" w:hAnsi="Arial"/>
          <w:sz w:val="21"/>
          <w:szCs w:val="21"/>
          <w:color w:val="auto"/>
        </w:rPr>
      </w:pPr>
      <w:r>
        <w:rPr>
          <w:rFonts w:ascii="Arial" w:cs="Arial" w:eastAsia="Arial" w:hAnsi="Arial"/>
          <w:sz w:val="21"/>
          <w:szCs w:val="21"/>
          <w:color w:val="auto"/>
        </w:rPr>
        <w:t>Notwithstanding any provision in the Plan, the terms and conditions of the Options shall not be modified after the Grant Date, except that the Exercise Price and number of Shares subject to the Option may be modified as provided under Section 7 below, or as otherwise in keeping with French law.</w:t>
      </w:r>
    </w:p>
    <w:p>
      <w:pPr>
        <w:spacing w:after="0" w:line="172" w:lineRule="exact"/>
        <w:rPr>
          <w:rFonts w:ascii="Arial" w:cs="Arial" w:eastAsia="Arial" w:hAnsi="Arial"/>
          <w:sz w:val="21"/>
          <w:szCs w:val="21"/>
          <w:color w:val="auto"/>
        </w:rPr>
      </w:pPr>
    </w:p>
    <w:p>
      <w:pPr>
        <w:ind w:left="1300" w:hanging="426"/>
        <w:spacing w:after="0" w:line="256" w:lineRule="auto"/>
        <w:tabs>
          <w:tab w:leader="none" w:pos="1300" w:val="left"/>
        </w:tabs>
        <w:numPr>
          <w:ilvl w:val="1"/>
          <w:numId w:val="67"/>
        </w:numPr>
        <w:rPr>
          <w:rFonts w:ascii="Arial" w:cs="Arial" w:eastAsia="Arial" w:hAnsi="Arial"/>
          <w:sz w:val="21"/>
          <w:szCs w:val="21"/>
          <w:color w:val="auto"/>
        </w:rPr>
      </w:pPr>
      <w:r>
        <w:rPr>
          <w:rFonts w:ascii="Arial" w:cs="Arial" w:eastAsia="Arial" w:hAnsi="Arial"/>
          <w:sz w:val="21"/>
          <w:szCs w:val="21"/>
          <w:color w:val="auto"/>
        </w:rPr>
        <w:t>The Options will vest and become exercisable pursuant to the terms and conditions set forth in the Plan, the French Plan and the respective Option agreement delivered to each French Grantee.</w:t>
      </w:r>
    </w:p>
    <w:p>
      <w:pPr>
        <w:spacing w:after="0" w:line="160" w:lineRule="exact"/>
        <w:rPr>
          <w:rFonts w:ascii="Arial" w:cs="Arial" w:eastAsia="Arial" w:hAnsi="Arial"/>
          <w:sz w:val="21"/>
          <w:szCs w:val="21"/>
          <w:color w:val="auto"/>
        </w:rPr>
      </w:pPr>
    </w:p>
    <w:p>
      <w:pPr>
        <w:ind w:left="1300" w:hanging="426"/>
        <w:spacing w:after="0" w:line="308" w:lineRule="auto"/>
        <w:tabs>
          <w:tab w:leader="none" w:pos="1300"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method for determining the exercise price payable pursuant to Options issued under the French Plan shall be fixed by the Committee on the Grant Date, but in no event shall the Exercise Price per Share be less than the greater of:</w:t>
      </w:r>
    </w:p>
    <w:p>
      <w:pPr>
        <w:spacing w:after="0" w:line="114" w:lineRule="exact"/>
        <w:rPr>
          <w:rFonts w:ascii="Arial" w:cs="Arial" w:eastAsia="Arial" w:hAnsi="Arial"/>
          <w:sz w:val="19"/>
          <w:szCs w:val="19"/>
          <w:color w:val="auto"/>
        </w:rPr>
      </w:pPr>
    </w:p>
    <w:p>
      <w:pPr>
        <w:jc w:val="both"/>
        <w:ind w:left="2620" w:hanging="862"/>
        <w:spacing w:after="0" w:line="244" w:lineRule="auto"/>
        <w:tabs>
          <w:tab w:leader="none" w:pos="2620" w:val="left"/>
        </w:tabs>
        <w:numPr>
          <w:ilvl w:val="2"/>
          <w:numId w:val="67"/>
        </w:numPr>
        <w:rPr>
          <w:rFonts w:ascii="Arial" w:cs="Arial" w:eastAsia="Arial" w:hAnsi="Arial"/>
          <w:sz w:val="21"/>
          <w:szCs w:val="21"/>
          <w:color w:val="auto"/>
        </w:rPr>
      </w:pPr>
      <w:r>
        <w:rPr>
          <w:rFonts w:ascii="Arial" w:cs="Arial" w:eastAsia="Arial" w:hAnsi="Arial"/>
          <w:sz w:val="21"/>
          <w:szCs w:val="21"/>
          <w:color w:val="auto"/>
        </w:rPr>
        <w:t>With respect to purchase stock options, the higher of either 80% of the average quotation price of Shares during the 20 days of quotation immediately preceding the Grant Date or 80% of the average purchase price paid for such Shares by the Company;</w:t>
      </w:r>
    </w:p>
    <w:p>
      <w:pPr>
        <w:spacing w:after="0" w:line="172" w:lineRule="exact"/>
        <w:rPr>
          <w:rFonts w:ascii="Arial" w:cs="Arial" w:eastAsia="Arial" w:hAnsi="Arial"/>
          <w:sz w:val="21"/>
          <w:szCs w:val="21"/>
          <w:color w:val="auto"/>
        </w:rPr>
      </w:pPr>
    </w:p>
    <w:p>
      <w:pPr>
        <w:ind w:left="2620" w:hanging="862"/>
        <w:spacing w:after="0" w:line="256" w:lineRule="auto"/>
        <w:tabs>
          <w:tab w:leader="none" w:pos="2620" w:val="left"/>
        </w:tabs>
        <w:numPr>
          <w:ilvl w:val="2"/>
          <w:numId w:val="67"/>
        </w:numPr>
        <w:rPr>
          <w:rFonts w:ascii="Arial" w:cs="Arial" w:eastAsia="Arial" w:hAnsi="Arial"/>
          <w:sz w:val="21"/>
          <w:szCs w:val="21"/>
          <w:color w:val="auto"/>
        </w:rPr>
      </w:pPr>
      <w:r>
        <w:rPr>
          <w:rFonts w:ascii="Arial" w:cs="Arial" w:eastAsia="Arial" w:hAnsi="Arial"/>
          <w:sz w:val="21"/>
          <w:szCs w:val="21"/>
          <w:color w:val="auto"/>
        </w:rPr>
        <w:t>With respect to subscription stock options, 80% of the average quotation price of Shares during the 20 days of quotation immediately preceding the Grant Date; and</w:t>
      </w:r>
    </w:p>
    <w:p>
      <w:pPr>
        <w:spacing w:after="0" w:line="160" w:lineRule="exact"/>
        <w:rPr>
          <w:rFonts w:ascii="Arial" w:cs="Arial" w:eastAsia="Arial" w:hAnsi="Arial"/>
          <w:sz w:val="21"/>
          <w:szCs w:val="21"/>
          <w:color w:val="auto"/>
        </w:rPr>
      </w:pPr>
    </w:p>
    <w:p>
      <w:pPr>
        <w:ind w:left="2620" w:hanging="862"/>
        <w:spacing w:after="0"/>
        <w:tabs>
          <w:tab w:leader="none" w:pos="2620" w:val="left"/>
        </w:tabs>
        <w:numPr>
          <w:ilvl w:val="2"/>
          <w:numId w:val="67"/>
        </w:numPr>
        <w:rPr>
          <w:rFonts w:ascii="Arial" w:cs="Arial" w:eastAsia="Arial" w:hAnsi="Arial"/>
          <w:sz w:val="21"/>
          <w:szCs w:val="21"/>
          <w:color w:val="auto"/>
        </w:rPr>
      </w:pPr>
      <w:r>
        <w:rPr>
          <w:rFonts w:ascii="Arial" w:cs="Arial" w:eastAsia="Arial" w:hAnsi="Arial"/>
          <w:sz w:val="21"/>
          <w:szCs w:val="21"/>
          <w:color w:val="auto"/>
        </w:rPr>
        <w:t>The minimum exercise price permitted under Section 5(b) of the Plan.</w:t>
      </w:r>
    </w:p>
    <w:p>
      <w:pPr>
        <w:spacing w:after="0" w:line="200" w:lineRule="exact"/>
        <w:rPr>
          <w:rFonts w:ascii="Arial" w:cs="Arial" w:eastAsia="Arial" w:hAnsi="Arial"/>
          <w:sz w:val="21"/>
          <w:szCs w:val="21"/>
          <w:color w:val="auto"/>
        </w:rPr>
      </w:pPr>
    </w:p>
    <w:p>
      <w:pPr>
        <w:jc w:val="both"/>
        <w:ind w:left="1300" w:hanging="426"/>
        <w:spacing w:after="0" w:line="244" w:lineRule="auto"/>
        <w:tabs>
          <w:tab w:leader="none" w:pos="1300" w:val="left"/>
        </w:tabs>
        <w:numPr>
          <w:ilvl w:val="1"/>
          <w:numId w:val="67"/>
        </w:numPr>
        <w:rPr>
          <w:rFonts w:ascii="Arial" w:cs="Arial" w:eastAsia="Arial" w:hAnsi="Arial"/>
          <w:sz w:val="21"/>
          <w:szCs w:val="21"/>
          <w:color w:val="auto"/>
        </w:rPr>
      </w:pPr>
      <w:r>
        <w:rPr>
          <w:rFonts w:ascii="Arial" w:cs="Arial" w:eastAsia="Arial" w:hAnsi="Arial"/>
          <w:sz w:val="21"/>
          <w:szCs w:val="21"/>
          <w:color w:val="auto"/>
        </w:rPr>
        <w:t>The Shares acquired upon exercise of an Option will be recorded in an account in the name of the shareholder with a broker or in such other manner as the Company may otherwise determine in order to ensure compliance with applicable law.</w:t>
      </w:r>
    </w:p>
    <w:p>
      <w:pPr>
        <w:spacing w:after="0" w:line="166" w:lineRule="exact"/>
        <w:rPr>
          <w:rFonts w:ascii="Arial" w:cs="Arial" w:eastAsia="Arial" w:hAnsi="Arial"/>
          <w:sz w:val="21"/>
          <w:szCs w:val="21"/>
          <w:color w:val="auto"/>
        </w:rPr>
      </w:pPr>
    </w:p>
    <w:p>
      <w:pPr>
        <w:ind w:left="480" w:hanging="476"/>
        <w:spacing w:after="0"/>
        <w:tabs>
          <w:tab w:leader="none" w:pos="48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Payment of Exercise Price and Withholding.</w:t>
      </w:r>
    </w:p>
    <w:p>
      <w:pPr>
        <w:spacing w:after="0" w:line="206" w:lineRule="exact"/>
        <w:rPr>
          <w:sz w:val="20"/>
          <w:szCs w:val="20"/>
          <w:color w:val="auto"/>
        </w:rPr>
      </w:pPr>
    </w:p>
    <w:p>
      <w:pPr>
        <w:jc w:val="both"/>
        <w:ind w:firstLine="439"/>
        <w:spacing w:after="0" w:line="262" w:lineRule="auto"/>
        <w:rPr>
          <w:sz w:val="20"/>
          <w:szCs w:val="20"/>
          <w:color w:val="auto"/>
        </w:rPr>
      </w:pPr>
      <w:r>
        <w:rPr>
          <w:rFonts w:ascii="Arial" w:cs="Arial" w:eastAsia="Arial" w:hAnsi="Arial"/>
          <w:sz w:val="20"/>
          <w:szCs w:val="20"/>
          <w:color w:val="auto"/>
        </w:rPr>
        <w:t>Notwithstanding any provisions in the Plan, upon exercise or vesting of an Award, as applicable, the full Exercise Price and any required tax and/or social security contributions to be withheld by the French Subsidiary on behalf of the French Grantee will have to be paid either in cash, by check or by wire transfer. No other method of payment is authorized under this French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314325</wp:posOffset>
            </wp:positionV>
            <wp:extent cx="729361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79" w:name="page80"/>
    <w:bookmarkEnd w:id="79"/>
    <w:p>
      <w:pPr>
        <w:ind w:left="480" w:hanging="476"/>
        <w:spacing w:after="0"/>
        <w:tabs>
          <w:tab w:leader="none" w:pos="480"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Adjustments.</w:t>
      </w:r>
    </w:p>
    <w:p>
      <w:pPr>
        <w:spacing w:after="0" w:line="206"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20"/>
          <w:szCs w:val="20"/>
          <w:color w:val="auto"/>
        </w:rPr>
        <w:t>Notwithstanding any provision in the Plan, adjustments to the Exercise Price and/or the number of Shares subject to an Award issued hereunder shall be made to preclude the dilution or enlargement of benefits under the Award only in the event of certain transactions by the Company listed under Article L. 225-181 of the French Commercial Code, as amended, a repurchase of Shares by the Company at a price higher than the stock quotation price on the open market, and according to the provisions of Section L. 228-99 of the French Commercial Code, as amended, as well as according to specific decrees.</w:t>
      </w:r>
    </w:p>
    <w:p>
      <w:pPr>
        <w:spacing w:after="0" w:line="159" w:lineRule="exact"/>
        <w:rPr>
          <w:sz w:val="20"/>
          <w:szCs w:val="20"/>
          <w:color w:val="auto"/>
        </w:rPr>
      </w:pPr>
    </w:p>
    <w:p>
      <w:pPr>
        <w:ind w:left="480" w:hanging="476"/>
        <w:spacing w:after="0"/>
        <w:tabs>
          <w:tab w:leader="none" w:pos="480"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Reorganization.</w:t>
      </w:r>
    </w:p>
    <w:p>
      <w:pPr>
        <w:spacing w:after="0" w:line="206"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20"/>
          <w:szCs w:val="20"/>
          <w:color w:val="auto"/>
        </w:rPr>
        <w:t>In the event that a significant decrease in the value of Awards granted to French Grantees occurs or is likely to occur as a result of a reorganization as described in the Plan, the Administrator may, in its sole discretion, but shall not be required to, authorize the immediate vesting and exercise of Awards before the date on which any such reorganization becomes effective. If this occurs, the Awards may not qualify for favorable tax and social security treatment under French law.</w:t>
      </w:r>
    </w:p>
    <w:p>
      <w:pPr>
        <w:spacing w:after="0" w:line="156" w:lineRule="exact"/>
        <w:rPr>
          <w:sz w:val="20"/>
          <w:szCs w:val="20"/>
          <w:color w:val="auto"/>
        </w:rPr>
      </w:pPr>
    </w:p>
    <w:p>
      <w:pPr>
        <w:ind w:left="480" w:hanging="476"/>
        <w:spacing w:after="0"/>
        <w:tabs>
          <w:tab w:leader="none" w:pos="480"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Closed Periods.</w:t>
      </w:r>
    </w:p>
    <w:p>
      <w:pPr>
        <w:spacing w:after="0" w:line="206" w:lineRule="exact"/>
        <w:rPr>
          <w:sz w:val="20"/>
          <w:szCs w:val="20"/>
          <w:color w:val="auto"/>
        </w:rPr>
      </w:pPr>
    </w:p>
    <w:p>
      <w:pPr>
        <w:jc w:val="both"/>
        <w:ind w:firstLine="439"/>
        <w:spacing w:after="0" w:line="238" w:lineRule="auto"/>
        <w:rPr>
          <w:sz w:val="20"/>
          <w:szCs w:val="20"/>
          <w:color w:val="auto"/>
        </w:rPr>
      </w:pPr>
      <w:r>
        <w:rPr>
          <w:rFonts w:ascii="Arial" w:cs="Arial" w:eastAsia="Arial" w:hAnsi="Arial"/>
          <w:sz w:val="21"/>
          <w:szCs w:val="21"/>
          <w:color w:val="auto"/>
        </w:rPr>
        <w:t>Notwithstanding any provisions in the Plan to the contrary and since Shares are traded on a regulated market, Awards shall not be granted to French Grantees during the Closed Periods defined by Article L. 225-177 of the French Commercial Code, as amended, so long as such Closed Periods are applicable to the Awards. If the Grant Date were to occur during an applicable Closed Period, the Grant Date for French Grantees shall be the first date following the expiration of the Closed Period which would not be a prohibited Grant Date under the Plan rules, as determined by the Administrator.</w:t>
      </w:r>
    </w:p>
    <w:p>
      <w:pPr>
        <w:spacing w:after="0" w:line="174" w:lineRule="exact"/>
        <w:rPr>
          <w:sz w:val="20"/>
          <w:szCs w:val="20"/>
          <w:color w:val="auto"/>
        </w:rPr>
      </w:pPr>
    </w:p>
    <w:p>
      <w:pPr>
        <w:ind w:left="480" w:hanging="476"/>
        <w:spacing w:after="0"/>
        <w:tabs>
          <w:tab w:leader="none" w:pos="480"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Employment/Service.</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If a termination of employment is due to death, the Award shall be exercisable and vested as set forth in Section 11 below.</w:t>
      </w:r>
    </w:p>
    <w:p>
      <w:pPr>
        <w:spacing w:after="0" w:line="212" w:lineRule="exact"/>
        <w:rPr>
          <w:sz w:val="20"/>
          <w:szCs w:val="20"/>
          <w:color w:val="auto"/>
        </w:rPr>
      </w:pPr>
    </w:p>
    <w:p>
      <w:pPr>
        <w:ind w:firstLine="439"/>
        <w:spacing w:after="0" w:line="256" w:lineRule="auto"/>
        <w:rPr>
          <w:sz w:val="20"/>
          <w:szCs w:val="20"/>
          <w:color w:val="auto"/>
        </w:rPr>
      </w:pPr>
      <w:r>
        <w:rPr>
          <w:rFonts w:ascii="Arial" w:cs="Arial" w:eastAsia="Arial" w:hAnsi="Arial"/>
          <w:sz w:val="21"/>
          <w:szCs w:val="21"/>
          <w:color w:val="auto"/>
        </w:rPr>
        <w:t>In the event of a termination of employment for reasons other than death, the Award shall be exercisable and vested as set forth in the applicable agreement entered into with the French Grantee.</w:t>
      </w:r>
    </w:p>
    <w:p>
      <w:pPr>
        <w:spacing w:after="0" w:line="154" w:lineRule="exact"/>
        <w:rPr>
          <w:sz w:val="20"/>
          <w:szCs w:val="20"/>
          <w:color w:val="auto"/>
        </w:rPr>
      </w:pPr>
    </w:p>
    <w:p>
      <w:pPr>
        <w:ind w:left="580" w:hanging="576"/>
        <w:spacing w:after="0"/>
        <w:tabs>
          <w:tab w:leader="none" w:pos="580" w:val="left"/>
        </w:tabs>
        <w:numPr>
          <w:ilvl w:val="0"/>
          <w:numId w:val="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Death.</w:t>
      </w:r>
    </w:p>
    <w:p>
      <w:pPr>
        <w:spacing w:after="0" w:line="206" w:lineRule="exact"/>
        <w:rPr>
          <w:sz w:val="20"/>
          <w:szCs w:val="20"/>
          <w:color w:val="auto"/>
        </w:rPr>
      </w:pPr>
    </w:p>
    <w:p>
      <w:pPr>
        <w:jc w:val="both"/>
        <w:ind w:firstLine="439"/>
        <w:spacing w:after="0"/>
        <w:rPr>
          <w:sz w:val="20"/>
          <w:szCs w:val="20"/>
          <w:color w:val="auto"/>
        </w:rPr>
      </w:pPr>
      <w:r>
        <w:rPr>
          <w:rFonts w:ascii="Arial" w:cs="Arial" w:eastAsia="Arial" w:hAnsi="Arial"/>
          <w:sz w:val="21"/>
          <w:szCs w:val="21"/>
          <w:color w:val="auto"/>
        </w:rPr>
        <w:t>In the event of the death of a French Grantee, all unforfeited Awards shall become immediately vested and exercisable. The French Grantee’s heirs may exercise the Options within six months following the death, but any outstanding Option which remains unexercised shall expire six months following the date of the French Grantee’s death. The six-month exercise period will apply without regard to the term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328295</wp:posOffset>
            </wp:positionV>
            <wp:extent cx="729361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80" w:name="page81"/>
    <w:bookmarkEnd w:id="80"/>
    <w:p>
      <w:pPr>
        <w:ind w:left="560" w:hanging="556"/>
        <w:spacing w:after="0"/>
        <w:tabs>
          <w:tab w:leader="none" w:pos="560"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of the Option.</w:t>
      </w:r>
    </w:p>
    <w:p>
      <w:pPr>
        <w:spacing w:after="0" w:line="206" w:lineRule="exact"/>
        <w:rPr>
          <w:sz w:val="20"/>
          <w:szCs w:val="20"/>
          <w:color w:val="auto"/>
        </w:rPr>
      </w:pPr>
    </w:p>
    <w:p>
      <w:pPr>
        <w:ind w:firstLine="439"/>
        <w:spacing w:after="0" w:line="256" w:lineRule="auto"/>
        <w:rPr>
          <w:sz w:val="20"/>
          <w:szCs w:val="20"/>
          <w:color w:val="auto"/>
        </w:rPr>
      </w:pPr>
      <w:r>
        <w:rPr>
          <w:rFonts w:ascii="Arial" w:cs="Arial" w:eastAsia="Arial" w:hAnsi="Arial"/>
          <w:sz w:val="21"/>
          <w:szCs w:val="21"/>
          <w:color w:val="auto"/>
        </w:rPr>
        <w:t>The term of the Option will be ten years unless otherwise specified in the applicable Option Agreement. This term can be extended only in the event of the death of the French Grantee, and in no event will the term exceed ten years.</w:t>
      </w:r>
    </w:p>
    <w:p>
      <w:pPr>
        <w:spacing w:after="0" w:line="154" w:lineRule="exact"/>
        <w:rPr>
          <w:sz w:val="20"/>
          <w:szCs w:val="20"/>
          <w:color w:val="auto"/>
        </w:rPr>
      </w:pPr>
    </w:p>
    <w:p>
      <w:pPr>
        <w:ind w:left="580" w:hanging="576"/>
        <w:spacing w:after="0"/>
        <w:tabs>
          <w:tab w:leader="none" w:pos="580"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Interpretation.</w:t>
      </w:r>
    </w:p>
    <w:p>
      <w:pPr>
        <w:spacing w:after="0" w:line="206" w:lineRule="exact"/>
        <w:rPr>
          <w:sz w:val="20"/>
          <w:szCs w:val="20"/>
          <w:color w:val="auto"/>
        </w:rPr>
      </w:pPr>
    </w:p>
    <w:p>
      <w:pPr>
        <w:ind w:firstLine="439"/>
        <w:spacing w:after="0" w:line="256" w:lineRule="auto"/>
        <w:rPr>
          <w:sz w:val="20"/>
          <w:szCs w:val="20"/>
          <w:color w:val="auto"/>
        </w:rPr>
      </w:pPr>
      <w:r>
        <w:rPr>
          <w:rFonts w:ascii="Arial" w:cs="Arial" w:eastAsia="Arial" w:hAnsi="Arial"/>
          <w:sz w:val="21"/>
          <w:szCs w:val="21"/>
          <w:color w:val="auto"/>
        </w:rPr>
        <w:t>In the event of any conflict between the provisions of the present French Plan and the Plan, the provisions of the French Plan shall control for any grants made thereunder to French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597535</wp:posOffset>
            </wp:positionV>
            <wp:extent cx="729361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21"/>
          <w:szCs w:val="21"/>
          <w:b w:val="1"/>
          <w:bCs w:val="1"/>
          <w:u w:val="single" w:color="auto"/>
          <w:color w:val="auto"/>
        </w:rPr>
        <w:t>Appendix 2: French Terms applicable to Restricted Share Units</w:t>
      </w:r>
    </w:p>
    <w:p>
      <w:pPr>
        <w:spacing w:after="0" w:line="20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0"/>
          <w:szCs w:val="20"/>
          <w:color w:val="auto"/>
        </w:rPr>
        <w:t>It is intended that Restricted Share Units granted under the French Plan shall qualify for the specific tax and social security charges treatment applicable to French Qualified Restricted Share Units granted under Articles L.225-197-1 to L.225-197-6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Restricted Share Units granted under this Appendix 2 will be deemed French Qualified Restricted Share Units.</w:t>
      </w:r>
    </w:p>
    <w:p>
      <w:pPr>
        <w:spacing w:after="0" w:line="162" w:lineRule="exact"/>
        <w:rPr>
          <w:sz w:val="20"/>
          <w:szCs w:val="20"/>
          <w:color w:val="auto"/>
        </w:rPr>
      </w:pPr>
    </w:p>
    <w:p>
      <w:pPr>
        <w:ind w:left="860" w:hanging="427"/>
        <w:spacing w:after="0"/>
        <w:tabs>
          <w:tab w:leader="none" w:pos="860"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Eligibility</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1"/>
          <w:szCs w:val="21"/>
          <w:color w:val="auto"/>
        </w:rPr>
        <w:t>French Qualified Restricted Share Units may not be granted under this Addendum to an individual:</w:t>
      </w:r>
    </w:p>
    <w:p>
      <w:pPr>
        <w:spacing w:after="0" w:line="200" w:lineRule="exact"/>
        <w:rPr>
          <w:sz w:val="20"/>
          <w:szCs w:val="20"/>
          <w:color w:val="auto"/>
        </w:rPr>
      </w:pPr>
    </w:p>
    <w:p>
      <w:pPr>
        <w:ind w:left="1740" w:hanging="424"/>
        <w:spacing w:after="0" w:line="256" w:lineRule="auto"/>
        <w:tabs>
          <w:tab w:leader="none" w:pos="1740" w:val="left"/>
        </w:tabs>
        <w:numPr>
          <w:ilvl w:val="1"/>
          <w:numId w:val="76"/>
        </w:numPr>
        <w:rPr>
          <w:rFonts w:ascii="Arial" w:cs="Arial" w:eastAsia="Arial" w:hAnsi="Arial"/>
          <w:sz w:val="21"/>
          <w:szCs w:val="21"/>
          <w:color w:val="auto"/>
        </w:rPr>
      </w:pPr>
      <w:r>
        <w:rPr>
          <w:rFonts w:ascii="Arial" w:cs="Arial" w:eastAsia="Arial" w:hAnsi="Arial"/>
          <w:sz w:val="21"/>
          <w:szCs w:val="21"/>
          <w:color w:val="auto"/>
        </w:rPr>
        <w:t>unless he is employed by Schlumberger Limited or by a company which is a corporate subsidiary of Schlumberger Limited, as defined in Article 225-197-2 of the French “Code de Commerce” in France; or</w:t>
      </w:r>
    </w:p>
    <w:p>
      <w:pPr>
        <w:spacing w:after="0" w:line="160" w:lineRule="exact"/>
        <w:rPr>
          <w:rFonts w:ascii="Arial" w:cs="Arial" w:eastAsia="Arial" w:hAnsi="Arial"/>
          <w:sz w:val="21"/>
          <w:szCs w:val="21"/>
          <w:color w:val="auto"/>
        </w:rPr>
      </w:pPr>
    </w:p>
    <w:p>
      <w:pPr>
        <w:jc w:val="both"/>
        <w:ind w:left="1740" w:hanging="424"/>
        <w:spacing w:after="0" w:line="244" w:lineRule="auto"/>
        <w:tabs>
          <w:tab w:leader="none" w:pos="1740" w:val="left"/>
        </w:tabs>
        <w:numPr>
          <w:ilvl w:val="1"/>
          <w:numId w:val="76"/>
        </w:numPr>
        <w:rPr>
          <w:rFonts w:ascii="Arial" w:cs="Arial" w:eastAsia="Arial" w:hAnsi="Arial"/>
          <w:sz w:val="21"/>
          <w:szCs w:val="21"/>
          <w:color w:val="auto"/>
        </w:rPr>
      </w:pPr>
      <w:r>
        <w:rPr>
          <w:rFonts w:ascii="Arial" w:cs="Arial" w:eastAsia="Arial" w:hAnsi="Arial"/>
          <w:sz w:val="21"/>
          <w:szCs w:val="21"/>
          <w:color w:val="auto"/>
        </w:rPr>
        <w:t>unless he is a director with a management function as defined in Article 225-197-1 of the French “Code de Commerce” in France of a company which is a corporate subsidiary of Schlumberger Limited, as defined in Article 225-197-2 of the French “Code de Commerce” in France; or</w:t>
      </w:r>
    </w:p>
    <w:p>
      <w:pPr>
        <w:spacing w:after="0" w:line="172" w:lineRule="exact"/>
        <w:rPr>
          <w:rFonts w:ascii="Arial" w:cs="Arial" w:eastAsia="Arial" w:hAnsi="Arial"/>
          <w:sz w:val="21"/>
          <w:szCs w:val="21"/>
          <w:color w:val="auto"/>
        </w:rPr>
      </w:pPr>
    </w:p>
    <w:p>
      <w:pPr>
        <w:ind w:left="1740" w:hanging="424"/>
        <w:spacing w:after="0"/>
        <w:tabs>
          <w:tab w:leader="none" w:pos="1740" w:val="left"/>
        </w:tabs>
        <w:numPr>
          <w:ilvl w:val="1"/>
          <w:numId w:val="76"/>
        </w:numPr>
        <w:rPr>
          <w:rFonts w:ascii="Arial" w:cs="Arial" w:eastAsia="Arial" w:hAnsi="Arial"/>
          <w:sz w:val="21"/>
          <w:szCs w:val="21"/>
          <w:color w:val="auto"/>
        </w:rPr>
      </w:pPr>
      <w:r>
        <w:rPr>
          <w:rFonts w:ascii="Arial" w:cs="Arial" w:eastAsia="Arial" w:hAnsi="Arial"/>
          <w:sz w:val="21"/>
          <w:szCs w:val="21"/>
          <w:color w:val="auto"/>
        </w:rPr>
        <w:t>who owns more than 10% of the share capital of Schlumberger Limited.</w:t>
      </w:r>
    </w:p>
    <w:p>
      <w:pPr>
        <w:spacing w:after="0" w:line="194" w:lineRule="exact"/>
        <w:rPr>
          <w:rFonts w:ascii="Arial" w:cs="Arial" w:eastAsia="Arial" w:hAnsi="Arial"/>
          <w:sz w:val="21"/>
          <w:szCs w:val="21"/>
          <w:color w:val="auto"/>
        </w:rPr>
      </w:pPr>
    </w:p>
    <w:p>
      <w:pPr>
        <w:ind w:left="860" w:hanging="427"/>
        <w:spacing w:after="0"/>
        <w:tabs>
          <w:tab w:leader="none" w:pos="860" w:val="left"/>
        </w:tabs>
        <w:numPr>
          <w:ilvl w:val="0"/>
          <w:numId w:val="7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Vesting, Settlement and Delivery of French Qualified Restricted Share Units</w:t>
      </w:r>
    </w:p>
    <w:p>
      <w:pPr>
        <w:spacing w:after="0" w:line="206" w:lineRule="exact"/>
        <w:rPr>
          <w:rFonts w:ascii="Arial" w:cs="Arial" w:eastAsia="Arial" w:hAnsi="Arial"/>
          <w:sz w:val="21"/>
          <w:szCs w:val="21"/>
          <w:b w:val="1"/>
          <w:bCs w:val="1"/>
          <w:color w:val="auto"/>
        </w:rPr>
      </w:pPr>
    </w:p>
    <w:p>
      <w:pPr>
        <w:ind w:left="1740" w:hanging="424"/>
        <w:spacing w:after="0"/>
        <w:tabs>
          <w:tab w:leader="none" w:pos="1740"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French Qualified Restricted Share Units shall vest as provided for in the Share Unit Agreement.</w:t>
      </w:r>
    </w:p>
    <w:p>
      <w:pPr>
        <w:spacing w:after="0" w:line="200" w:lineRule="exact"/>
        <w:rPr>
          <w:rFonts w:ascii="Arial" w:cs="Arial" w:eastAsia="Arial" w:hAnsi="Arial"/>
          <w:sz w:val="21"/>
          <w:szCs w:val="21"/>
          <w:color w:val="auto"/>
        </w:rPr>
      </w:pPr>
    </w:p>
    <w:p>
      <w:pPr>
        <w:ind w:left="1740" w:hanging="424"/>
        <w:spacing w:after="0"/>
        <w:tabs>
          <w:tab w:leader="none" w:pos="1740"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Settlement</w:t>
      </w:r>
      <w:r>
        <w:rPr>
          <w:rFonts w:ascii="Arial" w:cs="Arial" w:eastAsia="Arial" w:hAnsi="Arial"/>
          <w:sz w:val="21"/>
          <w:szCs w:val="21"/>
          <w:color w:val="auto"/>
        </w:rPr>
        <w:t>. Payment of vested Restricted Share Units shall only be made in shares of Common Stock.</w:t>
      </w:r>
    </w:p>
    <w:p>
      <w:pPr>
        <w:spacing w:after="0" w:line="200" w:lineRule="exact"/>
        <w:rPr>
          <w:rFonts w:ascii="Arial" w:cs="Arial" w:eastAsia="Arial" w:hAnsi="Arial"/>
          <w:sz w:val="21"/>
          <w:szCs w:val="21"/>
          <w:color w:val="auto"/>
        </w:rPr>
      </w:pPr>
    </w:p>
    <w:p>
      <w:pPr>
        <w:jc w:val="both"/>
        <w:ind w:left="1740" w:hanging="424"/>
        <w:spacing w:after="0" w:line="262" w:lineRule="auto"/>
        <w:tabs>
          <w:tab w:leader="none" w:pos="1740"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Delivery</w:t>
      </w:r>
      <w:r>
        <w:rPr>
          <w:rFonts w:ascii="Arial" w:cs="Arial" w:eastAsia="Arial" w:hAnsi="Arial"/>
          <w:sz w:val="20"/>
          <w:szCs w:val="20"/>
          <w:color w:val="auto"/>
        </w:rPr>
        <w:t>. Notwithstanding the vesting date of the Restricted Share Units, under no circumstances, except in case of employee’s death as provided for in section 2 (d) below, shall the delivery of the shares related to a French Qualified Restricted Share Unit occur prior to the third anniversary of the Grant Date.</w:t>
      </w:r>
    </w:p>
    <w:p>
      <w:pPr>
        <w:spacing w:after="0" w:line="156" w:lineRule="exact"/>
        <w:rPr>
          <w:rFonts w:ascii="Arial" w:cs="Arial" w:eastAsia="Arial" w:hAnsi="Arial"/>
          <w:sz w:val="20"/>
          <w:szCs w:val="20"/>
          <w:color w:val="auto"/>
        </w:rPr>
      </w:pPr>
    </w:p>
    <w:p>
      <w:pPr>
        <w:jc w:val="both"/>
        <w:ind w:left="1740" w:hanging="424"/>
        <w:spacing w:after="0"/>
        <w:tabs>
          <w:tab w:leader="none" w:pos="1740"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Acceleration on Death</w:t>
      </w:r>
      <w:r>
        <w:rPr>
          <w:rFonts w:ascii="Arial" w:cs="Arial" w:eastAsia="Arial" w:hAnsi="Arial"/>
          <w:sz w:val="21"/>
          <w:szCs w:val="21"/>
          <w:color w:val="auto"/>
        </w:rPr>
        <w:t>. Upon Termination of Employment from the Company by reason of employee’s death, all French Qualified Restricted Share Units that are not vested at that time immediately will become vested in full. The Company shall issue the underlying shares to the employee’s heirs, at their request, within six months following the death of the employee. Notwithstanding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459740</wp:posOffset>
            </wp:positionV>
            <wp:extent cx="729361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82" w:name="page83"/>
    <w:bookmarkEnd w:id="82"/>
    <w:p>
      <w:pPr>
        <w:ind w:left="1740"/>
        <w:spacing w:after="0" w:line="256" w:lineRule="auto"/>
        <w:rPr>
          <w:sz w:val="20"/>
          <w:szCs w:val="20"/>
          <w:color w:val="auto"/>
        </w:rPr>
      </w:pPr>
      <w:r>
        <w:rPr>
          <w:rFonts w:ascii="Arial" w:cs="Arial" w:eastAsia="Arial" w:hAnsi="Arial"/>
          <w:sz w:val="21"/>
          <w:szCs w:val="21"/>
          <w:color w:val="auto"/>
        </w:rPr>
        <w:t>the employee’s heirs must comply with the restriction on the sale of shares set forth in Section 4 below, to the extent and as long as applicable under French law.</w:t>
      </w:r>
    </w:p>
    <w:p>
      <w:pPr>
        <w:spacing w:after="0" w:line="154" w:lineRule="exact"/>
        <w:rPr>
          <w:sz w:val="20"/>
          <w:szCs w:val="20"/>
          <w:color w:val="auto"/>
        </w:rPr>
      </w:pPr>
    </w:p>
    <w:p>
      <w:pPr>
        <w:ind w:left="860" w:hanging="427"/>
        <w:spacing w:after="0"/>
        <w:tabs>
          <w:tab w:leader="none" w:pos="860"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Sales Restrictions</w:t>
      </w:r>
    </w:p>
    <w:p>
      <w:pPr>
        <w:spacing w:after="0" w:line="206" w:lineRule="exact"/>
        <w:rPr>
          <w:sz w:val="20"/>
          <w:szCs w:val="20"/>
          <w:color w:val="auto"/>
        </w:rPr>
      </w:pPr>
    </w:p>
    <w:p>
      <w:pPr>
        <w:ind w:firstLine="439"/>
        <w:spacing w:after="0" w:line="280" w:lineRule="auto"/>
        <w:rPr>
          <w:sz w:val="20"/>
          <w:szCs w:val="20"/>
          <w:color w:val="auto"/>
        </w:rPr>
      </w:pPr>
      <w:r>
        <w:rPr>
          <w:rFonts w:ascii="Arial" w:cs="Arial" w:eastAsia="Arial" w:hAnsi="Arial"/>
          <w:sz w:val="20"/>
          <w:szCs w:val="20"/>
          <w:color w:val="auto"/>
        </w:rPr>
        <w:t>The sale of shares issued pursuant to the conversion of the French Qualified Restricted Share Units may occur as soon as the shares are delivered to the employee provided the Closed Periods (as defined in section 4) below are respected.</w:t>
      </w:r>
    </w:p>
    <w:p>
      <w:pPr>
        <w:spacing w:after="0" w:line="133" w:lineRule="exact"/>
        <w:rPr>
          <w:sz w:val="20"/>
          <w:szCs w:val="20"/>
          <w:color w:val="auto"/>
        </w:rPr>
      </w:pPr>
    </w:p>
    <w:p>
      <w:pPr>
        <w:ind w:left="860" w:hanging="427"/>
        <w:spacing w:after="0"/>
        <w:tabs>
          <w:tab w:leader="none" w:pos="860"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Closed periods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Shares underlying French Qualified Restricted Share Units may not be sold during the following period (“Closed Periods”):</w:t>
      </w:r>
    </w:p>
    <w:p>
      <w:pPr>
        <w:spacing w:after="0" w:line="212" w:lineRule="exact"/>
        <w:rPr>
          <w:sz w:val="20"/>
          <w:szCs w:val="20"/>
          <w:color w:val="auto"/>
        </w:rPr>
      </w:pPr>
    </w:p>
    <w:p>
      <w:pPr>
        <w:ind w:left="1740" w:hanging="424"/>
        <w:spacing w:after="0"/>
        <w:tabs>
          <w:tab w:leader="none" w:pos="1740" w:val="left"/>
        </w:tabs>
        <w:numPr>
          <w:ilvl w:val="0"/>
          <w:numId w:val="80"/>
        </w:numPr>
        <w:rPr>
          <w:rFonts w:ascii="Arial" w:cs="Arial" w:eastAsia="Arial" w:hAnsi="Arial"/>
          <w:sz w:val="21"/>
          <w:szCs w:val="21"/>
          <w:color w:val="auto"/>
        </w:rPr>
      </w:pPr>
      <w:r>
        <w:rPr>
          <w:rFonts w:ascii="Arial" w:cs="Arial" w:eastAsia="Arial" w:hAnsi="Arial"/>
          <w:sz w:val="21"/>
          <w:szCs w:val="21"/>
          <w:color w:val="auto"/>
        </w:rPr>
        <w:t>within the 10 days before or after the publication of the annual accounts;</w:t>
      </w:r>
    </w:p>
    <w:p>
      <w:pPr>
        <w:spacing w:after="0" w:line="200" w:lineRule="exact"/>
        <w:rPr>
          <w:rFonts w:ascii="Arial" w:cs="Arial" w:eastAsia="Arial" w:hAnsi="Arial"/>
          <w:sz w:val="21"/>
          <w:szCs w:val="21"/>
          <w:color w:val="auto"/>
        </w:rPr>
      </w:pPr>
    </w:p>
    <w:p>
      <w:pPr>
        <w:jc w:val="both"/>
        <w:ind w:left="1740" w:hanging="424"/>
        <w:spacing w:after="0" w:line="244" w:lineRule="auto"/>
        <w:tabs>
          <w:tab w:leader="none" w:pos="1740" w:val="left"/>
        </w:tabs>
        <w:numPr>
          <w:ilvl w:val="0"/>
          <w:numId w:val="80"/>
        </w:numPr>
        <w:rPr>
          <w:rFonts w:ascii="Arial" w:cs="Arial" w:eastAsia="Arial" w:hAnsi="Arial"/>
          <w:sz w:val="21"/>
          <w:szCs w:val="21"/>
          <w:color w:val="auto"/>
        </w:rPr>
      </w:pPr>
      <w:r>
        <w:rPr>
          <w:rFonts w:ascii="Arial" w:cs="Arial" w:eastAsia="Arial" w:hAnsi="Arial"/>
          <w:sz w:val="21"/>
          <w:szCs w:val="21"/>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73" w:lineRule="exact"/>
        <w:rPr>
          <w:sz w:val="20"/>
          <w:szCs w:val="20"/>
          <w:color w:val="auto"/>
        </w:rPr>
      </w:pPr>
    </w:p>
    <w:p>
      <w:pPr>
        <w:ind w:firstLine="878"/>
        <w:spacing w:after="0" w:line="256" w:lineRule="auto"/>
        <w:rPr>
          <w:sz w:val="20"/>
          <w:szCs w:val="20"/>
          <w:color w:val="auto"/>
        </w:rPr>
      </w:pPr>
      <w:r>
        <w:rPr>
          <w:rFonts w:ascii="Arial" w:cs="Arial" w:eastAsia="Arial" w:hAnsi="Arial"/>
          <w:sz w:val="21"/>
          <w:szCs w:val="21"/>
          <w:color w:val="auto"/>
        </w:rPr>
        <w:t>These Closed Periods will apply to grant of French Qualified Restricted Share Units as long as and to the extent such Closed Periods are applicable under French law.</w:t>
      </w:r>
    </w:p>
    <w:p>
      <w:pPr>
        <w:spacing w:after="0" w:line="154" w:lineRule="exact"/>
        <w:rPr>
          <w:sz w:val="20"/>
          <w:szCs w:val="20"/>
          <w:color w:val="auto"/>
        </w:rPr>
      </w:pPr>
    </w:p>
    <w:p>
      <w:pPr>
        <w:ind w:left="860" w:hanging="427"/>
        <w:spacing w:after="0"/>
        <w:tabs>
          <w:tab w:leader="none" w:pos="860"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Non-transferability of French Qualified Restricted Share Units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1"/>
          <w:szCs w:val="21"/>
          <w:color w:val="auto"/>
        </w:rPr>
        <w:t>Except in the case of death, French Qualified Restricted Share Units may not be transferred to any third party.</w:t>
      </w:r>
    </w:p>
    <w:p>
      <w:pPr>
        <w:spacing w:after="0" w:line="194" w:lineRule="exact"/>
        <w:rPr>
          <w:sz w:val="20"/>
          <w:szCs w:val="20"/>
          <w:color w:val="auto"/>
        </w:rPr>
      </w:pPr>
    </w:p>
    <w:p>
      <w:pPr>
        <w:ind w:left="860" w:hanging="427"/>
        <w:spacing w:after="0"/>
        <w:tabs>
          <w:tab w:leader="none" w:pos="860"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Adjustments to certain corporate events</w:t>
      </w:r>
    </w:p>
    <w:p>
      <w:pPr>
        <w:spacing w:after="0" w:line="206"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20"/>
          <w:szCs w:val="20"/>
          <w:color w:val="auto"/>
        </w:rPr>
        <w:t>Adjustments to the terms and conditions of the French Qualified Restricted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Restricted Share Units may no longer qualify as French Qualified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598805</wp:posOffset>
            </wp:positionV>
            <wp:extent cx="729361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1"/>
          <w:szCs w:val="21"/>
          <w:b w:val="1"/>
          <w:bCs w:val="1"/>
          <w:u w:val="single" w:color="auto"/>
          <w:color w:val="auto"/>
        </w:rPr>
        <w:t>Appendix 3: French Terms applicable to one year and two year Performance Share Units</w:t>
      </w:r>
    </w:p>
    <w:p>
      <w:pPr>
        <w:spacing w:after="0" w:line="20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0"/>
          <w:szCs w:val="20"/>
          <w:color w:val="auto"/>
        </w:rPr>
        <w:t>It is intended that Performance Share Units granted under the French Plan shall qualify for the specific tax and social security charges treatment applicable to French Qualified Performance Share Units granted under Articles L.225-197-1 to L.225-197-6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Performance Share Units granted under this Appendix 3 will be deemed French Qualified Performance Share Units.</w:t>
      </w:r>
    </w:p>
    <w:p>
      <w:pPr>
        <w:spacing w:after="0" w:line="162" w:lineRule="exact"/>
        <w:rPr>
          <w:sz w:val="20"/>
          <w:szCs w:val="20"/>
          <w:color w:val="auto"/>
        </w:rPr>
      </w:pPr>
    </w:p>
    <w:p>
      <w:pPr>
        <w:ind w:left="860" w:hanging="427"/>
        <w:spacing w:after="0"/>
        <w:tabs>
          <w:tab w:leader="none" w:pos="860"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Eligibility</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1"/>
          <w:szCs w:val="21"/>
          <w:color w:val="auto"/>
        </w:rPr>
        <w:t>French Qualified Performance Share Units may not be granted under this Addendum to an individual:</w:t>
      </w:r>
    </w:p>
    <w:p>
      <w:pPr>
        <w:spacing w:after="0" w:line="200" w:lineRule="exact"/>
        <w:rPr>
          <w:sz w:val="20"/>
          <w:szCs w:val="20"/>
          <w:color w:val="auto"/>
        </w:rPr>
      </w:pPr>
    </w:p>
    <w:p>
      <w:pPr>
        <w:ind w:left="1740" w:hanging="424"/>
        <w:spacing w:after="0" w:line="256" w:lineRule="auto"/>
        <w:tabs>
          <w:tab w:leader="none" w:pos="1740" w:val="left"/>
        </w:tabs>
        <w:numPr>
          <w:ilvl w:val="1"/>
          <w:numId w:val="84"/>
        </w:numPr>
        <w:rPr>
          <w:rFonts w:ascii="Arial" w:cs="Arial" w:eastAsia="Arial" w:hAnsi="Arial"/>
          <w:sz w:val="21"/>
          <w:szCs w:val="21"/>
          <w:color w:val="auto"/>
        </w:rPr>
      </w:pPr>
      <w:r>
        <w:rPr>
          <w:rFonts w:ascii="Arial" w:cs="Arial" w:eastAsia="Arial" w:hAnsi="Arial"/>
          <w:sz w:val="21"/>
          <w:szCs w:val="21"/>
          <w:color w:val="auto"/>
        </w:rPr>
        <w:t>unless he is employed by Schlumberger Limited or by a company which is a corporate subsidiary of Schlumberger Limited; or</w:t>
      </w:r>
    </w:p>
    <w:p>
      <w:pPr>
        <w:spacing w:after="0" w:line="160" w:lineRule="exact"/>
        <w:rPr>
          <w:rFonts w:ascii="Arial" w:cs="Arial" w:eastAsia="Arial" w:hAnsi="Arial"/>
          <w:sz w:val="21"/>
          <w:szCs w:val="21"/>
          <w:color w:val="auto"/>
        </w:rPr>
      </w:pPr>
    </w:p>
    <w:p>
      <w:pPr>
        <w:ind w:left="1740" w:hanging="424"/>
        <w:spacing w:after="0" w:line="256" w:lineRule="auto"/>
        <w:tabs>
          <w:tab w:leader="none" w:pos="1740" w:val="left"/>
        </w:tabs>
        <w:numPr>
          <w:ilvl w:val="1"/>
          <w:numId w:val="84"/>
        </w:numPr>
        <w:rPr>
          <w:rFonts w:ascii="Arial" w:cs="Arial" w:eastAsia="Arial" w:hAnsi="Arial"/>
          <w:sz w:val="21"/>
          <w:szCs w:val="21"/>
          <w:color w:val="auto"/>
        </w:rPr>
      </w:pPr>
      <w:r>
        <w:rPr>
          <w:rFonts w:ascii="Arial" w:cs="Arial" w:eastAsia="Arial" w:hAnsi="Arial"/>
          <w:sz w:val="21"/>
          <w:szCs w:val="21"/>
          <w:color w:val="auto"/>
        </w:rPr>
        <w:t>unless he is a director with a management function as defined in Article 225-197-1 of the French “Code de Commerce” in France of a company which is a corporate subsidiary of Schlumberger Limited; or</w:t>
      </w:r>
    </w:p>
    <w:p>
      <w:pPr>
        <w:spacing w:after="0" w:line="160" w:lineRule="exact"/>
        <w:rPr>
          <w:rFonts w:ascii="Arial" w:cs="Arial" w:eastAsia="Arial" w:hAnsi="Arial"/>
          <w:sz w:val="21"/>
          <w:szCs w:val="21"/>
          <w:color w:val="auto"/>
        </w:rPr>
      </w:pPr>
    </w:p>
    <w:p>
      <w:pPr>
        <w:ind w:left="1740" w:hanging="424"/>
        <w:spacing w:after="0"/>
        <w:tabs>
          <w:tab w:leader="none" w:pos="1740" w:val="left"/>
        </w:tabs>
        <w:numPr>
          <w:ilvl w:val="1"/>
          <w:numId w:val="84"/>
        </w:numPr>
        <w:rPr>
          <w:rFonts w:ascii="Arial" w:cs="Arial" w:eastAsia="Arial" w:hAnsi="Arial"/>
          <w:sz w:val="21"/>
          <w:szCs w:val="21"/>
          <w:color w:val="auto"/>
        </w:rPr>
      </w:pPr>
      <w:r>
        <w:rPr>
          <w:rFonts w:ascii="Arial" w:cs="Arial" w:eastAsia="Arial" w:hAnsi="Arial"/>
          <w:sz w:val="21"/>
          <w:szCs w:val="21"/>
          <w:color w:val="auto"/>
        </w:rPr>
        <w:t>who owns more than 10% of the share capital of Schlumberger Limited.</w:t>
      </w:r>
    </w:p>
    <w:p>
      <w:pPr>
        <w:spacing w:after="0" w:line="194" w:lineRule="exact"/>
        <w:rPr>
          <w:rFonts w:ascii="Arial" w:cs="Arial" w:eastAsia="Arial" w:hAnsi="Arial"/>
          <w:sz w:val="21"/>
          <w:szCs w:val="21"/>
          <w:color w:val="auto"/>
        </w:rPr>
      </w:pPr>
    </w:p>
    <w:p>
      <w:pPr>
        <w:ind w:left="860" w:hanging="427"/>
        <w:spacing w:after="0"/>
        <w:tabs>
          <w:tab w:leader="none" w:pos="860"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Vesting, Settlement and Delivery of French Qualified Performance Share Units</w:t>
      </w:r>
    </w:p>
    <w:p>
      <w:pPr>
        <w:spacing w:after="0" w:line="206" w:lineRule="exact"/>
        <w:rPr>
          <w:rFonts w:ascii="Arial" w:cs="Arial" w:eastAsia="Arial" w:hAnsi="Arial"/>
          <w:sz w:val="21"/>
          <w:szCs w:val="21"/>
          <w:b w:val="1"/>
          <w:bCs w:val="1"/>
          <w:color w:val="auto"/>
        </w:rPr>
      </w:pPr>
    </w:p>
    <w:p>
      <w:pPr>
        <w:ind w:left="1740" w:hanging="424"/>
        <w:spacing w:after="0"/>
        <w:tabs>
          <w:tab w:leader="none" w:pos="1740"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French Qualified Performance Share Units shall vest as provided for in the Share Unit Agreement.</w:t>
      </w:r>
    </w:p>
    <w:p>
      <w:pPr>
        <w:spacing w:after="0" w:line="211" w:lineRule="exact"/>
        <w:rPr>
          <w:rFonts w:ascii="Arial" w:cs="Arial" w:eastAsia="Arial" w:hAnsi="Arial"/>
          <w:sz w:val="20"/>
          <w:szCs w:val="20"/>
          <w:color w:val="auto"/>
        </w:rPr>
      </w:pPr>
    </w:p>
    <w:p>
      <w:pPr>
        <w:ind w:left="1740" w:hanging="424"/>
        <w:spacing w:after="0"/>
        <w:tabs>
          <w:tab w:leader="none" w:pos="1740"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Settlement</w:t>
      </w:r>
      <w:r>
        <w:rPr>
          <w:rFonts w:ascii="Arial" w:cs="Arial" w:eastAsia="Arial" w:hAnsi="Arial"/>
          <w:sz w:val="20"/>
          <w:szCs w:val="20"/>
          <w:color w:val="auto"/>
        </w:rPr>
        <w:t>. Payment of vested Performance Share Units shall only be made in shares of Common Stock.</w:t>
      </w:r>
    </w:p>
    <w:p>
      <w:pPr>
        <w:spacing w:after="0" w:line="211" w:lineRule="exact"/>
        <w:rPr>
          <w:rFonts w:ascii="Arial" w:cs="Arial" w:eastAsia="Arial" w:hAnsi="Arial"/>
          <w:sz w:val="20"/>
          <w:szCs w:val="20"/>
          <w:color w:val="auto"/>
        </w:rPr>
      </w:pPr>
    </w:p>
    <w:p>
      <w:pPr>
        <w:jc w:val="both"/>
        <w:ind w:left="1740" w:hanging="424"/>
        <w:spacing w:after="0" w:line="262" w:lineRule="auto"/>
        <w:tabs>
          <w:tab w:leader="none" w:pos="1740"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Delivery</w:t>
      </w:r>
      <w:r>
        <w:rPr>
          <w:rFonts w:ascii="Arial" w:cs="Arial" w:eastAsia="Arial" w:hAnsi="Arial"/>
          <w:sz w:val="20"/>
          <w:szCs w:val="20"/>
          <w:color w:val="auto"/>
        </w:rPr>
        <w:t>. Notwithstanding the vesting date of the Performance Share Units, under no circumstances, except in case of employee’s death as provided for in section 2 (d) below, shall the delivery of the shares related to a French Qualified Performance Share Unit occur prior to the second anniversary of the Grant Date.</w:t>
      </w:r>
    </w:p>
    <w:p>
      <w:pPr>
        <w:spacing w:after="0" w:line="156" w:lineRule="exact"/>
        <w:rPr>
          <w:rFonts w:ascii="Arial" w:cs="Arial" w:eastAsia="Arial" w:hAnsi="Arial"/>
          <w:sz w:val="20"/>
          <w:szCs w:val="20"/>
          <w:color w:val="auto"/>
        </w:rPr>
      </w:pPr>
    </w:p>
    <w:p>
      <w:pPr>
        <w:jc w:val="both"/>
        <w:ind w:left="1740" w:hanging="424"/>
        <w:spacing w:after="0" w:line="237" w:lineRule="auto"/>
        <w:tabs>
          <w:tab w:leader="none" w:pos="1740"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Acceleration on Death</w:t>
      </w:r>
      <w:r>
        <w:rPr>
          <w:rFonts w:ascii="Arial" w:cs="Arial" w:eastAsia="Arial" w:hAnsi="Arial"/>
          <w:sz w:val="21"/>
          <w:szCs w:val="21"/>
          <w:color w:val="auto"/>
        </w:rPr>
        <w:t>. Upon Termination of Employment from the Company by reason of employee’s death, all French Qualified Performance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461645</wp:posOffset>
            </wp:positionV>
            <wp:extent cx="729361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84" w:name="page85"/>
    <w:bookmarkEnd w:id="84"/>
    <w:p>
      <w:pPr>
        <w:ind w:left="1740"/>
        <w:spacing w:after="0" w:line="256" w:lineRule="auto"/>
        <w:rPr>
          <w:sz w:val="20"/>
          <w:szCs w:val="20"/>
          <w:color w:val="auto"/>
        </w:rPr>
      </w:pPr>
      <w:r>
        <w:rPr>
          <w:rFonts w:ascii="Arial" w:cs="Arial" w:eastAsia="Arial" w:hAnsi="Arial"/>
          <w:sz w:val="21"/>
          <w:szCs w:val="21"/>
          <w:color w:val="auto"/>
        </w:rPr>
        <w:t>However, the employee’s heirs shall not need to comply with the restriction on the sale of shares set forth in Sections 3 below.</w:t>
      </w:r>
    </w:p>
    <w:p>
      <w:pPr>
        <w:spacing w:after="0" w:line="154" w:lineRule="exact"/>
        <w:rPr>
          <w:sz w:val="20"/>
          <w:szCs w:val="20"/>
          <w:color w:val="auto"/>
        </w:rPr>
      </w:pPr>
    </w:p>
    <w:p>
      <w:pPr>
        <w:ind w:left="860" w:hanging="427"/>
        <w:spacing w:after="0"/>
        <w:tabs>
          <w:tab w:leader="none" w:pos="860"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Sales Restrictions</w:t>
      </w:r>
    </w:p>
    <w:p>
      <w:pPr>
        <w:spacing w:after="0" w:line="206" w:lineRule="exact"/>
        <w:rPr>
          <w:sz w:val="20"/>
          <w:szCs w:val="20"/>
          <w:color w:val="auto"/>
        </w:rPr>
      </w:pPr>
    </w:p>
    <w:p>
      <w:pPr>
        <w:jc w:val="both"/>
        <w:ind w:firstLine="439"/>
        <w:spacing w:after="0" w:line="236" w:lineRule="auto"/>
        <w:rPr>
          <w:sz w:val="20"/>
          <w:szCs w:val="20"/>
          <w:color w:val="auto"/>
        </w:rPr>
      </w:pPr>
      <w:r>
        <w:rPr>
          <w:rFonts w:ascii="Arial" w:cs="Arial" w:eastAsia="Arial" w:hAnsi="Arial"/>
          <w:sz w:val="21"/>
          <w:szCs w:val="21"/>
          <w:color w:val="auto"/>
        </w:rPr>
        <w:t>The sale of shares issued pursuant to the conversion of the French Qualified Performance Share Units may not occur prior to the expiration of a two-year period as calculated from the date the Performance Share Units are converted into shares or such other period as is required to comply with the minimum mandatory holding period applicable to French Qualified Performance Share Units under Article L. 225-197-1 of the French Commercial Code. Notwithstanding the above, in case of employee’s death, the employee’s heirs shall not need to comply with the restriction on the sale of shares. In addition, in the event of the 2nd or 3rd category disability (as defined under Article L.341-4 of the French Social Security Code) of an employee, the employee shall not need to comply with the restriction on the sale of Shares.</w:t>
      </w:r>
    </w:p>
    <w:p>
      <w:pPr>
        <w:spacing w:after="0" w:line="177" w:lineRule="exact"/>
        <w:rPr>
          <w:sz w:val="20"/>
          <w:szCs w:val="20"/>
          <w:color w:val="auto"/>
        </w:rPr>
      </w:pPr>
    </w:p>
    <w:p>
      <w:pPr>
        <w:ind w:left="860" w:hanging="427"/>
        <w:spacing w:after="0"/>
        <w:tabs>
          <w:tab w:leader="none" w:pos="860"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Closed periods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Shares underlying French Qualified Performance Share Units may not be sold during the following period (“Closed Periods”):</w:t>
      </w:r>
    </w:p>
    <w:p>
      <w:pPr>
        <w:spacing w:after="0" w:line="212" w:lineRule="exact"/>
        <w:rPr>
          <w:sz w:val="20"/>
          <w:szCs w:val="20"/>
          <w:color w:val="auto"/>
        </w:rPr>
      </w:pPr>
    </w:p>
    <w:p>
      <w:pPr>
        <w:ind w:left="1740" w:hanging="424"/>
        <w:spacing w:after="0"/>
        <w:tabs>
          <w:tab w:leader="none" w:pos="1740" w:val="left"/>
        </w:tabs>
        <w:numPr>
          <w:ilvl w:val="0"/>
          <w:numId w:val="88"/>
        </w:numPr>
        <w:rPr>
          <w:rFonts w:ascii="Arial" w:cs="Arial" w:eastAsia="Arial" w:hAnsi="Arial"/>
          <w:sz w:val="21"/>
          <w:szCs w:val="21"/>
          <w:color w:val="auto"/>
        </w:rPr>
      </w:pPr>
      <w:r>
        <w:rPr>
          <w:rFonts w:ascii="Arial" w:cs="Arial" w:eastAsia="Arial" w:hAnsi="Arial"/>
          <w:sz w:val="21"/>
          <w:szCs w:val="21"/>
          <w:color w:val="auto"/>
        </w:rPr>
        <w:t>within the 10 days before or after the publication of the annual accounts;</w:t>
      </w:r>
    </w:p>
    <w:p>
      <w:pPr>
        <w:spacing w:after="0" w:line="200" w:lineRule="exact"/>
        <w:rPr>
          <w:rFonts w:ascii="Arial" w:cs="Arial" w:eastAsia="Arial" w:hAnsi="Arial"/>
          <w:sz w:val="21"/>
          <w:szCs w:val="21"/>
          <w:color w:val="auto"/>
        </w:rPr>
      </w:pPr>
    </w:p>
    <w:p>
      <w:pPr>
        <w:jc w:val="both"/>
        <w:ind w:left="1740" w:hanging="424"/>
        <w:spacing w:after="0" w:line="244" w:lineRule="auto"/>
        <w:tabs>
          <w:tab w:leader="none" w:pos="1740" w:val="left"/>
        </w:tabs>
        <w:numPr>
          <w:ilvl w:val="0"/>
          <w:numId w:val="88"/>
        </w:numPr>
        <w:rPr>
          <w:rFonts w:ascii="Arial" w:cs="Arial" w:eastAsia="Arial" w:hAnsi="Arial"/>
          <w:sz w:val="21"/>
          <w:szCs w:val="21"/>
          <w:color w:val="auto"/>
        </w:rPr>
      </w:pPr>
      <w:r>
        <w:rPr>
          <w:rFonts w:ascii="Arial" w:cs="Arial" w:eastAsia="Arial" w:hAnsi="Arial"/>
          <w:sz w:val="21"/>
          <w:szCs w:val="21"/>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73" w:lineRule="exact"/>
        <w:rPr>
          <w:sz w:val="20"/>
          <w:szCs w:val="20"/>
          <w:color w:val="auto"/>
        </w:rPr>
      </w:pPr>
    </w:p>
    <w:p>
      <w:pPr>
        <w:ind w:firstLine="878"/>
        <w:spacing w:after="0" w:line="256" w:lineRule="auto"/>
        <w:rPr>
          <w:sz w:val="20"/>
          <w:szCs w:val="20"/>
          <w:color w:val="auto"/>
        </w:rPr>
      </w:pPr>
      <w:r>
        <w:rPr>
          <w:rFonts w:ascii="Arial" w:cs="Arial" w:eastAsia="Arial" w:hAnsi="Arial"/>
          <w:sz w:val="21"/>
          <w:szCs w:val="21"/>
          <w:color w:val="auto"/>
        </w:rPr>
        <w:t>These Closed Periods will apply to grant of French Qualified Performance Share Units as long as and to the extent such Closed Periods are applicable under French law.</w:t>
      </w:r>
    </w:p>
    <w:p>
      <w:pPr>
        <w:spacing w:after="0" w:line="154" w:lineRule="exact"/>
        <w:rPr>
          <w:sz w:val="20"/>
          <w:szCs w:val="20"/>
          <w:color w:val="auto"/>
        </w:rPr>
      </w:pPr>
    </w:p>
    <w:p>
      <w:pPr>
        <w:ind w:left="860" w:hanging="427"/>
        <w:spacing w:after="0"/>
        <w:tabs>
          <w:tab w:leader="none" w:pos="860"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Non-transferability of French Qualified Performance Share Units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1"/>
          <w:szCs w:val="21"/>
          <w:color w:val="auto"/>
        </w:rPr>
        <w:t>Except in the case of death, French Qualified Performance Share Units may not be transferred to any third party.</w:t>
      </w:r>
    </w:p>
    <w:p>
      <w:pPr>
        <w:spacing w:after="0" w:line="194" w:lineRule="exact"/>
        <w:rPr>
          <w:sz w:val="20"/>
          <w:szCs w:val="20"/>
          <w:color w:val="auto"/>
        </w:rPr>
      </w:pPr>
    </w:p>
    <w:p>
      <w:pPr>
        <w:ind w:left="860" w:hanging="427"/>
        <w:spacing w:after="0"/>
        <w:tabs>
          <w:tab w:leader="none" w:pos="860" w:val="left"/>
        </w:tabs>
        <w:numPr>
          <w:ilvl w:val="0"/>
          <w:numId w:val="9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Employee’s account</w:t>
      </w:r>
    </w:p>
    <w:p>
      <w:pPr>
        <w:spacing w:after="0" w:line="206" w:lineRule="exact"/>
        <w:rPr>
          <w:sz w:val="20"/>
          <w:szCs w:val="20"/>
          <w:color w:val="auto"/>
        </w:rPr>
      </w:pPr>
    </w:p>
    <w:p>
      <w:pPr>
        <w:jc w:val="both"/>
        <w:ind w:firstLine="439"/>
        <w:spacing w:after="0" w:line="244" w:lineRule="auto"/>
        <w:rPr>
          <w:sz w:val="20"/>
          <w:szCs w:val="20"/>
          <w:color w:val="auto"/>
        </w:rPr>
      </w:pPr>
      <w:r>
        <w:rPr>
          <w:rFonts w:ascii="Arial" w:cs="Arial" w:eastAsia="Arial" w:hAnsi="Arial"/>
          <w:sz w:val="21"/>
          <w:szCs w:val="21"/>
          <w:color w:val="auto"/>
        </w:rPr>
        <w:t>The shares issued pursuant to the French Qualified Performance Share Units shall be recorded in an account in the name of the employee with the Company or in such other manner as the Company may otherwise determine in order to ensure compliance with the sale restrictions set forth above in section 3.</w:t>
      </w:r>
    </w:p>
    <w:p>
      <w:pPr>
        <w:spacing w:after="0" w:line="167" w:lineRule="exact"/>
        <w:rPr>
          <w:sz w:val="20"/>
          <w:szCs w:val="20"/>
          <w:color w:val="auto"/>
        </w:rPr>
      </w:pPr>
    </w:p>
    <w:p>
      <w:pPr>
        <w:ind w:left="860" w:hanging="427"/>
        <w:spacing w:after="0"/>
        <w:tabs>
          <w:tab w:leader="none" w:pos="860"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Adjustments to certain corporate events</w:t>
      </w:r>
    </w:p>
    <w:p>
      <w:pPr>
        <w:spacing w:after="0" w:line="206" w:lineRule="exact"/>
        <w:rPr>
          <w:sz w:val="20"/>
          <w:szCs w:val="20"/>
          <w:color w:val="auto"/>
        </w:rPr>
      </w:pPr>
    </w:p>
    <w:p>
      <w:pPr>
        <w:jc w:val="both"/>
        <w:ind w:firstLine="439"/>
        <w:spacing w:after="0" w:line="262" w:lineRule="auto"/>
        <w:rPr>
          <w:sz w:val="20"/>
          <w:szCs w:val="20"/>
          <w:color w:val="auto"/>
        </w:rPr>
      </w:pPr>
      <w:r>
        <w:rPr>
          <w:rFonts w:ascii="Arial" w:cs="Arial" w:eastAsia="Arial" w:hAnsi="Arial"/>
          <w:sz w:val="20"/>
          <w:szCs w:val="20"/>
          <w:color w:val="auto"/>
        </w:rPr>
        <w:t>Adjustments to the terms and conditions of the French Qualified Performance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314325</wp:posOffset>
            </wp:positionV>
            <wp:extent cx="729361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French law, in which case the Performance Share Units may no longer qualify as French Qualified Performance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645160</wp:posOffset>
            </wp:positionV>
            <wp:extent cx="729361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0380"/>
          </w:cols>
          <w:pgMar w:left="240" w:top="352" w:right="1279" w:bottom="1440" w:gutter="0" w:footer="0" w:header="0"/>
        </w:sectPr>
      </w:pPr>
    </w:p>
    <w:bookmarkStart w:id="86" w:name="page87"/>
    <w:bookmarkEnd w:id="86"/>
    <w:p>
      <w:pPr>
        <w:jc w:val="center"/>
        <w:spacing w:after="0"/>
        <w:rPr>
          <w:sz w:val="20"/>
          <w:szCs w:val="20"/>
          <w:color w:val="auto"/>
        </w:rPr>
      </w:pPr>
      <w:r>
        <w:rPr>
          <w:rFonts w:ascii="Arial" w:cs="Arial" w:eastAsia="Arial" w:hAnsi="Arial"/>
          <w:sz w:val="21"/>
          <w:szCs w:val="21"/>
          <w:b w:val="1"/>
          <w:bCs w:val="1"/>
          <w:u w:val="single" w:color="auto"/>
          <w:color w:val="auto"/>
        </w:rPr>
        <w:t>Appendix 4: French Terms applicable to three year Performance Share Units</w:t>
      </w:r>
    </w:p>
    <w:p>
      <w:pPr>
        <w:spacing w:after="0" w:line="20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0"/>
          <w:szCs w:val="20"/>
          <w:color w:val="auto"/>
        </w:rPr>
        <w:t>It is intended that Performance Share Units granted under the French Plan shall qualify for the specific tax and social security charges treatment applicable to French Qualified Performance Share Units granted under Articles L.225-197-1 to L.225-197-6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Performance Share Units granted under this Appendix 4 will be deemed French Qualified Performance Share Units.</w:t>
      </w:r>
    </w:p>
    <w:p>
      <w:pPr>
        <w:spacing w:after="0" w:line="162" w:lineRule="exact"/>
        <w:rPr>
          <w:sz w:val="20"/>
          <w:szCs w:val="20"/>
          <w:color w:val="auto"/>
        </w:rPr>
      </w:pPr>
    </w:p>
    <w:p>
      <w:pPr>
        <w:ind w:left="860" w:hanging="427"/>
        <w:spacing w:after="0"/>
        <w:tabs>
          <w:tab w:leader="none" w:pos="860"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Eligibility</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1"/>
          <w:szCs w:val="21"/>
          <w:color w:val="auto"/>
        </w:rPr>
        <w:t>French Qualified Performance Share Units may not be granted under this Addendum to an individual:</w:t>
      </w:r>
    </w:p>
    <w:p>
      <w:pPr>
        <w:spacing w:after="0" w:line="200" w:lineRule="exact"/>
        <w:rPr>
          <w:sz w:val="20"/>
          <w:szCs w:val="20"/>
          <w:color w:val="auto"/>
        </w:rPr>
      </w:pPr>
    </w:p>
    <w:p>
      <w:pPr>
        <w:ind w:left="1300" w:hanging="426"/>
        <w:spacing w:after="0" w:line="256" w:lineRule="auto"/>
        <w:tabs>
          <w:tab w:leader="none" w:pos="1300" w:val="left"/>
        </w:tabs>
        <w:numPr>
          <w:ilvl w:val="1"/>
          <w:numId w:val="93"/>
        </w:numPr>
        <w:rPr>
          <w:rFonts w:ascii="Arial" w:cs="Arial" w:eastAsia="Arial" w:hAnsi="Arial"/>
          <w:sz w:val="21"/>
          <w:szCs w:val="21"/>
          <w:color w:val="auto"/>
        </w:rPr>
      </w:pPr>
      <w:r>
        <w:rPr>
          <w:rFonts w:ascii="Arial" w:cs="Arial" w:eastAsia="Arial" w:hAnsi="Arial"/>
          <w:sz w:val="21"/>
          <w:szCs w:val="21"/>
          <w:color w:val="auto"/>
        </w:rPr>
        <w:t>unless he is employed by Schlumberger Limited or by a company which is a corporate subsidiary of Schlumberger Limited; or</w:t>
      </w:r>
    </w:p>
    <w:p>
      <w:pPr>
        <w:spacing w:after="0" w:line="160" w:lineRule="exact"/>
        <w:rPr>
          <w:rFonts w:ascii="Arial" w:cs="Arial" w:eastAsia="Arial" w:hAnsi="Arial"/>
          <w:sz w:val="21"/>
          <w:szCs w:val="21"/>
          <w:color w:val="auto"/>
        </w:rPr>
      </w:pPr>
    </w:p>
    <w:p>
      <w:pPr>
        <w:ind w:left="1300" w:hanging="426"/>
        <w:spacing w:after="0" w:line="256" w:lineRule="auto"/>
        <w:tabs>
          <w:tab w:leader="none" w:pos="1300" w:val="left"/>
        </w:tabs>
        <w:numPr>
          <w:ilvl w:val="1"/>
          <w:numId w:val="93"/>
        </w:numPr>
        <w:rPr>
          <w:rFonts w:ascii="Arial" w:cs="Arial" w:eastAsia="Arial" w:hAnsi="Arial"/>
          <w:sz w:val="21"/>
          <w:szCs w:val="21"/>
          <w:color w:val="auto"/>
        </w:rPr>
      </w:pPr>
      <w:r>
        <w:rPr>
          <w:rFonts w:ascii="Arial" w:cs="Arial" w:eastAsia="Arial" w:hAnsi="Arial"/>
          <w:sz w:val="21"/>
          <w:szCs w:val="21"/>
          <w:color w:val="auto"/>
        </w:rPr>
        <w:t>unless he is a director with a management function as defined in Article 225-197-1 of the French “Code de Commerce” in France of a company which is a corporate subsidiary of Schlumberger Limited; or</w:t>
      </w:r>
    </w:p>
    <w:p>
      <w:pPr>
        <w:spacing w:after="0" w:line="160" w:lineRule="exact"/>
        <w:rPr>
          <w:rFonts w:ascii="Arial" w:cs="Arial" w:eastAsia="Arial" w:hAnsi="Arial"/>
          <w:sz w:val="21"/>
          <w:szCs w:val="21"/>
          <w:color w:val="auto"/>
        </w:rPr>
      </w:pPr>
    </w:p>
    <w:p>
      <w:pPr>
        <w:ind w:left="1300" w:hanging="426"/>
        <w:spacing w:after="0"/>
        <w:tabs>
          <w:tab w:leader="none" w:pos="1300" w:val="left"/>
        </w:tabs>
        <w:numPr>
          <w:ilvl w:val="1"/>
          <w:numId w:val="93"/>
        </w:numPr>
        <w:rPr>
          <w:rFonts w:ascii="Arial" w:cs="Arial" w:eastAsia="Arial" w:hAnsi="Arial"/>
          <w:sz w:val="21"/>
          <w:szCs w:val="21"/>
          <w:color w:val="auto"/>
        </w:rPr>
      </w:pPr>
      <w:r>
        <w:rPr>
          <w:rFonts w:ascii="Arial" w:cs="Arial" w:eastAsia="Arial" w:hAnsi="Arial"/>
          <w:sz w:val="21"/>
          <w:szCs w:val="21"/>
          <w:color w:val="auto"/>
        </w:rPr>
        <w:t>who owns more than 10% of the share capital of Schlumberger Limited.</w:t>
      </w:r>
    </w:p>
    <w:p>
      <w:pPr>
        <w:spacing w:after="0" w:line="194" w:lineRule="exact"/>
        <w:rPr>
          <w:rFonts w:ascii="Arial" w:cs="Arial" w:eastAsia="Arial" w:hAnsi="Arial"/>
          <w:sz w:val="21"/>
          <w:szCs w:val="21"/>
          <w:color w:val="auto"/>
        </w:rPr>
      </w:pPr>
    </w:p>
    <w:p>
      <w:pPr>
        <w:ind w:left="860" w:hanging="427"/>
        <w:spacing w:after="0"/>
        <w:tabs>
          <w:tab w:leader="none" w:pos="860"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Vesting, Settlement and Delivery of French Qualified Performance Share Units</w:t>
      </w:r>
    </w:p>
    <w:p>
      <w:pPr>
        <w:spacing w:after="0" w:line="206" w:lineRule="exact"/>
        <w:rPr>
          <w:rFonts w:ascii="Arial" w:cs="Arial" w:eastAsia="Arial" w:hAnsi="Arial"/>
          <w:sz w:val="21"/>
          <w:szCs w:val="21"/>
          <w:b w:val="1"/>
          <w:bCs w:val="1"/>
          <w:color w:val="auto"/>
        </w:rPr>
      </w:pPr>
    </w:p>
    <w:p>
      <w:pPr>
        <w:ind w:left="1300" w:hanging="426"/>
        <w:spacing w:after="0"/>
        <w:tabs>
          <w:tab w:leader="none" w:pos="1300"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French Qualified Performance Share Units shall vest as provided for in the Share Unit Agreement.</w:t>
      </w:r>
    </w:p>
    <w:p>
      <w:pPr>
        <w:spacing w:after="0" w:line="200" w:lineRule="exact"/>
        <w:rPr>
          <w:rFonts w:ascii="Arial" w:cs="Arial" w:eastAsia="Arial" w:hAnsi="Arial"/>
          <w:sz w:val="21"/>
          <w:szCs w:val="21"/>
          <w:color w:val="auto"/>
        </w:rPr>
      </w:pPr>
    </w:p>
    <w:p>
      <w:pPr>
        <w:ind w:left="1300" w:hanging="426"/>
        <w:spacing w:after="0"/>
        <w:tabs>
          <w:tab w:leader="none" w:pos="1300"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Settlement</w:t>
      </w:r>
      <w:r>
        <w:rPr>
          <w:rFonts w:ascii="Arial" w:cs="Arial" w:eastAsia="Arial" w:hAnsi="Arial"/>
          <w:sz w:val="21"/>
          <w:szCs w:val="21"/>
          <w:color w:val="auto"/>
        </w:rPr>
        <w:t>. Payment of vested Performance Share Units shall only be made in shares of Common Stock.</w:t>
      </w:r>
    </w:p>
    <w:p>
      <w:pPr>
        <w:spacing w:after="0" w:line="200" w:lineRule="exact"/>
        <w:rPr>
          <w:rFonts w:ascii="Arial" w:cs="Arial" w:eastAsia="Arial" w:hAnsi="Arial"/>
          <w:sz w:val="21"/>
          <w:szCs w:val="21"/>
          <w:color w:val="auto"/>
        </w:rPr>
      </w:pPr>
    </w:p>
    <w:p>
      <w:pPr>
        <w:jc w:val="both"/>
        <w:ind w:left="1300" w:hanging="426"/>
        <w:spacing w:after="0" w:line="244" w:lineRule="auto"/>
        <w:tabs>
          <w:tab w:leader="none" w:pos="1300"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Delivery</w:t>
      </w:r>
      <w:r>
        <w:rPr>
          <w:rFonts w:ascii="Arial" w:cs="Arial" w:eastAsia="Arial" w:hAnsi="Arial"/>
          <w:sz w:val="21"/>
          <w:szCs w:val="21"/>
          <w:color w:val="auto"/>
        </w:rPr>
        <w:t>. Notwithstanding the vesting date of the Performance Share Units, under no circumstances, except in case of employee’s death as provided for in section 2 (d) below, shall the delivery of the shares related to a French Qualified Performance Share Unit occur prior to the third anniversary of the Grant Date.</w:t>
      </w:r>
    </w:p>
    <w:p>
      <w:pPr>
        <w:spacing w:after="0" w:line="172" w:lineRule="exact"/>
        <w:rPr>
          <w:rFonts w:ascii="Arial" w:cs="Arial" w:eastAsia="Arial" w:hAnsi="Arial"/>
          <w:sz w:val="21"/>
          <w:szCs w:val="21"/>
          <w:color w:val="auto"/>
        </w:rPr>
      </w:pPr>
    </w:p>
    <w:p>
      <w:pPr>
        <w:jc w:val="both"/>
        <w:ind w:left="1300" w:hanging="426"/>
        <w:spacing w:after="0" w:line="269" w:lineRule="auto"/>
        <w:tabs>
          <w:tab w:leader="none" w:pos="1300"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Acceleration on Death</w:t>
      </w:r>
      <w:r>
        <w:rPr>
          <w:rFonts w:ascii="Arial" w:cs="Arial" w:eastAsia="Arial" w:hAnsi="Arial"/>
          <w:sz w:val="19"/>
          <w:szCs w:val="19"/>
          <w:color w:val="auto"/>
        </w:rPr>
        <w:t>. Upon Termination of Employment from the Company by reason of employee’s death, all French Qualified Performance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444500</wp:posOffset>
            </wp:positionV>
            <wp:extent cx="729361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87" w:name="page88"/>
    <w:bookmarkEnd w:id="87"/>
    <w:p>
      <w:pPr>
        <w:ind w:left="860" w:hanging="427"/>
        <w:spacing w:after="0"/>
        <w:tabs>
          <w:tab w:leader="none" w:pos="860"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Sales Restrictions</w:t>
      </w:r>
    </w:p>
    <w:p>
      <w:pPr>
        <w:spacing w:after="0" w:line="206" w:lineRule="exact"/>
        <w:rPr>
          <w:sz w:val="20"/>
          <w:szCs w:val="20"/>
          <w:color w:val="auto"/>
        </w:rPr>
      </w:pPr>
    </w:p>
    <w:p>
      <w:pPr>
        <w:ind w:firstLine="439"/>
        <w:spacing w:after="0" w:line="280" w:lineRule="auto"/>
        <w:rPr>
          <w:sz w:val="20"/>
          <w:szCs w:val="20"/>
          <w:color w:val="auto"/>
        </w:rPr>
      </w:pPr>
      <w:r>
        <w:rPr>
          <w:rFonts w:ascii="Arial" w:cs="Arial" w:eastAsia="Arial" w:hAnsi="Arial"/>
          <w:sz w:val="20"/>
          <w:szCs w:val="20"/>
          <w:color w:val="auto"/>
        </w:rPr>
        <w:t>The sale of shares issued pursuant to the conversion of the French Qualified Performance Share Units may occur as soon as the shares are delivered to the employee provided the Closed Periods (as defined in section 4 below) are respected.</w:t>
      </w:r>
    </w:p>
    <w:p>
      <w:pPr>
        <w:spacing w:after="0" w:line="133" w:lineRule="exact"/>
        <w:rPr>
          <w:sz w:val="20"/>
          <w:szCs w:val="20"/>
          <w:color w:val="auto"/>
        </w:rPr>
      </w:pPr>
    </w:p>
    <w:p>
      <w:pPr>
        <w:ind w:left="860" w:hanging="427"/>
        <w:spacing w:after="0"/>
        <w:tabs>
          <w:tab w:leader="none" w:pos="860"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Closed periods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Shares underlying French Qualified Performance Share Units may not be sold during the following period (“Closed Periods”):</w:t>
      </w:r>
    </w:p>
    <w:p>
      <w:pPr>
        <w:spacing w:after="0" w:line="212" w:lineRule="exact"/>
        <w:rPr>
          <w:sz w:val="20"/>
          <w:szCs w:val="20"/>
          <w:color w:val="auto"/>
        </w:rPr>
      </w:pPr>
    </w:p>
    <w:p>
      <w:pPr>
        <w:ind w:left="1740" w:hanging="424"/>
        <w:spacing w:after="0"/>
        <w:tabs>
          <w:tab w:leader="none" w:pos="1740" w:val="left"/>
        </w:tabs>
        <w:numPr>
          <w:ilvl w:val="0"/>
          <w:numId w:val="97"/>
        </w:numPr>
        <w:rPr>
          <w:rFonts w:ascii="Arial" w:cs="Arial" w:eastAsia="Arial" w:hAnsi="Arial"/>
          <w:sz w:val="21"/>
          <w:szCs w:val="21"/>
          <w:color w:val="auto"/>
        </w:rPr>
      </w:pPr>
      <w:r>
        <w:rPr>
          <w:rFonts w:ascii="Arial" w:cs="Arial" w:eastAsia="Arial" w:hAnsi="Arial"/>
          <w:sz w:val="21"/>
          <w:szCs w:val="21"/>
          <w:color w:val="auto"/>
        </w:rPr>
        <w:t>within the 10 days before or after the publication of the annual accounts;</w:t>
      </w:r>
    </w:p>
    <w:p>
      <w:pPr>
        <w:spacing w:after="0" w:line="200" w:lineRule="exact"/>
        <w:rPr>
          <w:rFonts w:ascii="Arial" w:cs="Arial" w:eastAsia="Arial" w:hAnsi="Arial"/>
          <w:sz w:val="21"/>
          <w:szCs w:val="21"/>
          <w:color w:val="auto"/>
        </w:rPr>
      </w:pPr>
    </w:p>
    <w:p>
      <w:pPr>
        <w:jc w:val="both"/>
        <w:ind w:left="1740" w:hanging="424"/>
        <w:spacing w:after="0" w:line="244" w:lineRule="auto"/>
        <w:tabs>
          <w:tab w:leader="none" w:pos="1740" w:val="left"/>
        </w:tabs>
        <w:numPr>
          <w:ilvl w:val="0"/>
          <w:numId w:val="97"/>
        </w:numPr>
        <w:rPr>
          <w:rFonts w:ascii="Arial" w:cs="Arial" w:eastAsia="Arial" w:hAnsi="Arial"/>
          <w:sz w:val="21"/>
          <w:szCs w:val="21"/>
          <w:color w:val="auto"/>
        </w:rPr>
      </w:pPr>
      <w:r>
        <w:rPr>
          <w:rFonts w:ascii="Arial" w:cs="Arial" w:eastAsia="Arial" w:hAnsi="Arial"/>
          <w:sz w:val="21"/>
          <w:szCs w:val="21"/>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73" w:lineRule="exact"/>
        <w:rPr>
          <w:sz w:val="20"/>
          <w:szCs w:val="20"/>
          <w:color w:val="auto"/>
        </w:rPr>
      </w:pPr>
    </w:p>
    <w:p>
      <w:pPr>
        <w:ind w:firstLine="878"/>
        <w:spacing w:after="0" w:line="256" w:lineRule="auto"/>
        <w:rPr>
          <w:sz w:val="20"/>
          <w:szCs w:val="20"/>
          <w:color w:val="auto"/>
        </w:rPr>
      </w:pPr>
      <w:r>
        <w:rPr>
          <w:rFonts w:ascii="Arial" w:cs="Arial" w:eastAsia="Arial" w:hAnsi="Arial"/>
          <w:sz w:val="21"/>
          <w:szCs w:val="21"/>
          <w:color w:val="auto"/>
        </w:rPr>
        <w:t>These Closed Periods will apply to grant of French Qualified Performance Share Units as long as and to the extent such Closed Periods are applicable under French law.</w:t>
      </w:r>
    </w:p>
    <w:p>
      <w:pPr>
        <w:spacing w:after="0" w:line="154" w:lineRule="exact"/>
        <w:rPr>
          <w:sz w:val="20"/>
          <w:szCs w:val="20"/>
          <w:color w:val="auto"/>
        </w:rPr>
      </w:pPr>
    </w:p>
    <w:p>
      <w:pPr>
        <w:ind w:left="860" w:hanging="427"/>
        <w:spacing w:after="0"/>
        <w:tabs>
          <w:tab w:leader="none" w:pos="860" w:val="left"/>
        </w:tabs>
        <w:numPr>
          <w:ilvl w:val="0"/>
          <w:numId w:val="9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Non-transferability of French Qualified Performance Share Units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1"/>
          <w:szCs w:val="21"/>
          <w:color w:val="auto"/>
        </w:rPr>
        <w:t>Except in the case of death, French Qualified Performance Share Units may not be transferred to any third party.</w:t>
      </w:r>
    </w:p>
    <w:p>
      <w:pPr>
        <w:spacing w:after="0" w:line="194" w:lineRule="exact"/>
        <w:rPr>
          <w:sz w:val="20"/>
          <w:szCs w:val="20"/>
          <w:color w:val="auto"/>
        </w:rPr>
      </w:pPr>
    </w:p>
    <w:p>
      <w:pPr>
        <w:ind w:left="860" w:hanging="427"/>
        <w:spacing w:after="0"/>
        <w:tabs>
          <w:tab w:leader="none" w:pos="860" w:val="left"/>
        </w:tabs>
        <w:numPr>
          <w:ilvl w:val="0"/>
          <w:numId w:val="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Adjustments to certain corporate events</w:t>
      </w:r>
    </w:p>
    <w:p>
      <w:pPr>
        <w:spacing w:after="0" w:line="206"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20"/>
          <w:szCs w:val="20"/>
          <w:color w:val="auto"/>
        </w:rPr>
        <w:t>Adjustments to the terms and conditions of the French Qualified Performance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Performance Share Units may no longer qualify as French Qualified Performance Share Units.</w:t>
      </w:r>
    </w:p>
    <w:p>
      <w:pPr>
        <w:sectPr>
          <w:pgSz w:w="11900" w:h="16838" w:orient="portrait"/>
          <w:cols w:equalWidth="0" w:num="1">
            <w:col w:w="11420"/>
          </w:cols>
          <w:pgMar w:left="240" w:top="346"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b w:val="1"/>
          <w:bCs w:val="1"/>
          <w:u w:val="single" w:color="auto"/>
          <w:color w:val="auto"/>
        </w:rPr>
        <w:t>Exhibit 21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Significant Subsidiaries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Listed below are the significant subsidiaries of the Registrant as of December 31, 2017,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2017.</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Schlumberger B.V., Netherlands</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Cameron Lux I SARL, Luxembourg</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OneSubsea BV, Netherlands</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Schlumberger Canada Limited, Canada</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Schlumberger SA, France</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Services Petroliers Schlumberger, France</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Schlumberger Norge AS, Norway</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Schlumberger Holdings Corporation, Delaware</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Cameron International Corporation, Delaware</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Technology Corporation, Texas</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Smith International Inc., Delaware</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Schlumberger UK Limited, UK</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Plc, UK</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Schlumberger Oilfield UK Plc, UK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Schlumberger Oilfield Holdings Limited, BVI</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Schlumberger Holdings II Limited, BVI</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Dowell Schlumberger Corporation, BVI</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Logelco, Inc., Panama</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Middle East SA., Panama</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Offshore Services Limited, BVI</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Overseas, SA, Panama</w:t>
      </w:r>
    </w:p>
    <w:p>
      <w:pPr>
        <w:spacing w:after="0" w:line="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Seaco, Inc., Panama</w:t>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Schlumberger Oilfield Eastern Ltd., BVI</w:t>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u w:val="single" w:color="auto"/>
          <w:color w:val="auto"/>
        </w:rPr>
        <w:t>Exhibit 23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52" w:lineRule="exact"/>
        <w:rPr>
          <w:sz w:val="20"/>
          <w:szCs w:val="20"/>
          <w:color w:val="auto"/>
        </w:rPr>
      </w:pPr>
    </w:p>
    <w:p>
      <w:pPr>
        <w:jc w:val="both"/>
        <w:ind w:firstLine="762"/>
        <w:spacing w:after="0" w:line="262"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333-36366; 333-104225; 333-115277; 333-124534; 333-151920; 333-173055, as amended by post-effective amendment on Form S-8; 333-188589; 333-188590; 333-218181; and 333-218182); on Form S-3 (No.333-221161); on Form S-4 (No. 333-97899); and on Form S-4 as amended by post-effective amendment on Form S-8 (Nos. 333-207260 and 333-166326) of Schlumberger Limited of our report dated January 25, 2017 relating to the consolidated financial statements and the effectiveness of internal control over financial reporting, which appears in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28956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289560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January 24, 2018</w:t>
      </w:r>
    </w:p>
    <w:p>
      <w:pPr>
        <w:sectPr>
          <w:pgSz w:w="11900" w:h="16838" w:orient="portrait"/>
          <w:cols w:equalWidth="0" w:num="1">
            <w:col w:w="11420"/>
          </w:cols>
          <w:pgMar w:left="240" w:top="121" w:right="239" w:bottom="1440" w:gutter="0" w:footer="0" w:header="0"/>
        </w:sectPr>
      </w:pPr>
    </w:p>
    <w:bookmarkStart w:id="90" w:name="page91"/>
    <w:bookmarkEnd w:id="90"/>
    <w:p>
      <w:pPr>
        <w:jc w:val="right"/>
        <w:ind w:right="100"/>
        <w:spacing w:after="0"/>
        <w:rPr>
          <w:sz w:val="20"/>
          <w:szCs w:val="20"/>
          <w:color w:val="auto"/>
        </w:rPr>
      </w:pPr>
      <w:r>
        <w:rPr>
          <w:rFonts w:ascii="Arial" w:cs="Arial" w:eastAsia="Arial" w:hAnsi="Arial"/>
          <w:sz w:val="17"/>
          <w:szCs w:val="17"/>
          <w:b w:val="1"/>
          <w:bCs w:val="1"/>
          <w:u w:val="single" w:color="auto"/>
          <w:color w:val="auto"/>
        </w:rPr>
        <w:t>Exhibit 24</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Powers of Attorney</w:t>
      </w:r>
    </w:p>
    <w:p>
      <w:pPr>
        <w:spacing w:after="0" w:line="226" w:lineRule="exact"/>
        <w:rPr>
          <w:sz w:val="20"/>
          <w:szCs w:val="20"/>
          <w:color w:val="auto"/>
        </w:rPr>
      </w:pPr>
    </w:p>
    <w:p>
      <w:pPr>
        <w:jc w:val="both"/>
        <w:ind w:right="100"/>
        <w:spacing w:after="0" w:line="260" w:lineRule="auto"/>
        <w:rPr>
          <w:sz w:val="20"/>
          <w:szCs w:val="20"/>
          <w:color w:val="auto"/>
        </w:rPr>
      </w:pPr>
      <w:r>
        <w:rPr>
          <w:rFonts w:ascii="Arial" w:cs="Arial" w:eastAsia="Arial" w:hAnsi="Arial"/>
          <w:sz w:val="17"/>
          <w:szCs w:val="17"/>
          <w:color w:val="auto"/>
        </w:rPr>
        <w:t>Each of the undersigned, in the capacity or capacities set forth below his or her signature as a member of the Board of Directors and/or an officer of Schlumberger Limited, a Curaçao corporation, hereby appoints Simon Ayat, Howard Guild and Alexander C. Juden, or any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2017, and any amendment or amendments to any such Annual Report on Form 10-K, and any agreements, consents or waivers relative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520"/>
          </w:cols>
          <w:pgMar w:left="240" w:top="12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  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30111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3011170" cy="8255"/>
                    </a:xfrm>
                    <a:prstGeom prst="rect">
                      <a:avLst/>
                    </a:prstGeom>
                    <a:noFill/>
                  </pic:spPr>
                </pic:pic>
              </a:graphicData>
            </a:graphic>
          </wp:anchor>
        </w:drawing>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Peter L.S. Currie</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 V. Maureen Kempston Darkes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30111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3011170" cy="8255"/>
                    </a:xfrm>
                    <a:prstGeom prst="rect">
                      <a:avLst/>
                    </a:prstGeom>
                    <a:noFill/>
                  </pic:spPr>
                </pic:pic>
              </a:graphicData>
            </a:graphic>
          </wp:anchor>
        </w:drawing>
      </w:r>
    </w:p>
    <w:p>
      <w:pPr>
        <w:spacing w:after="0" w:line="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V. Maureen Kempston Darkes</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30111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3011170" cy="8255"/>
                    </a:xfrm>
                    <a:prstGeom prst="rect">
                      <a:avLst/>
                    </a:prstGeom>
                    <a:noFill/>
                  </pic:spPr>
                </pic:pic>
              </a:graphicData>
            </a:graphic>
          </wp:anchor>
        </w:drawing>
      </w:r>
    </w:p>
    <w:p>
      <w:pPr>
        <w:spacing w:after="0" w:line="4"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Paal Kibsgaard</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Chairman of the Board and Chief Executive Officer</w:t>
      </w:r>
    </w:p>
    <w:p>
      <w:pPr>
        <w:spacing w:after="0" w:line="200" w:lineRule="exact"/>
        <w:rPr>
          <w:sz w:val="20"/>
          <w:szCs w:val="20"/>
          <w:color w:val="auto"/>
        </w:rPr>
      </w:pPr>
    </w:p>
    <w:p>
      <w:pPr>
        <w:spacing w:after="0" w:line="3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30111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3011170" cy="8255"/>
                    </a:xfrm>
                    <a:prstGeom prst="rect">
                      <a:avLst/>
                    </a:prstGeom>
                    <a:noFill/>
                  </pic:spPr>
                </pic:pic>
              </a:graphicData>
            </a:graphic>
          </wp:anchor>
        </w:drawing>
      </w:r>
    </w:p>
    <w:p>
      <w:pPr>
        <w:spacing w:after="0" w:line="4"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Nikolay Kudryavtsev</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30111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3011170" cy="8255"/>
                    </a:xfrm>
                    <a:prstGeom prst="rect">
                      <a:avLst/>
                    </a:prstGeom>
                    <a:noFill/>
                  </pic:spPr>
                </pic:pic>
              </a:graphicData>
            </a:graphic>
          </wp:anchor>
        </w:drawing>
      </w:r>
    </w:p>
    <w:p>
      <w:pPr>
        <w:spacing w:after="0" w:line="4"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Michael E. Marks</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 Helge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30111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3011170" cy="8255"/>
                    </a:xfrm>
                    <a:prstGeom prst="rect">
                      <a:avLst/>
                    </a:prstGeom>
                    <a:noFill/>
                  </pic:spPr>
                </pic:pic>
              </a:graphicData>
            </a:graphic>
          </wp:anchor>
        </w:drawing>
      </w:r>
    </w:p>
    <w:p>
      <w:pPr>
        <w:spacing w:after="0" w:line="4"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Helge Lund</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1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w w:val="70"/>
              </w:rPr>
              <w:t>/s/</w:t>
            </w:r>
          </w:p>
        </w:tc>
        <w:tc>
          <w:tcPr>
            <w:tcW w:w="3680" w:type="dxa"/>
            <w:vAlign w:val="bottom"/>
            <w:tcBorders>
              <w:bottom w:val="single" w:sz="8" w:color="auto"/>
            </w:tcBorders>
          </w:tcPr>
          <w:p>
            <w:pPr>
              <w:jc w:val="center"/>
              <w:ind w:right="2502"/>
              <w:spacing w:after="0"/>
              <w:rPr>
                <w:sz w:val="20"/>
                <w:szCs w:val="20"/>
                <w:color w:val="auto"/>
              </w:rPr>
            </w:pPr>
            <w:r>
              <w:rPr>
                <w:rFonts w:ascii="Arial" w:cs="Arial" w:eastAsia="Arial" w:hAnsi="Arial"/>
                <w:sz w:val="16"/>
                <w:szCs w:val="16"/>
                <w:color w:val="auto"/>
                <w:w w:val="92"/>
              </w:rPr>
              <w:t>Indra K. Nooyi</w:t>
            </w:r>
          </w:p>
        </w:tc>
      </w:tr>
      <w:tr>
        <w:trPr>
          <w:trHeight w:val="181"/>
        </w:trPr>
        <w:tc>
          <w:tcPr>
            <w:tcW w:w="1120" w:type="dxa"/>
            <w:vAlign w:val="bottom"/>
          </w:tcPr>
          <w:p>
            <w:pPr>
              <w:spacing w:after="0"/>
              <w:rPr>
                <w:sz w:val="15"/>
                <w:szCs w:val="15"/>
                <w:color w:val="auto"/>
              </w:rPr>
            </w:pPr>
          </w:p>
        </w:tc>
        <w:tc>
          <w:tcPr>
            <w:tcW w:w="3680" w:type="dxa"/>
            <w:vAlign w:val="bottom"/>
          </w:tcPr>
          <w:p>
            <w:pPr>
              <w:jc w:val="center"/>
              <w:ind w:right="1022"/>
              <w:spacing w:after="0" w:line="181" w:lineRule="exact"/>
              <w:rPr>
                <w:sz w:val="20"/>
                <w:szCs w:val="20"/>
                <w:color w:val="auto"/>
              </w:rPr>
            </w:pPr>
            <w:r>
              <w:rPr>
                <w:rFonts w:ascii="Arial" w:cs="Arial" w:eastAsia="Arial" w:hAnsi="Arial"/>
                <w:sz w:val="16"/>
                <w:szCs w:val="16"/>
                <w:color w:val="auto"/>
                <w:w w:val="92"/>
              </w:rPr>
              <w:t>Indra K. Nooyi</w:t>
            </w:r>
          </w:p>
        </w:tc>
      </w:tr>
      <w:tr>
        <w:trPr>
          <w:trHeight w:val="199"/>
        </w:trPr>
        <w:tc>
          <w:tcPr>
            <w:tcW w:w="1120" w:type="dxa"/>
            <w:vAlign w:val="bottom"/>
          </w:tcPr>
          <w:p>
            <w:pPr>
              <w:spacing w:after="0"/>
              <w:rPr>
                <w:sz w:val="17"/>
                <w:szCs w:val="17"/>
                <w:color w:val="auto"/>
              </w:rPr>
            </w:pPr>
          </w:p>
        </w:tc>
        <w:tc>
          <w:tcPr>
            <w:tcW w:w="3680" w:type="dxa"/>
            <w:vAlign w:val="bottom"/>
          </w:tcPr>
          <w:p>
            <w:pPr>
              <w:jc w:val="center"/>
              <w:ind w:right="1002"/>
              <w:spacing w:after="0"/>
              <w:rPr>
                <w:sz w:val="20"/>
                <w:szCs w:val="20"/>
                <w:color w:val="auto"/>
              </w:rPr>
            </w:pPr>
            <w:r>
              <w:rPr>
                <w:rFonts w:ascii="Arial" w:cs="Arial" w:eastAsia="Arial" w:hAnsi="Arial"/>
                <w:sz w:val="16"/>
                <w:szCs w:val="16"/>
                <w:color w:val="auto"/>
                <w:w w:val="92"/>
              </w:rPr>
              <w:t>Director</w:t>
            </w:r>
          </w:p>
        </w:tc>
      </w:tr>
      <w:tr>
        <w:trPr>
          <w:trHeight w:val="718"/>
        </w:trPr>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/s/</w:t>
            </w:r>
          </w:p>
        </w:tc>
        <w:tc>
          <w:tcPr>
            <w:tcW w:w="3680" w:type="dxa"/>
            <w:vAlign w:val="bottom"/>
            <w:tcBorders>
              <w:bottom w:val="single" w:sz="8" w:color="auto"/>
            </w:tcBorders>
          </w:tcPr>
          <w:p>
            <w:pPr>
              <w:jc w:val="center"/>
              <w:ind w:right="2542"/>
              <w:spacing w:after="0"/>
              <w:rPr>
                <w:sz w:val="20"/>
                <w:szCs w:val="20"/>
                <w:color w:val="auto"/>
              </w:rPr>
            </w:pPr>
            <w:r>
              <w:rPr>
                <w:rFonts w:ascii="Arial" w:cs="Arial" w:eastAsia="Arial" w:hAnsi="Arial"/>
                <w:sz w:val="16"/>
                <w:szCs w:val="16"/>
                <w:color w:val="auto"/>
                <w:w w:val="88"/>
              </w:rPr>
              <w:t>Lubna S. Olayan</w:t>
            </w:r>
          </w:p>
        </w:tc>
      </w:tr>
      <w:tr>
        <w:trPr>
          <w:trHeight w:val="181"/>
        </w:trPr>
        <w:tc>
          <w:tcPr>
            <w:tcW w:w="1120" w:type="dxa"/>
            <w:vAlign w:val="bottom"/>
          </w:tcPr>
          <w:p>
            <w:pPr>
              <w:spacing w:after="0"/>
              <w:rPr>
                <w:sz w:val="15"/>
                <w:szCs w:val="15"/>
                <w:color w:val="auto"/>
              </w:rPr>
            </w:pPr>
          </w:p>
        </w:tc>
        <w:tc>
          <w:tcPr>
            <w:tcW w:w="3680" w:type="dxa"/>
            <w:vAlign w:val="bottom"/>
          </w:tcPr>
          <w:p>
            <w:pPr>
              <w:jc w:val="center"/>
              <w:ind w:right="1022"/>
              <w:spacing w:after="0" w:line="181" w:lineRule="exact"/>
              <w:rPr>
                <w:sz w:val="20"/>
                <w:szCs w:val="20"/>
                <w:color w:val="auto"/>
              </w:rPr>
            </w:pPr>
            <w:r>
              <w:rPr>
                <w:rFonts w:ascii="Arial" w:cs="Arial" w:eastAsia="Arial" w:hAnsi="Arial"/>
                <w:sz w:val="16"/>
                <w:szCs w:val="16"/>
                <w:color w:val="auto"/>
                <w:w w:val="88"/>
              </w:rPr>
              <w:t>Lubna S. Olayan</w:t>
            </w:r>
          </w:p>
        </w:tc>
      </w:tr>
      <w:tr>
        <w:trPr>
          <w:trHeight w:val="199"/>
        </w:trPr>
        <w:tc>
          <w:tcPr>
            <w:tcW w:w="1120" w:type="dxa"/>
            <w:vAlign w:val="bottom"/>
          </w:tcPr>
          <w:p>
            <w:pPr>
              <w:spacing w:after="0"/>
              <w:rPr>
                <w:sz w:val="17"/>
                <w:szCs w:val="17"/>
                <w:color w:val="auto"/>
              </w:rPr>
            </w:pPr>
          </w:p>
        </w:tc>
        <w:tc>
          <w:tcPr>
            <w:tcW w:w="3680" w:type="dxa"/>
            <w:vAlign w:val="bottom"/>
          </w:tcPr>
          <w:p>
            <w:pPr>
              <w:jc w:val="center"/>
              <w:ind w:right="1002"/>
              <w:spacing w:after="0"/>
              <w:rPr>
                <w:sz w:val="20"/>
                <w:szCs w:val="20"/>
                <w:color w:val="auto"/>
              </w:rPr>
            </w:pPr>
            <w:r>
              <w:rPr>
                <w:rFonts w:ascii="Arial" w:cs="Arial" w:eastAsia="Arial" w:hAnsi="Arial"/>
                <w:sz w:val="16"/>
                <w:szCs w:val="16"/>
                <w:color w:val="auto"/>
                <w:w w:val="92"/>
              </w:rPr>
              <w:t>Director</w:t>
            </w:r>
          </w:p>
        </w:tc>
      </w:tr>
      <w:tr>
        <w:trPr>
          <w:trHeight w:val="718"/>
        </w:trPr>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w w:val="94"/>
              </w:rPr>
              <w:t>/s/</w:t>
            </w:r>
          </w:p>
        </w:tc>
        <w:tc>
          <w:tcPr>
            <w:tcW w:w="3680" w:type="dxa"/>
            <w:vAlign w:val="bottom"/>
            <w:tcBorders>
              <w:bottom w:val="single" w:sz="8" w:color="auto"/>
            </w:tcBorders>
          </w:tcPr>
          <w:p>
            <w:pPr>
              <w:jc w:val="center"/>
              <w:ind w:right="2522"/>
              <w:spacing w:after="0"/>
              <w:rPr>
                <w:sz w:val="20"/>
                <w:szCs w:val="20"/>
                <w:color w:val="auto"/>
              </w:rPr>
            </w:pPr>
            <w:r>
              <w:rPr>
                <w:rFonts w:ascii="Arial" w:cs="Arial" w:eastAsia="Arial" w:hAnsi="Arial"/>
                <w:sz w:val="16"/>
                <w:szCs w:val="16"/>
                <w:color w:val="auto"/>
                <w:w w:val="90"/>
              </w:rPr>
              <w:t>Leo Rafael Reif</w:t>
            </w:r>
          </w:p>
        </w:tc>
      </w:tr>
      <w:tr>
        <w:trPr>
          <w:trHeight w:val="181"/>
        </w:trPr>
        <w:tc>
          <w:tcPr>
            <w:tcW w:w="1120" w:type="dxa"/>
            <w:vAlign w:val="bottom"/>
          </w:tcPr>
          <w:p>
            <w:pPr>
              <w:spacing w:after="0"/>
              <w:rPr>
                <w:sz w:val="15"/>
                <w:szCs w:val="15"/>
                <w:color w:val="auto"/>
              </w:rPr>
            </w:pPr>
          </w:p>
        </w:tc>
        <w:tc>
          <w:tcPr>
            <w:tcW w:w="3680" w:type="dxa"/>
            <w:vAlign w:val="bottom"/>
          </w:tcPr>
          <w:p>
            <w:pPr>
              <w:jc w:val="center"/>
              <w:ind w:right="1022"/>
              <w:spacing w:after="0" w:line="181" w:lineRule="exact"/>
              <w:rPr>
                <w:sz w:val="20"/>
                <w:szCs w:val="20"/>
                <w:color w:val="auto"/>
              </w:rPr>
            </w:pPr>
            <w:r>
              <w:rPr>
                <w:rFonts w:ascii="Arial" w:cs="Arial" w:eastAsia="Arial" w:hAnsi="Arial"/>
                <w:sz w:val="16"/>
                <w:szCs w:val="16"/>
                <w:color w:val="auto"/>
                <w:w w:val="88"/>
              </w:rPr>
              <w:t>Leo Rafael Reif</w:t>
            </w:r>
          </w:p>
        </w:tc>
      </w:tr>
      <w:tr>
        <w:trPr>
          <w:trHeight w:val="199"/>
        </w:trPr>
        <w:tc>
          <w:tcPr>
            <w:tcW w:w="1120" w:type="dxa"/>
            <w:vAlign w:val="bottom"/>
          </w:tcPr>
          <w:p>
            <w:pPr>
              <w:spacing w:after="0"/>
              <w:rPr>
                <w:sz w:val="17"/>
                <w:szCs w:val="17"/>
                <w:color w:val="auto"/>
              </w:rPr>
            </w:pPr>
          </w:p>
        </w:tc>
        <w:tc>
          <w:tcPr>
            <w:tcW w:w="3680" w:type="dxa"/>
            <w:vAlign w:val="bottom"/>
          </w:tcPr>
          <w:p>
            <w:pPr>
              <w:jc w:val="center"/>
              <w:ind w:right="1002"/>
              <w:spacing w:after="0"/>
              <w:rPr>
                <w:sz w:val="20"/>
                <w:szCs w:val="20"/>
                <w:color w:val="auto"/>
              </w:rPr>
            </w:pPr>
            <w:r>
              <w:rPr>
                <w:rFonts w:ascii="Arial" w:cs="Arial" w:eastAsia="Arial" w:hAnsi="Arial"/>
                <w:sz w:val="16"/>
                <w:szCs w:val="16"/>
                <w:color w:val="auto"/>
                <w:w w:val="92"/>
              </w:rPr>
              <w:t>Director</w:t>
            </w:r>
          </w:p>
        </w:tc>
      </w:tr>
      <w:tr>
        <w:trPr>
          <w:trHeight w:val="757"/>
        </w:trPr>
        <w:tc>
          <w:tcPr>
            <w:tcW w:w="11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w w:val="70"/>
              </w:rPr>
              <w:t>/s/</w:t>
            </w:r>
          </w:p>
        </w:tc>
        <w:tc>
          <w:tcPr>
            <w:tcW w:w="3680" w:type="dxa"/>
            <w:vAlign w:val="bottom"/>
            <w:tcBorders>
              <w:bottom w:val="single" w:sz="8" w:color="auto"/>
            </w:tcBorders>
          </w:tcPr>
          <w:p>
            <w:pPr>
              <w:jc w:val="center"/>
              <w:ind w:right="2542"/>
              <w:spacing w:after="0"/>
              <w:rPr>
                <w:sz w:val="20"/>
                <w:szCs w:val="20"/>
                <w:color w:val="auto"/>
              </w:rPr>
            </w:pPr>
            <w:r>
              <w:rPr>
                <w:rFonts w:ascii="Arial" w:cs="Arial" w:eastAsia="Arial" w:hAnsi="Arial"/>
                <w:sz w:val="16"/>
                <w:szCs w:val="16"/>
                <w:color w:val="auto"/>
                <w:w w:val="86"/>
              </w:rPr>
              <w:t>Tore Sandvold</w:t>
            </w:r>
          </w:p>
        </w:tc>
      </w:tr>
      <w:tr>
        <w:trPr>
          <w:trHeight w:val="181"/>
        </w:trPr>
        <w:tc>
          <w:tcPr>
            <w:tcW w:w="1120" w:type="dxa"/>
            <w:vAlign w:val="bottom"/>
          </w:tcPr>
          <w:p>
            <w:pPr>
              <w:spacing w:after="0"/>
              <w:rPr>
                <w:sz w:val="15"/>
                <w:szCs w:val="15"/>
                <w:color w:val="auto"/>
              </w:rPr>
            </w:pPr>
          </w:p>
        </w:tc>
        <w:tc>
          <w:tcPr>
            <w:tcW w:w="3680" w:type="dxa"/>
            <w:vAlign w:val="bottom"/>
          </w:tcPr>
          <w:p>
            <w:pPr>
              <w:jc w:val="center"/>
              <w:ind w:right="1022"/>
              <w:spacing w:after="0" w:line="181" w:lineRule="exact"/>
              <w:rPr>
                <w:sz w:val="20"/>
                <w:szCs w:val="20"/>
                <w:color w:val="auto"/>
              </w:rPr>
            </w:pPr>
            <w:r>
              <w:rPr>
                <w:rFonts w:ascii="Arial" w:cs="Arial" w:eastAsia="Arial" w:hAnsi="Arial"/>
                <w:sz w:val="16"/>
                <w:szCs w:val="16"/>
                <w:color w:val="auto"/>
                <w:w w:val="86"/>
              </w:rPr>
              <w:t>Tore Sandvold</w:t>
            </w:r>
          </w:p>
        </w:tc>
      </w:tr>
      <w:tr>
        <w:trPr>
          <w:trHeight w:val="199"/>
        </w:trPr>
        <w:tc>
          <w:tcPr>
            <w:tcW w:w="1120" w:type="dxa"/>
            <w:vAlign w:val="bottom"/>
          </w:tcPr>
          <w:p>
            <w:pPr>
              <w:spacing w:after="0"/>
              <w:rPr>
                <w:sz w:val="17"/>
                <w:szCs w:val="17"/>
                <w:color w:val="auto"/>
              </w:rPr>
            </w:pPr>
          </w:p>
        </w:tc>
        <w:tc>
          <w:tcPr>
            <w:tcW w:w="3680" w:type="dxa"/>
            <w:vAlign w:val="bottom"/>
          </w:tcPr>
          <w:p>
            <w:pPr>
              <w:jc w:val="center"/>
              <w:ind w:right="1002"/>
              <w:spacing w:after="0"/>
              <w:rPr>
                <w:sz w:val="20"/>
                <w:szCs w:val="20"/>
                <w:color w:val="auto"/>
              </w:rPr>
            </w:pPr>
            <w:r>
              <w:rPr>
                <w:rFonts w:ascii="Arial" w:cs="Arial" w:eastAsia="Arial" w:hAnsi="Arial"/>
                <w:sz w:val="16"/>
                <w:szCs w:val="16"/>
                <w:color w:val="auto"/>
                <w:w w:val="92"/>
              </w:rPr>
              <w:t>Director</w:t>
            </w:r>
          </w:p>
        </w:tc>
      </w:tr>
      <w:tr>
        <w:trPr>
          <w:trHeight w:val="718"/>
        </w:trPr>
        <w:tc>
          <w:tcPr>
            <w:tcW w:w="11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w w:val="70"/>
              </w:rPr>
              <w:t>/s/</w:t>
            </w:r>
          </w:p>
        </w:tc>
        <w:tc>
          <w:tcPr>
            <w:tcW w:w="3680" w:type="dxa"/>
            <w:vAlign w:val="bottom"/>
            <w:tcBorders>
              <w:bottom w:val="single" w:sz="8" w:color="auto"/>
            </w:tcBorders>
          </w:tcPr>
          <w:p>
            <w:pPr>
              <w:jc w:val="center"/>
              <w:ind w:right="2502"/>
              <w:spacing w:after="0"/>
              <w:rPr>
                <w:sz w:val="20"/>
                <w:szCs w:val="20"/>
                <w:color w:val="auto"/>
              </w:rPr>
            </w:pPr>
            <w:r>
              <w:rPr>
                <w:rFonts w:ascii="Arial" w:cs="Arial" w:eastAsia="Arial" w:hAnsi="Arial"/>
                <w:sz w:val="16"/>
                <w:szCs w:val="16"/>
                <w:color w:val="auto"/>
                <w:w w:val="89"/>
              </w:rPr>
              <w:t>Henri Seydoux</w:t>
            </w:r>
          </w:p>
        </w:tc>
      </w:tr>
      <w:tr>
        <w:trPr>
          <w:trHeight w:val="181"/>
        </w:trPr>
        <w:tc>
          <w:tcPr>
            <w:tcW w:w="1120" w:type="dxa"/>
            <w:vAlign w:val="bottom"/>
          </w:tcPr>
          <w:p>
            <w:pPr>
              <w:spacing w:after="0"/>
              <w:rPr>
                <w:sz w:val="15"/>
                <w:szCs w:val="15"/>
                <w:color w:val="auto"/>
              </w:rPr>
            </w:pPr>
          </w:p>
        </w:tc>
        <w:tc>
          <w:tcPr>
            <w:tcW w:w="3680" w:type="dxa"/>
            <w:vAlign w:val="bottom"/>
          </w:tcPr>
          <w:p>
            <w:pPr>
              <w:jc w:val="center"/>
              <w:ind w:right="1022"/>
              <w:spacing w:after="0" w:line="181" w:lineRule="exact"/>
              <w:rPr>
                <w:sz w:val="20"/>
                <w:szCs w:val="20"/>
                <w:color w:val="auto"/>
              </w:rPr>
            </w:pPr>
            <w:r>
              <w:rPr>
                <w:rFonts w:ascii="Arial" w:cs="Arial" w:eastAsia="Arial" w:hAnsi="Arial"/>
                <w:sz w:val="16"/>
                <w:szCs w:val="16"/>
                <w:color w:val="auto"/>
                <w:w w:val="89"/>
              </w:rPr>
              <w:t>Henri Seydoux</w:t>
            </w:r>
          </w:p>
        </w:tc>
      </w:tr>
      <w:tr>
        <w:trPr>
          <w:trHeight w:val="199"/>
        </w:trPr>
        <w:tc>
          <w:tcPr>
            <w:tcW w:w="1120" w:type="dxa"/>
            <w:vAlign w:val="bottom"/>
          </w:tcPr>
          <w:p>
            <w:pPr>
              <w:spacing w:after="0"/>
              <w:rPr>
                <w:sz w:val="17"/>
                <w:szCs w:val="17"/>
                <w:color w:val="auto"/>
              </w:rPr>
            </w:pPr>
          </w:p>
        </w:tc>
        <w:tc>
          <w:tcPr>
            <w:tcW w:w="3680" w:type="dxa"/>
            <w:vAlign w:val="bottom"/>
          </w:tcPr>
          <w:p>
            <w:pPr>
              <w:jc w:val="center"/>
              <w:ind w:right="1002"/>
              <w:spacing w:after="0"/>
              <w:rPr>
                <w:sz w:val="20"/>
                <w:szCs w:val="20"/>
                <w:color w:val="auto"/>
              </w:rPr>
            </w:pPr>
            <w:r>
              <w:rPr>
                <w:rFonts w:ascii="Arial" w:cs="Arial" w:eastAsia="Arial" w:hAnsi="Arial"/>
                <w:sz w:val="16"/>
                <w:szCs w:val="16"/>
                <w:color w:val="auto"/>
                <w:w w:val="92"/>
              </w:rPr>
              <w:t>Director</w:t>
            </w:r>
          </w:p>
        </w:tc>
      </w:tr>
      <w:tr>
        <w:trPr>
          <w:trHeight w:val="718"/>
        </w:trPr>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w w:val="94"/>
              </w:rPr>
              <w:t>/s/</w:t>
            </w:r>
          </w:p>
        </w:tc>
        <w:tc>
          <w:tcPr>
            <w:tcW w:w="3680" w:type="dxa"/>
            <w:vAlign w:val="bottom"/>
            <w:tcBorders>
              <w:bottom w:val="single" w:sz="8" w:color="auto"/>
            </w:tcBorders>
          </w:tcPr>
          <w:p>
            <w:pPr>
              <w:jc w:val="center"/>
              <w:ind w:right="2462"/>
              <w:spacing w:after="0"/>
              <w:rPr>
                <w:sz w:val="20"/>
                <w:szCs w:val="20"/>
                <w:color w:val="auto"/>
              </w:rPr>
            </w:pPr>
            <w:r>
              <w:rPr>
                <w:rFonts w:ascii="Arial" w:cs="Arial" w:eastAsia="Arial" w:hAnsi="Arial"/>
                <w:sz w:val="16"/>
                <w:szCs w:val="16"/>
                <w:color w:val="auto"/>
                <w:w w:val="93"/>
              </w:rPr>
              <w:t>Miguel Galuccio</w:t>
            </w:r>
          </w:p>
        </w:tc>
      </w:tr>
      <w:tr>
        <w:trPr>
          <w:trHeight w:val="259"/>
        </w:trPr>
        <w:tc>
          <w:tcPr>
            <w:tcW w:w="1120" w:type="dxa"/>
            <w:vAlign w:val="bottom"/>
          </w:tcPr>
          <w:p>
            <w:pPr>
              <w:spacing w:after="0"/>
              <w:rPr>
                <w:sz w:val="22"/>
                <w:szCs w:val="22"/>
                <w:color w:val="auto"/>
              </w:rPr>
            </w:pPr>
          </w:p>
        </w:tc>
        <w:tc>
          <w:tcPr>
            <w:tcW w:w="3680" w:type="dxa"/>
            <w:vAlign w:val="bottom"/>
          </w:tcPr>
          <w:p>
            <w:pPr>
              <w:jc w:val="center"/>
              <w:ind w:right="1022"/>
              <w:spacing w:after="0"/>
              <w:rPr>
                <w:sz w:val="20"/>
                <w:szCs w:val="20"/>
                <w:color w:val="auto"/>
              </w:rPr>
            </w:pPr>
            <w:r>
              <w:rPr>
                <w:rFonts w:ascii="Arial" w:cs="Arial" w:eastAsia="Arial" w:hAnsi="Arial"/>
                <w:sz w:val="16"/>
                <w:szCs w:val="16"/>
                <w:color w:val="auto"/>
                <w:w w:val="93"/>
              </w:rPr>
              <w:t>Miguel Galuccio</w:t>
            </w:r>
          </w:p>
        </w:tc>
      </w:tr>
      <w:tr>
        <w:trPr>
          <w:trHeight w:val="199"/>
        </w:trPr>
        <w:tc>
          <w:tcPr>
            <w:tcW w:w="1120" w:type="dxa"/>
            <w:vAlign w:val="bottom"/>
          </w:tcPr>
          <w:p>
            <w:pPr>
              <w:spacing w:after="0"/>
              <w:rPr>
                <w:sz w:val="17"/>
                <w:szCs w:val="17"/>
                <w:color w:val="auto"/>
              </w:rPr>
            </w:pPr>
          </w:p>
        </w:tc>
        <w:tc>
          <w:tcPr>
            <w:tcW w:w="3680" w:type="dxa"/>
            <w:vAlign w:val="bottom"/>
          </w:tcPr>
          <w:p>
            <w:pPr>
              <w:jc w:val="center"/>
              <w:ind w:right="1002"/>
              <w:spacing w:after="0"/>
              <w:rPr>
                <w:sz w:val="20"/>
                <w:szCs w:val="20"/>
                <w:color w:val="auto"/>
              </w:rPr>
            </w:pPr>
            <w:r>
              <w:rPr>
                <w:rFonts w:ascii="Arial" w:cs="Arial" w:eastAsia="Arial" w:hAnsi="Arial"/>
                <w:sz w:val="16"/>
                <w:szCs w:val="16"/>
                <w:color w:val="auto"/>
                <w:w w:val="92"/>
              </w:rPr>
              <w:t>Director</w:t>
            </w:r>
          </w:p>
        </w:tc>
      </w:tr>
    </w:tbl>
    <w:p>
      <w:pPr>
        <w:spacing w:after="0" w:line="200" w:lineRule="exact"/>
        <w:rPr>
          <w:sz w:val="20"/>
          <w:szCs w:val="20"/>
          <w:color w:val="auto"/>
        </w:rPr>
      </w:pPr>
    </w:p>
    <w:p>
      <w:pPr>
        <w:sectPr>
          <w:pgSz w:w="11900" w:h="16838" w:orient="portrait"/>
          <w:cols w:equalWidth="0" w:num="2">
            <w:col w:w="6000" w:space="720"/>
            <w:col w:w="4800"/>
          </w:cols>
          <w:pgMar w:left="240" w:top="121" w:right="1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Date: January 17, 2018</w:t>
      </w:r>
    </w:p>
    <w:p>
      <w:pPr>
        <w:sectPr>
          <w:pgSz w:w="11900" w:h="16838" w:orient="portrait"/>
          <w:cols w:equalWidth="0" w:num="1">
            <w:col w:w="11520"/>
          </w:cols>
          <w:pgMar w:left="240" w:top="121" w:right="13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7"/>
          <w:szCs w:val="17"/>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 OF CHIEF EXECUTIVE OFFICER</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Paal Kibsgaard, certify that:</w:t>
      </w:r>
    </w:p>
    <w:p>
      <w:pPr>
        <w:spacing w:after="0" w:line="116" w:lineRule="exact"/>
        <w:rPr>
          <w:sz w:val="20"/>
          <w:szCs w:val="20"/>
          <w:color w:val="auto"/>
        </w:rPr>
      </w:pPr>
    </w:p>
    <w:p>
      <w:pPr>
        <w:ind w:left="560" w:hanging="176"/>
        <w:spacing w:after="0"/>
        <w:tabs>
          <w:tab w:leader="none" w:pos="5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Schlumberger Limited;</w:t>
      </w:r>
    </w:p>
    <w:p>
      <w:pPr>
        <w:spacing w:after="0" w:line="116" w:lineRule="exact"/>
        <w:rPr>
          <w:rFonts w:ascii="Arial" w:cs="Arial" w:eastAsia="Arial" w:hAnsi="Arial"/>
          <w:sz w:val="17"/>
          <w:szCs w:val="17"/>
          <w:color w:val="auto"/>
        </w:rPr>
      </w:pPr>
    </w:p>
    <w:p>
      <w:pPr>
        <w:ind w:firstLine="384"/>
        <w:spacing w:after="0" w:line="318" w:lineRule="auto"/>
        <w:tabs>
          <w:tab w:leader="none" w:pos="55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6"/>
          <w:szCs w:val="16"/>
          <w:color w:val="auto"/>
        </w:rPr>
      </w:pPr>
    </w:p>
    <w:p>
      <w:pPr>
        <w:ind w:firstLine="384"/>
        <w:spacing w:after="0" w:line="285" w:lineRule="auto"/>
        <w:tabs>
          <w:tab w:leader="none" w:pos="55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7"/>
          <w:szCs w:val="17"/>
          <w:color w:val="auto"/>
        </w:rPr>
      </w:pPr>
    </w:p>
    <w:p>
      <w:pPr>
        <w:jc w:val="both"/>
        <w:ind w:firstLine="384"/>
        <w:spacing w:after="0" w:line="270" w:lineRule="auto"/>
        <w:tabs>
          <w:tab w:leader="none" w:pos="56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jc w:val="both"/>
        <w:ind w:left="1100" w:hanging="498"/>
        <w:spacing w:after="0" w:line="270" w:lineRule="auto"/>
        <w:tabs>
          <w:tab w:leader="none" w:pos="11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jc w:val="both"/>
        <w:ind w:left="1100" w:hanging="498"/>
        <w:spacing w:after="0" w:line="270" w:lineRule="auto"/>
        <w:tabs>
          <w:tab w:leader="none" w:pos="11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ind w:left="1100" w:hanging="498"/>
        <w:spacing w:after="0" w:line="285" w:lineRule="auto"/>
        <w:tabs>
          <w:tab w:leader="none" w:pos="11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jc w:val="both"/>
        <w:ind w:left="1100" w:hanging="498"/>
        <w:spacing w:after="0" w:line="270" w:lineRule="auto"/>
        <w:tabs>
          <w:tab w:leader="none" w:pos="11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firstLine="384"/>
        <w:spacing w:after="0" w:line="285" w:lineRule="auto"/>
        <w:tabs>
          <w:tab w:leader="none" w:pos="58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7"/>
          <w:szCs w:val="17"/>
          <w:color w:val="auto"/>
        </w:rPr>
      </w:pPr>
    </w:p>
    <w:p>
      <w:pPr>
        <w:ind w:left="1100" w:hanging="498"/>
        <w:spacing w:after="0" w:line="285" w:lineRule="auto"/>
        <w:tabs>
          <w:tab w:leader="none" w:pos="11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7"/>
          <w:szCs w:val="17"/>
          <w:color w:val="auto"/>
        </w:rPr>
      </w:pPr>
    </w:p>
    <w:p>
      <w:pPr>
        <w:ind w:left="1100" w:hanging="498"/>
        <w:spacing w:after="0" w:line="285" w:lineRule="auto"/>
        <w:tabs>
          <w:tab w:leader="none" w:pos="11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40" w:type="dxa"/>
            <w:vAlign w:val="bottom"/>
          </w:tcPr>
          <w:p>
            <w:pPr>
              <w:spacing w:after="0"/>
              <w:rPr>
                <w:sz w:val="20"/>
                <w:szCs w:val="20"/>
                <w:color w:val="auto"/>
              </w:rPr>
            </w:pPr>
            <w:r>
              <w:rPr>
                <w:rFonts w:ascii="Arial" w:cs="Arial" w:eastAsia="Arial" w:hAnsi="Arial"/>
                <w:sz w:val="17"/>
                <w:szCs w:val="17"/>
                <w:color w:val="auto"/>
              </w:rPr>
              <w:t>Date: January 24, 2018</w:t>
            </w:r>
          </w:p>
        </w:tc>
        <w:tc>
          <w:tcPr>
            <w:tcW w:w="7180" w:type="dxa"/>
            <w:vAlign w:val="bottom"/>
            <w:gridSpan w:val="2"/>
          </w:tcPr>
          <w:p>
            <w:pPr>
              <w:ind w:left="2620"/>
              <w:spacing w:after="0"/>
              <w:rPr>
                <w:sz w:val="20"/>
                <w:szCs w:val="20"/>
                <w:color w:val="auto"/>
              </w:rPr>
            </w:pPr>
            <w:r>
              <w:rPr>
                <w:rFonts w:ascii="Arial" w:cs="Arial" w:eastAsia="Arial" w:hAnsi="Arial"/>
                <w:sz w:val="17"/>
                <w:szCs w:val="17"/>
                <w:color w:val="auto"/>
              </w:rPr>
              <w:t>/s/ Paal Kibsgaard</w:t>
            </w:r>
          </w:p>
        </w:tc>
      </w:tr>
      <w:tr>
        <w:trPr>
          <w:trHeight w:val="188"/>
        </w:trPr>
        <w:tc>
          <w:tcPr>
            <w:tcW w:w="42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560" w:type="dxa"/>
            <w:vAlign w:val="bottom"/>
            <w:tcBorders>
              <w:top w:val="single" w:sz="8" w:color="auto"/>
            </w:tcBorders>
          </w:tcPr>
          <w:p>
            <w:pPr>
              <w:ind w:left="40"/>
              <w:spacing w:after="0" w:line="189" w:lineRule="exact"/>
              <w:rPr>
                <w:sz w:val="20"/>
                <w:szCs w:val="20"/>
                <w:color w:val="auto"/>
              </w:rPr>
            </w:pPr>
            <w:r>
              <w:rPr>
                <w:rFonts w:ascii="Arial" w:cs="Arial" w:eastAsia="Arial" w:hAnsi="Arial"/>
                <w:sz w:val="17"/>
                <w:szCs w:val="17"/>
                <w:color w:val="auto"/>
              </w:rPr>
              <w:t>Paal Kibsgaard</w:t>
            </w:r>
          </w:p>
        </w:tc>
      </w:tr>
      <w:tr>
        <w:trPr>
          <w:trHeight w:val="220"/>
        </w:trPr>
        <w:tc>
          <w:tcPr>
            <w:tcW w:w="4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 OF CHIEF FINANCIAL OFFICER</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Simon Ayat, certify that:</w:t>
      </w:r>
    </w:p>
    <w:p>
      <w:pPr>
        <w:spacing w:after="0" w:line="116" w:lineRule="exact"/>
        <w:rPr>
          <w:sz w:val="20"/>
          <w:szCs w:val="20"/>
          <w:color w:val="auto"/>
        </w:rPr>
      </w:pPr>
    </w:p>
    <w:p>
      <w:pPr>
        <w:ind w:left="560" w:hanging="176"/>
        <w:spacing w:after="0"/>
        <w:tabs>
          <w:tab w:leader="none" w:pos="5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Schlumberger Limited;</w:t>
      </w:r>
    </w:p>
    <w:p>
      <w:pPr>
        <w:spacing w:after="0" w:line="116" w:lineRule="exact"/>
        <w:rPr>
          <w:rFonts w:ascii="Arial" w:cs="Arial" w:eastAsia="Arial" w:hAnsi="Arial"/>
          <w:sz w:val="17"/>
          <w:szCs w:val="17"/>
          <w:color w:val="auto"/>
        </w:rPr>
      </w:pPr>
    </w:p>
    <w:p>
      <w:pPr>
        <w:ind w:firstLine="384"/>
        <w:spacing w:after="0" w:line="318" w:lineRule="auto"/>
        <w:tabs>
          <w:tab w:leader="none" w:pos="55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6"/>
          <w:szCs w:val="16"/>
          <w:color w:val="auto"/>
        </w:rPr>
      </w:pPr>
    </w:p>
    <w:p>
      <w:pPr>
        <w:ind w:firstLine="384"/>
        <w:spacing w:after="0" w:line="285" w:lineRule="auto"/>
        <w:tabs>
          <w:tab w:leader="none" w:pos="55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7"/>
          <w:szCs w:val="17"/>
          <w:color w:val="auto"/>
        </w:rPr>
      </w:pPr>
    </w:p>
    <w:p>
      <w:pPr>
        <w:jc w:val="both"/>
        <w:ind w:firstLine="384"/>
        <w:spacing w:after="0" w:line="270" w:lineRule="auto"/>
        <w:tabs>
          <w:tab w:leader="none" w:pos="56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jc w:val="both"/>
        <w:ind w:left="1100" w:hanging="498"/>
        <w:spacing w:after="0" w:line="270" w:lineRule="auto"/>
        <w:tabs>
          <w:tab w:leader="none" w:pos="11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jc w:val="both"/>
        <w:ind w:left="1100" w:hanging="498"/>
        <w:spacing w:after="0" w:line="270" w:lineRule="auto"/>
        <w:tabs>
          <w:tab w:leader="none" w:pos="11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ind w:left="1100" w:hanging="498"/>
        <w:spacing w:after="0" w:line="285" w:lineRule="auto"/>
        <w:tabs>
          <w:tab w:leader="none" w:pos="11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jc w:val="both"/>
        <w:ind w:left="1100" w:hanging="498"/>
        <w:spacing w:after="0" w:line="270" w:lineRule="auto"/>
        <w:tabs>
          <w:tab w:leader="none" w:pos="11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firstLine="384"/>
        <w:spacing w:after="0" w:line="285" w:lineRule="auto"/>
        <w:tabs>
          <w:tab w:leader="none" w:pos="58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7"/>
          <w:szCs w:val="17"/>
          <w:color w:val="auto"/>
        </w:rPr>
      </w:pPr>
    </w:p>
    <w:p>
      <w:pPr>
        <w:ind w:left="1100" w:hanging="498"/>
        <w:spacing w:after="0" w:line="285" w:lineRule="auto"/>
        <w:tabs>
          <w:tab w:leader="none" w:pos="11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7"/>
          <w:szCs w:val="17"/>
          <w:color w:val="auto"/>
        </w:rPr>
      </w:pPr>
    </w:p>
    <w:p>
      <w:pPr>
        <w:ind w:left="1100" w:hanging="498"/>
        <w:spacing w:after="0" w:line="285" w:lineRule="auto"/>
        <w:tabs>
          <w:tab w:leader="none" w:pos="11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spacing w:after="0"/>
              <w:rPr>
                <w:sz w:val="20"/>
                <w:szCs w:val="20"/>
                <w:color w:val="auto"/>
              </w:rPr>
            </w:pPr>
            <w:r>
              <w:rPr>
                <w:rFonts w:ascii="Arial" w:cs="Arial" w:eastAsia="Arial" w:hAnsi="Arial"/>
                <w:sz w:val="17"/>
                <w:szCs w:val="17"/>
                <w:color w:val="auto"/>
              </w:rPr>
              <w:t>Date: January 24,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Simon Ayat</w:t>
            </w:r>
          </w:p>
        </w:tc>
      </w:tr>
      <w:tr>
        <w:trPr>
          <w:trHeight w:val="188"/>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7"/>
                <w:szCs w:val="17"/>
                <w:color w:val="auto"/>
              </w:rPr>
              <w:t>Simon Ayat</w:t>
            </w:r>
          </w:p>
        </w:tc>
      </w:tr>
      <w:tr>
        <w:trPr>
          <w:trHeight w:val="220"/>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Executive Vice President and Chief Financial Officer</w:t>
            </w:r>
          </w:p>
        </w:tc>
      </w:tr>
    </w:tbl>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b w:val="1"/>
          <w:bCs w:val="1"/>
          <w:u w:val="single" w:color="auto"/>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Annual Report on Form 10-K of Schlumberger N.V. (Schlumberger Limited) (the “Company”) for the year ended December 31, 2017 as filed with the Securities and Exchange Commission on the date hereof (the “Report”), I, Paal Kibsgaard, Chief Executive Officer of the Company, certify, pursuant to 18 U.S.C. § 1350, as adopted pursuant to § 906 of the Sarbanes-Oxley Act of 2002, that:</w:t>
      </w:r>
    </w:p>
    <w:p>
      <w:pPr>
        <w:spacing w:after="0" w:line="68" w:lineRule="exact"/>
        <w:rPr>
          <w:sz w:val="20"/>
          <w:szCs w:val="20"/>
          <w:color w:val="auto"/>
        </w:rPr>
      </w:pPr>
    </w:p>
    <w:p>
      <w:pPr>
        <w:ind w:left="1020" w:hanging="509"/>
        <w:spacing w:after="0" w:line="285" w:lineRule="auto"/>
        <w:tabs>
          <w:tab w:leader="none" w:pos="10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(the “Exchange Act”), and</w:t>
      </w:r>
    </w:p>
    <w:p>
      <w:pPr>
        <w:spacing w:after="0" w:line="55" w:lineRule="exact"/>
        <w:rPr>
          <w:rFonts w:ascii="Arial" w:cs="Arial" w:eastAsia="Arial" w:hAnsi="Arial"/>
          <w:sz w:val="17"/>
          <w:szCs w:val="17"/>
          <w:color w:val="auto"/>
        </w:rPr>
      </w:pPr>
    </w:p>
    <w:p>
      <w:pPr>
        <w:ind w:left="1020" w:hanging="509"/>
        <w:spacing w:after="0"/>
        <w:tabs>
          <w:tab w:leader="none" w:pos="10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40" w:type="dxa"/>
            <w:vAlign w:val="bottom"/>
          </w:tcPr>
          <w:p>
            <w:pPr>
              <w:spacing w:after="0"/>
              <w:rPr>
                <w:sz w:val="20"/>
                <w:szCs w:val="20"/>
                <w:color w:val="auto"/>
              </w:rPr>
            </w:pPr>
            <w:r>
              <w:rPr>
                <w:rFonts w:ascii="Arial" w:cs="Arial" w:eastAsia="Arial" w:hAnsi="Arial"/>
                <w:sz w:val="17"/>
                <w:szCs w:val="17"/>
                <w:color w:val="auto"/>
              </w:rPr>
              <w:t>Date: January 24, 2018</w:t>
            </w:r>
          </w:p>
        </w:tc>
        <w:tc>
          <w:tcPr>
            <w:tcW w:w="7180" w:type="dxa"/>
            <w:vAlign w:val="bottom"/>
            <w:gridSpan w:val="2"/>
          </w:tcPr>
          <w:p>
            <w:pPr>
              <w:ind w:left="2620"/>
              <w:spacing w:after="0"/>
              <w:rPr>
                <w:sz w:val="20"/>
                <w:szCs w:val="20"/>
                <w:color w:val="auto"/>
              </w:rPr>
            </w:pPr>
            <w:r>
              <w:rPr>
                <w:rFonts w:ascii="Arial" w:cs="Arial" w:eastAsia="Arial" w:hAnsi="Arial"/>
                <w:sz w:val="17"/>
                <w:szCs w:val="17"/>
                <w:color w:val="auto"/>
              </w:rPr>
              <w:t>/s/ Paal Kibsgaard</w:t>
            </w:r>
          </w:p>
        </w:tc>
      </w:tr>
      <w:tr>
        <w:trPr>
          <w:trHeight w:val="188"/>
        </w:trPr>
        <w:tc>
          <w:tcPr>
            <w:tcW w:w="42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560" w:type="dxa"/>
            <w:vAlign w:val="bottom"/>
            <w:tcBorders>
              <w:top w:val="single" w:sz="8" w:color="auto"/>
            </w:tcBorders>
          </w:tcPr>
          <w:p>
            <w:pPr>
              <w:ind w:left="40"/>
              <w:spacing w:after="0" w:line="189" w:lineRule="exact"/>
              <w:rPr>
                <w:sz w:val="20"/>
                <w:szCs w:val="20"/>
                <w:color w:val="auto"/>
              </w:rPr>
            </w:pPr>
            <w:r>
              <w:rPr>
                <w:rFonts w:ascii="Arial" w:cs="Arial" w:eastAsia="Arial" w:hAnsi="Arial"/>
                <w:sz w:val="17"/>
                <w:szCs w:val="17"/>
                <w:color w:val="auto"/>
              </w:rPr>
              <w:t>Paal Kibsgaard</w:t>
            </w:r>
          </w:p>
        </w:tc>
      </w:tr>
      <w:tr>
        <w:trPr>
          <w:trHeight w:val="220"/>
        </w:trPr>
        <w:tc>
          <w:tcPr>
            <w:tcW w:w="4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bl>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b w:val="1"/>
          <w:bCs w:val="1"/>
          <w:u w:val="single" w:color="auto"/>
          <w:color w:val="auto"/>
        </w:rPr>
        <w:t>Exhibit 32.2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Annual Report on Form 10-K of Schlumberger N.V. (Schlumberger Limited) (the “Company”) for the year ended December 31, 2017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68" w:lineRule="exact"/>
        <w:rPr>
          <w:sz w:val="20"/>
          <w:szCs w:val="20"/>
          <w:color w:val="auto"/>
        </w:rPr>
      </w:pPr>
    </w:p>
    <w:p>
      <w:pPr>
        <w:ind w:left="1020" w:hanging="509"/>
        <w:spacing w:after="0" w:line="285" w:lineRule="auto"/>
        <w:tabs>
          <w:tab w:leader="none" w:pos="10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(the “Exchange Act”), and</w:t>
      </w:r>
    </w:p>
    <w:p>
      <w:pPr>
        <w:spacing w:after="0" w:line="55" w:lineRule="exact"/>
        <w:rPr>
          <w:rFonts w:ascii="Arial" w:cs="Arial" w:eastAsia="Arial" w:hAnsi="Arial"/>
          <w:sz w:val="17"/>
          <w:szCs w:val="17"/>
          <w:color w:val="auto"/>
        </w:rPr>
      </w:pPr>
    </w:p>
    <w:p>
      <w:pPr>
        <w:ind w:left="1020" w:hanging="509"/>
        <w:spacing w:after="0"/>
        <w:tabs>
          <w:tab w:leader="none" w:pos="10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spacing w:after="0"/>
              <w:rPr>
                <w:sz w:val="20"/>
                <w:szCs w:val="20"/>
                <w:color w:val="auto"/>
              </w:rPr>
            </w:pPr>
            <w:r>
              <w:rPr>
                <w:rFonts w:ascii="Arial" w:cs="Arial" w:eastAsia="Arial" w:hAnsi="Arial"/>
                <w:sz w:val="17"/>
                <w:szCs w:val="17"/>
                <w:color w:val="auto"/>
              </w:rPr>
              <w:t>Date: January 24,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Simon Ayat</w:t>
            </w:r>
          </w:p>
        </w:tc>
      </w:tr>
      <w:tr>
        <w:trPr>
          <w:trHeight w:val="188"/>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7"/>
                <w:szCs w:val="17"/>
                <w:color w:val="auto"/>
              </w:rPr>
              <w:t>Simon Ayat</w:t>
            </w:r>
          </w:p>
        </w:tc>
      </w:tr>
      <w:tr>
        <w:trPr>
          <w:trHeight w:val="220"/>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b w:val="1"/>
          <w:bCs w:val="1"/>
          <w:u w:val="single" w:color="auto"/>
          <w:color w:val="auto"/>
        </w:rPr>
        <w:t>Exhibit 95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Mine Safety Disclosure</w:t>
      </w:r>
    </w:p>
    <w:p>
      <w:pPr>
        <w:spacing w:after="0" w:line="226" w:lineRule="exact"/>
        <w:rPr>
          <w:sz w:val="20"/>
          <w:szCs w:val="20"/>
          <w:color w:val="auto"/>
        </w:rPr>
      </w:pPr>
    </w:p>
    <w:p>
      <w:pPr>
        <w:ind w:right="280" w:firstLine="518"/>
        <w:spacing w:after="0" w:line="270" w:lineRule="auto"/>
        <w:rPr>
          <w:sz w:val="20"/>
          <w:szCs w:val="20"/>
          <w:color w:val="auto"/>
        </w:rPr>
      </w:pPr>
      <w:r>
        <w:rPr>
          <w:rFonts w:ascii="Arial" w:cs="Arial" w:eastAsia="Arial" w:hAnsi="Arial"/>
          <w:sz w:val="17"/>
          <w:szCs w:val="17"/>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2" w:lineRule="exact"/>
        <w:rPr>
          <w:sz w:val="20"/>
          <w:szCs w:val="20"/>
          <w:color w:val="auto"/>
        </w:rPr>
      </w:pPr>
    </w:p>
    <w:p>
      <w:pPr>
        <w:jc w:val="both"/>
        <w:ind w:right="80" w:firstLine="518"/>
        <w:spacing w:after="0" w:line="270"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M-I LLC, an indirect wholly-owned subsidiary of Schlumberger. The disclosure is with respect to the full year ended December 31, 2017. Due to timing and other factors, the data may not agree with the mine data retrieval system maintained by the MSHA at www.MSHA.gov.</w:t>
      </w:r>
    </w:p>
    <w:p>
      <w:pPr>
        <w:spacing w:after="0" w:line="270" w:lineRule="exact"/>
        <w:rPr>
          <w:sz w:val="20"/>
          <w:szCs w:val="20"/>
          <w:color w:val="auto"/>
        </w:rPr>
      </w:pPr>
    </w:p>
    <w:p>
      <w:pPr>
        <w:ind w:left="5180"/>
        <w:spacing w:after="0"/>
        <w:rPr>
          <w:sz w:val="20"/>
          <w:szCs w:val="20"/>
          <w:color w:val="auto"/>
        </w:rPr>
      </w:pPr>
      <w:r>
        <w:rPr>
          <w:rFonts w:ascii="Arial" w:cs="Arial" w:eastAsia="Arial" w:hAnsi="Arial"/>
          <w:sz w:val="17"/>
          <w:szCs w:val="17"/>
          <w:b w:val="1"/>
          <w:bCs w:val="1"/>
          <w:u w:val="single" w:color="auto"/>
          <w:color w:val="auto"/>
        </w:rPr>
        <w:t>Full Year 2017</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(whole dollars)</w:t>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Received</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jc w:val="center"/>
              <w:spacing w:after="0" w:line="130" w:lineRule="exact"/>
              <w:rPr>
                <w:sz w:val="20"/>
                <w:szCs w:val="20"/>
                <w:color w:val="auto"/>
              </w:rPr>
            </w:pPr>
            <w:r>
              <w:rPr>
                <w:rFonts w:ascii="Arial" w:cs="Arial" w:eastAsia="Arial" w:hAnsi="Arial"/>
                <w:sz w:val="12"/>
                <w:szCs w:val="12"/>
                <w:color w:val="auto"/>
                <w:w w:val="97"/>
              </w:rPr>
              <w:t>Notice of</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2"/>
                <w:szCs w:val="12"/>
                <w:color w:val="auto"/>
                <w:w w:val="91"/>
              </w:rPr>
              <w:t>Received</w:t>
            </w:r>
          </w:p>
        </w:tc>
        <w:tc>
          <w:tcPr>
            <w:tcW w:w="660" w:type="dxa"/>
            <w:vAlign w:val="bottom"/>
          </w:tcPr>
          <w:p>
            <w:pPr>
              <w:jc w:val="center"/>
              <w:spacing w:after="0" w:line="130" w:lineRule="exact"/>
              <w:rPr>
                <w:sz w:val="20"/>
                <w:szCs w:val="20"/>
                <w:color w:val="auto"/>
              </w:rPr>
            </w:pPr>
            <w:r>
              <w:rPr>
                <w:rFonts w:ascii="Arial" w:cs="Arial" w:eastAsia="Arial" w:hAnsi="Arial"/>
                <w:sz w:val="12"/>
                <w:szCs w:val="12"/>
                <w:color w:val="auto"/>
                <w:w w:val="93"/>
              </w:rPr>
              <w:t>Potential to</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2"/>
                <w:szCs w:val="12"/>
                <w:color w:val="auto"/>
                <w:w w:val="97"/>
              </w:rPr>
              <w:t>Notice of</w:t>
            </w:r>
          </w:p>
        </w:tc>
        <w:tc>
          <w:tcPr>
            <w:tcW w:w="660" w:type="dxa"/>
            <w:vAlign w:val="bottom"/>
          </w:tcPr>
          <w:p>
            <w:pPr>
              <w:jc w:val="center"/>
              <w:spacing w:after="0" w:line="130" w:lineRule="exact"/>
              <w:rPr>
                <w:sz w:val="20"/>
                <w:szCs w:val="20"/>
                <w:color w:val="auto"/>
              </w:rPr>
            </w:pPr>
            <w:r>
              <w:rPr>
                <w:rFonts w:ascii="Arial" w:cs="Arial" w:eastAsia="Arial" w:hAnsi="Arial"/>
                <w:sz w:val="12"/>
                <w:szCs w:val="12"/>
                <w:color w:val="auto"/>
                <w:w w:val="88"/>
              </w:rPr>
              <w:t>Have Pattern</w:t>
            </w:r>
          </w:p>
        </w:tc>
        <w:tc>
          <w:tcPr>
            <w:tcW w:w="640" w:type="dxa"/>
            <w:vAlign w:val="bottom"/>
          </w:tcPr>
          <w:p>
            <w:pPr>
              <w:jc w:val="center"/>
              <w:spacing w:after="0" w:line="130" w:lineRule="exact"/>
              <w:rPr>
                <w:sz w:val="20"/>
                <w:szCs w:val="20"/>
                <w:color w:val="auto"/>
              </w:rPr>
            </w:pPr>
            <w:r>
              <w:rPr>
                <w:rFonts w:ascii="Arial" w:cs="Arial" w:eastAsia="Arial" w:hAnsi="Arial"/>
                <w:sz w:val="12"/>
                <w:szCs w:val="12"/>
                <w:color w:val="auto"/>
                <w:w w:val="95"/>
              </w:rPr>
              <w:t>Legal</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2"/>
                <w:szCs w:val="12"/>
                <w:color w:val="auto"/>
                <w:w w:val="88"/>
              </w:rPr>
              <w:t>Pattern of</w:t>
            </w:r>
          </w:p>
        </w:tc>
        <w:tc>
          <w:tcPr>
            <w:tcW w:w="660" w:type="dxa"/>
            <w:vAlign w:val="bottom"/>
          </w:tcPr>
          <w:p>
            <w:pPr>
              <w:jc w:val="center"/>
              <w:spacing w:after="0" w:line="130" w:lineRule="exact"/>
              <w:rPr>
                <w:sz w:val="20"/>
                <w:szCs w:val="20"/>
                <w:color w:val="auto"/>
              </w:rPr>
            </w:pPr>
            <w:r>
              <w:rPr>
                <w:rFonts w:ascii="Arial" w:cs="Arial" w:eastAsia="Arial" w:hAnsi="Arial"/>
                <w:sz w:val="12"/>
                <w:szCs w:val="12"/>
                <w:color w:val="auto"/>
                <w:w w:val="91"/>
              </w:rPr>
              <w:t>Under</w:t>
            </w:r>
          </w:p>
        </w:tc>
        <w:tc>
          <w:tcPr>
            <w:tcW w:w="640" w:type="dxa"/>
            <w:vAlign w:val="bottom"/>
          </w:tcPr>
          <w:p>
            <w:pPr>
              <w:jc w:val="center"/>
              <w:spacing w:after="0" w:line="130" w:lineRule="exact"/>
              <w:rPr>
                <w:sz w:val="20"/>
                <w:szCs w:val="20"/>
                <w:color w:val="auto"/>
              </w:rPr>
            </w:pPr>
            <w:r>
              <w:rPr>
                <w:rFonts w:ascii="Arial" w:cs="Arial" w:eastAsia="Arial" w:hAnsi="Arial"/>
                <w:sz w:val="12"/>
                <w:szCs w:val="12"/>
                <w:color w:val="auto"/>
                <w:w w:val="96"/>
              </w:rPr>
              <w:t>Actions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center"/>
              <w:spacing w:after="0" w:line="130" w:lineRule="exact"/>
              <w:rPr>
                <w:sz w:val="20"/>
                <w:szCs w:val="20"/>
                <w:color w:val="auto"/>
              </w:rPr>
            </w:pPr>
            <w:r>
              <w:rPr>
                <w:rFonts w:ascii="Arial" w:cs="Arial" w:eastAsia="Arial" w:hAnsi="Arial"/>
                <w:sz w:val="12"/>
                <w:szCs w:val="12"/>
                <w:color w:val="auto"/>
                <w:w w:val="92"/>
              </w:rPr>
              <w:t>Section 104(d)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2"/>
                <w:szCs w:val="12"/>
                <w:color w:val="auto"/>
              </w:rPr>
              <w:t>Mining</w:t>
            </w:r>
          </w:p>
        </w:tc>
        <w:tc>
          <w:tcPr>
            <w:tcW w:w="820" w:type="dxa"/>
            <w:vAlign w:val="bottom"/>
          </w:tcPr>
          <w:p>
            <w:pPr>
              <w:jc w:val="center"/>
              <w:spacing w:after="0" w:line="130" w:lineRule="exact"/>
              <w:rPr>
                <w:sz w:val="20"/>
                <w:szCs w:val="20"/>
                <w:color w:val="auto"/>
              </w:rPr>
            </w:pPr>
            <w:r>
              <w:rPr>
                <w:rFonts w:ascii="Arial" w:cs="Arial" w:eastAsia="Arial" w:hAnsi="Arial"/>
                <w:sz w:val="12"/>
                <w:szCs w:val="12"/>
                <w:color w:val="auto"/>
                <w:w w:val="96"/>
              </w:rPr>
              <w:t>Violations</w:t>
            </w:r>
          </w:p>
        </w:tc>
        <w:tc>
          <w:tcPr>
            <w:tcW w:w="660" w:type="dxa"/>
            <w:vAlign w:val="bottom"/>
          </w:tcPr>
          <w:p>
            <w:pPr>
              <w:jc w:val="center"/>
              <w:spacing w:after="0" w:line="130" w:lineRule="exact"/>
              <w:rPr>
                <w:sz w:val="20"/>
                <w:szCs w:val="20"/>
                <w:color w:val="auto"/>
              </w:rPr>
            </w:pPr>
            <w:r>
              <w:rPr>
                <w:rFonts w:ascii="Arial" w:cs="Arial" w:eastAsia="Arial" w:hAnsi="Arial"/>
                <w:sz w:val="12"/>
                <w:szCs w:val="12"/>
                <w:color w:val="auto"/>
                <w:w w:val="89"/>
              </w:rPr>
              <w:t>Section</w:t>
            </w:r>
          </w:p>
        </w:tc>
        <w:tc>
          <w:tcPr>
            <w:tcW w:w="640" w:type="dxa"/>
            <w:vAlign w:val="bottom"/>
          </w:tcPr>
          <w:p>
            <w:pPr>
              <w:jc w:val="center"/>
              <w:spacing w:after="0" w:line="130" w:lineRule="exact"/>
              <w:rPr>
                <w:sz w:val="20"/>
                <w:szCs w:val="20"/>
                <w:color w:val="auto"/>
              </w:rPr>
            </w:pPr>
            <w:r>
              <w:rPr>
                <w:rFonts w:ascii="Arial" w:cs="Arial" w:eastAsia="Arial" w:hAnsi="Arial"/>
                <w:sz w:val="12"/>
                <w:szCs w:val="12"/>
                <w:color w:val="auto"/>
                <w:w w:val="86"/>
              </w:rPr>
              <w:t>Pending as</w:t>
            </w:r>
          </w:p>
        </w:tc>
        <w:tc>
          <w:tcPr>
            <w:tcW w:w="820" w:type="dxa"/>
            <w:vAlign w:val="bottom"/>
          </w:tcPr>
          <w:p>
            <w:pPr>
              <w:jc w:val="center"/>
              <w:spacing w:after="0" w:line="130" w:lineRule="exact"/>
              <w:rPr>
                <w:sz w:val="20"/>
                <w:szCs w:val="20"/>
                <w:color w:val="auto"/>
              </w:rPr>
            </w:pPr>
            <w:r>
              <w:rPr>
                <w:rFonts w:ascii="Arial" w:cs="Arial" w:eastAsia="Arial" w:hAnsi="Arial"/>
                <w:sz w:val="12"/>
                <w:szCs w:val="12"/>
                <w:color w:val="auto"/>
                <w:w w:val="97"/>
              </w:rPr>
              <w:t>Legal Actions</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w w:val="97"/>
              </w:rPr>
              <w:t>Legal Actions</w:t>
            </w:r>
          </w:p>
        </w:tc>
        <w:tc>
          <w:tcPr>
            <w:tcW w:w="0" w:type="dxa"/>
            <w:vAlign w:val="bottom"/>
          </w:tcPr>
          <w:p>
            <w:pPr>
              <w:spacing w:after="0"/>
              <w:rPr>
                <w:sz w:val="1"/>
                <w:szCs w:val="1"/>
                <w:color w:val="auto"/>
              </w:rPr>
            </w:pPr>
          </w:p>
        </w:tc>
      </w:tr>
      <w:tr>
        <w:trPr>
          <w:trHeight w:val="130"/>
        </w:trPr>
        <w:tc>
          <w:tcPr>
            <w:tcW w:w="1880" w:type="dxa"/>
            <w:vAlign w:val="bottom"/>
          </w:tcPr>
          <w:p>
            <w:pPr>
              <w:spacing w:after="0" w:line="130" w:lineRule="exact"/>
              <w:rPr>
                <w:sz w:val="20"/>
                <w:szCs w:val="20"/>
                <w:color w:val="auto"/>
              </w:rPr>
            </w:pPr>
            <w:r>
              <w:rPr>
                <w:rFonts w:ascii="Arial" w:cs="Arial" w:eastAsia="Arial" w:hAnsi="Arial"/>
                <w:sz w:val="12"/>
                <w:szCs w:val="12"/>
                <w:color w:val="auto"/>
              </w:rPr>
              <w:t>Mine or Operating Name/MSHA</w:t>
            </w:r>
          </w:p>
        </w:tc>
        <w:tc>
          <w:tcPr>
            <w:tcW w:w="860" w:type="dxa"/>
            <w:vAlign w:val="bottom"/>
          </w:tcPr>
          <w:p>
            <w:pPr>
              <w:jc w:val="center"/>
              <w:spacing w:after="0" w:line="130" w:lineRule="exact"/>
              <w:rPr>
                <w:sz w:val="20"/>
                <w:szCs w:val="20"/>
                <w:color w:val="auto"/>
              </w:rPr>
            </w:pPr>
            <w:r>
              <w:rPr>
                <w:rFonts w:ascii="Arial" w:cs="Arial" w:eastAsia="Arial" w:hAnsi="Arial"/>
                <w:sz w:val="12"/>
                <w:szCs w:val="12"/>
                <w:color w:val="auto"/>
                <w:w w:val="91"/>
              </w:rPr>
              <w:t>Section 104</w:t>
            </w:r>
          </w:p>
        </w:tc>
        <w:tc>
          <w:tcPr>
            <w:tcW w:w="800" w:type="dxa"/>
            <w:vAlign w:val="bottom"/>
          </w:tcPr>
          <w:p>
            <w:pPr>
              <w:jc w:val="center"/>
              <w:spacing w:after="0" w:line="130" w:lineRule="exact"/>
              <w:rPr>
                <w:sz w:val="20"/>
                <w:szCs w:val="20"/>
                <w:color w:val="auto"/>
              </w:rPr>
            </w:pPr>
            <w:r>
              <w:rPr>
                <w:rFonts w:ascii="Arial" w:cs="Arial" w:eastAsia="Arial" w:hAnsi="Arial"/>
                <w:sz w:val="12"/>
                <w:szCs w:val="12"/>
                <w:color w:val="auto"/>
                <w:w w:val="92"/>
              </w:rPr>
              <w:t>Section 104(b)</w:t>
            </w:r>
          </w:p>
        </w:tc>
        <w:tc>
          <w:tcPr>
            <w:tcW w:w="800" w:type="dxa"/>
            <w:vAlign w:val="bottom"/>
          </w:tcPr>
          <w:p>
            <w:pPr>
              <w:jc w:val="center"/>
              <w:spacing w:after="0" w:line="130" w:lineRule="exact"/>
              <w:rPr>
                <w:sz w:val="20"/>
                <w:szCs w:val="20"/>
                <w:color w:val="auto"/>
              </w:rPr>
            </w:pPr>
            <w:r>
              <w:rPr>
                <w:rFonts w:ascii="Arial" w:cs="Arial" w:eastAsia="Arial" w:hAnsi="Arial"/>
                <w:sz w:val="12"/>
                <w:szCs w:val="12"/>
                <w:color w:val="auto"/>
                <w:w w:val="91"/>
              </w:rPr>
              <w:t>Citations and</w:t>
            </w:r>
          </w:p>
        </w:tc>
        <w:tc>
          <w:tcPr>
            <w:tcW w:w="820" w:type="dxa"/>
            <w:vAlign w:val="bottom"/>
          </w:tcPr>
          <w:p>
            <w:pPr>
              <w:jc w:val="center"/>
              <w:spacing w:after="0" w:line="130" w:lineRule="exact"/>
              <w:rPr>
                <w:sz w:val="20"/>
                <w:szCs w:val="20"/>
                <w:color w:val="auto"/>
              </w:rPr>
            </w:pPr>
            <w:r>
              <w:rPr>
                <w:rFonts w:ascii="Arial" w:cs="Arial" w:eastAsia="Arial" w:hAnsi="Arial"/>
                <w:sz w:val="12"/>
                <w:szCs w:val="12"/>
                <w:color w:val="auto"/>
                <w:w w:val="89"/>
              </w:rPr>
              <w:t>Section 110(b)</w:t>
            </w:r>
          </w:p>
        </w:tc>
        <w:tc>
          <w:tcPr>
            <w:tcW w:w="820" w:type="dxa"/>
            <w:vAlign w:val="bottom"/>
          </w:tcPr>
          <w:p>
            <w:pPr>
              <w:jc w:val="center"/>
              <w:spacing w:after="0" w:line="130" w:lineRule="exact"/>
              <w:rPr>
                <w:sz w:val="20"/>
                <w:szCs w:val="20"/>
                <w:color w:val="auto"/>
              </w:rPr>
            </w:pPr>
            <w:r>
              <w:rPr>
                <w:rFonts w:ascii="Arial" w:cs="Arial" w:eastAsia="Arial" w:hAnsi="Arial"/>
                <w:sz w:val="12"/>
                <w:szCs w:val="12"/>
                <w:color w:val="auto"/>
                <w:w w:val="92"/>
              </w:rPr>
              <w:t>Section 107(a)</w:t>
            </w:r>
          </w:p>
        </w:tc>
        <w:tc>
          <w:tcPr>
            <w:tcW w:w="980" w:type="dxa"/>
            <w:vAlign w:val="bottom"/>
          </w:tcPr>
          <w:p>
            <w:pPr>
              <w:jc w:val="center"/>
              <w:spacing w:after="0" w:line="130" w:lineRule="exact"/>
              <w:rPr>
                <w:sz w:val="20"/>
                <w:szCs w:val="20"/>
                <w:color w:val="auto"/>
              </w:rPr>
            </w:pPr>
            <w:r>
              <w:rPr>
                <w:rFonts w:ascii="Arial" w:cs="Arial" w:eastAsia="Arial" w:hAnsi="Arial"/>
                <w:sz w:val="12"/>
                <w:szCs w:val="12"/>
                <w:color w:val="auto"/>
                <w:w w:val="91"/>
              </w:rPr>
              <w:t>Proposed MSHA</w:t>
            </w:r>
          </w:p>
        </w:tc>
        <w:tc>
          <w:tcPr>
            <w:tcW w:w="600" w:type="dxa"/>
            <w:vAlign w:val="bottom"/>
          </w:tcPr>
          <w:p>
            <w:pPr>
              <w:jc w:val="center"/>
              <w:spacing w:after="0" w:line="130" w:lineRule="exact"/>
              <w:rPr>
                <w:sz w:val="20"/>
                <w:szCs w:val="20"/>
                <w:color w:val="auto"/>
              </w:rPr>
            </w:pPr>
            <w:r>
              <w:rPr>
                <w:rFonts w:ascii="Arial" w:cs="Arial" w:eastAsia="Arial" w:hAnsi="Arial"/>
                <w:sz w:val="12"/>
                <w:szCs w:val="12"/>
                <w:color w:val="auto"/>
                <w:w w:val="86"/>
              </w:rPr>
              <w:t>Related</w:t>
            </w:r>
          </w:p>
        </w:tc>
        <w:tc>
          <w:tcPr>
            <w:tcW w:w="820" w:type="dxa"/>
            <w:vAlign w:val="bottom"/>
          </w:tcPr>
          <w:p>
            <w:pPr>
              <w:jc w:val="center"/>
              <w:spacing w:after="0" w:line="130" w:lineRule="exact"/>
              <w:rPr>
                <w:sz w:val="20"/>
                <w:szCs w:val="20"/>
                <w:color w:val="auto"/>
              </w:rPr>
            </w:pPr>
            <w:r>
              <w:rPr>
                <w:rFonts w:ascii="Arial" w:cs="Arial" w:eastAsia="Arial" w:hAnsi="Arial"/>
                <w:sz w:val="12"/>
                <w:szCs w:val="12"/>
                <w:color w:val="auto"/>
                <w:w w:val="92"/>
              </w:rPr>
              <w:t>Under Section</w:t>
            </w:r>
          </w:p>
        </w:tc>
        <w:tc>
          <w:tcPr>
            <w:tcW w:w="660" w:type="dxa"/>
            <w:vAlign w:val="bottom"/>
          </w:tcPr>
          <w:p>
            <w:pPr>
              <w:jc w:val="center"/>
              <w:spacing w:after="0" w:line="130" w:lineRule="exact"/>
              <w:rPr>
                <w:sz w:val="20"/>
                <w:szCs w:val="20"/>
                <w:color w:val="auto"/>
              </w:rPr>
            </w:pPr>
            <w:r>
              <w:rPr>
                <w:rFonts w:ascii="Arial" w:cs="Arial" w:eastAsia="Arial" w:hAnsi="Arial"/>
                <w:sz w:val="12"/>
                <w:szCs w:val="12"/>
                <w:color w:val="auto"/>
                <w:w w:val="92"/>
              </w:rPr>
              <w:t>104(e)</w:t>
            </w:r>
          </w:p>
        </w:tc>
        <w:tc>
          <w:tcPr>
            <w:tcW w:w="1460" w:type="dxa"/>
            <w:vAlign w:val="bottom"/>
            <w:gridSpan w:val="2"/>
          </w:tcPr>
          <w:p>
            <w:pPr>
              <w:ind w:left="40"/>
              <w:spacing w:after="0" w:line="130" w:lineRule="exact"/>
              <w:rPr>
                <w:sz w:val="20"/>
                <w:szCs w:val="20"/>
                <w:color w:val="auto"/>
              </w:rPr>
            </w:pPr>
            <w:r>
              <w:rPr>
                <w:rFonts w:ascii="Arial" w:cs="Arial" w:eastAsia="Arial" w:hAnsi="Arial"/>
                <w:sz w:val="12"/>
                <w:szCs w:val="12"/>
                <w:color w:val="auto"/>
                <w:w w:val="96"/>
              </w:rPr>
              <w:t>of Last Day Initiated During</w:t>
            </w:r>
          </w:p>
        </w:tc>
        <w:tc>
          <w:tcPr>
            <w:tcW w:w="780" w:type="dxa"/>
            <w:vAlign w:val="bottom"/>
          </w:tcPr>
          <w:p>
            <w:pPr>
              <w:jc w:val="center"/>
              <w:spacing w:after="0" w:line="130" w:lineRule="exact"/>
              <w:rPr>
                <w:sz w:val="20"/>
                <w:szCs w:val="20"/>
                <w:color w:val="auto"/>
              </w:rPr>
            </w:pPr>
            <w:r>
              <w:rPr>
                <w:rFonts w:ascii="Arial" w:cs="Arial" w:eastAsia="Arial" w:hAnsi="Arial"/>
                <w:sz w:val="12"/>
                <w:szCs w:val="12"/>
                <w:color w:val="auto"/>
                <w:w w:val="91"/>
              </w:rPr>
              <w:t>Resolved</w:t>
            </w:r>
          </w:p>
        </w:tc>
        <w:tc>
          <w:tcPr>
            <w:tcW w:w="0" w:type="dxa"/>
            <w:vAlign w:val="bottom"/>
          </w:tcPr>
          <w:p>
            <w:pPr>
              <w:spacing w:after="0"/>
              <w:rPr>
                <w:sz w:val="1"/>
                <w:szCs w:val="1"/>
                <w:color w:val="auto"/>
              </w:rPr>
            </w:pPr>
          </w:p>
        </w:tc>
      </w:tr>
      <w:tr>
        <w:trPr>
          <w:trHeight w:val="144"/>
        </w:trPr>
        <w:tc>
          <w:tcPr>
            <w:tcW w:w="1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Identification Number</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S&amp;S Citations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Orders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Orders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(2) Violations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Orders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Assessments</w:t>
            </w:r>
            <w:r>
              <w:rPr>
                <w:rFonts w:ascii="Arial" w:cs="Arial" w:eastAsia="Arial" w:hAnsi="Arial"/>
                <w:sz w:val="10"/>
                <w:szCs w:val="10"/>
                <w:color w:val="auto"/>
                <w:w w:val="88"/>
              </w:rPr>
              <w:t>(1)</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Fatalities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104(e) (yes/no)</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(yes/no)</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of Period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Period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During Period</w:t>
            </w:r>
          </w:p>
        </w:tc>
        <w:tc>
          <w:tcPr>
            <w:tcW w:w="0" w:type="dxa"/>
            <w:vAlign w:val="bottom"/>
          </w:tcPr>
          <w:p>
            <w:pPr>
              <w:spacing w:after="0"/>
              <w:rPr>
                <w:sz w:val="1"/>
                <w:szCs w:val="1"/>
                <w:color w:val="auto"/>
              </w:rPr>
            </w:pPr>
          </w:p>
        </w:tc>
      </w:tr>
      <w:tr>
        <w:trPr>
          <w:trHeight w:val="263"/>
        </w:trPr>
        <w:tc>
          <w:tcPr>
            <w:tcW w:w="1880" w:type="dxa"/>
            <w:vAlign w:val="bottom"/>
          </w:tcPr>
          <w:p>
            <w:pPr>
              <w:spacing w:after="0"/>
              <w:rPr>
                <w:sz w:val="20"/>
                <w:szCs w:val="20"/>
                <w:color w:val="auto"/>
              </w:rPr>
            </w:pPr>
            <w:r>
              <w:rPr>
                <w:rFonts w:ascii="Arial" w:cs="Arial" w:eastAsia="Arial" w:hAnsi="Arial"/>
                <w:sz w:val="12"/>
                <w:szCs w:val="12"/>
                <w:color w:val="auto"/>
              </w:rPr>
              <w:t>Amelia Barite Plant/1600825</w:t>
            </w:r>
          </w:p>
        </w:tc>
        <w:tc>
          <w:tcPr>
            <w:tcW w:w="8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$116</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rPr>
              <w:t>N</w:t>
            </w:r>
          </w:p>
        </w:tc>
        <w:tc>
          <w:tcPr>
            <w:tcW w:w="660" w:type="dxa"/>
            <w:vAlign w:val="bottom"/>
          </w:tcPr>
          <w:p>
            <w:pPr>
              <w:jc w:val="center"/>
              <w:spacing w:after="0"/>
              <w:rPr>
                <w:sz w:val="20"/>
                <w:szCs w:val="20"/>
                <w:color w:val="auto"/>
              </w:rPr>
            </w:pPr>
            <w:r>
              <w:rPr>
                <w:rFonts w:ascii="Arial" w:cs="Arial" w:eastAsia="Arial" w:hAnsi="Arial"/>
                <w:sz w:val="12"/>
                <w:szCs w:val="12"/>
                <w:color w:val="auto"/>
              </w:rPr>
              <w:t>N</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36"/>
        </w:trPr>
        <w:tc>
          <w:tcPr>
            <w:tcW w:w="1880" w:type="dxa"/>
            <w:vAlign w:val="bottom"/>
          </w:tcPr>
          <w:p>
            <w:pPr>
              <w:spacing w:after="0"/>
              <w:rPr>
                <w:sz w:val="20"/>
                <w:szCs w:val="20"/>
                <w:color w:val="auto"/>
              </w:rPr>
            </w:pPr>
            <w:r>
              <w:rPr>
                <w:rFonts w:ascii="Arial" w:cs="Arial" w:eastAsia="Arial" w:hAnsi="Arial"/>
                <w:sz w:val="12"/>
                <w:szCs w:val="12"/>
                <w:color w:val="auto"/>
              </w:rPr>
              <w:t>Battle Mountain Grinding</w:t>
            </w:r>
          </w:p>
        </w:tc>
        <w:tc>
          <w:tcPr>
            <w:tcW w:w="86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ind w:right="239"/>
              <w:spacing w:after="0"/>
              <w:rPr>
                <w:sz w:val="20"/>
                <w:szCs w:val="20"/>
                <w:color w:val="auto"/>
              </w:rPr>
            </w:pPr>
            <w:r>
              <w:rPr>
                <w:rFonts w:ascii="Arial" w:cs="Arial" w:eastAsia="Arial" w:hAnsi="Arial"/>
                <w:sz w:val="12"/>
                <w:szCs w:val="12"/>
                <w:color w:val="auto"/>
                <w:w w:val="89"/>
              </w:rPr>
              <w:t>$348</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89"/>
        </w:trPr>
        <w:tc>
          <w:tcPr>
            <w:tcW w:w="1880" w:type="dxa"/>
            <w:vAlign w:val="bottom"/>
            <w:vMerge w:val="restart"/>
          </w:tcPr>
          <w:p>
            <w:pPr>
              <w:spacing w:after="0"/>
              <w:rPr>
                <w:sz w:val="20"/>
                <w:szCs w:val="20"/>
                <w:color w:val="auto"/>
              </w:rPr>
            </w:pPr>
            <w:r>
              <w:rPr>
                <w:rFonts w:ascii="Arial" w:cs="Arial" w:eastAsia="Arial" w:hAnsi="Arial"/>
                <w:sz w:val="12"/>
                <w:szCs w:val="12"/>
                <w:color w:val="auto"/>
              </w:rPr>
              <w:t>Plant/2600828</w:t>
            </w:r>
          </w:p>
        </w:tc>
        <w:tc>
          <w:tcPr>
            <w:tcW w:w="8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8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880" w:type="dxa"/>
            <w:vAlign w:val="bottom"/>
          </w:tcPr>
          <w:p>
            <w:pPr>
              <w:spacing w:after="0"/>
              <w:rPr>
                <w:sz w:val="20"/>
                <w:szCs w:val="20"/>
                <w:color w:val="auto"/>
              </w:rPr>
            </w:pPr>
            <w:r>
              <w:rPr>
                <w:rFonts w:ascii="Arial" w:cs="Arial" w:eastAsia="Arial" w:hAnsi="Arial"/>
                <w:sz w:val="12"/>
                <w:szCs w:val="12"/>
                <w:color w:val="auto"/>
              </w:rPr>
              <w:t>Galveston GBT Barite Grinding</w:t>
            </w:r>
          </w:p>
        </w:tc>
        <w:tc>
          <w:tcPr>
            <w:tcW w:w="860" w:type="dxa"/>
            <w:vAlign w:val="bottom"/>
            <w:vMerge w:val="restart"/>
          </w:tcPr>
          <w:p>
            <w:pPr>
              <w:jc w:val="center"/>
              <w:spacing w:after="0"/>
              <w:rPr>
                <w:sz w:val="20"/>
                <w:szCs w:val="20"/>
                <w:color w:val="auto"/>
              </w:rPr>
            </w:pPr>
            <w:r>
              <w:rPr>
                <w:rFonts w:ascii="Arial" w:cs="Arial" w:eastAsia="Arial" w:hAnsi="Arial"/>
                <w:sz w:val="12"/>
                <w:szCs w:val="12"/>
                <w:color w:val="auto"/>
                <w:w w:val="89"/>
              </w:rPr>
              <w:t>1</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right"/>
              <w:ind w:right="399"/>
              <w:spacing w:after="0"/>
              <w:rPr>
                <w:sz w:val="20"/>
                <w:szCs w:val="20"/>
                <w:color w:val="auto"/>
              </w:rPr>
            </w:pPr>
            <w:r>
              <w:rPr>
                <w:rFonts w:ascii="Arial" w:cs="Arial" w:eastAsia="Arial" w:hAnsi="Arial"/>
                <w:sz w:val="12"/>
                <w:szCs w:val="12"/>
                <w:color w:val="auto"/>
              </w:rPr>
              <w:t>$232*</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89"/>
        </w:trPr>
        <w:tc>
          <w:tcPr>
            <w:tcW w:w="1880" w:type="dxa"/>
            <w:vAlign w:val="bottom"/>
            <w:vMerge w:val="restart"/>
          </w:tcPr>
          <w:p>
            <w:pPr>
              <w:spacing w:after="0"/>
              <w:rPr>
                <w:sz w:val="20"/>
                <w:szCs w:val="20"/>
                <w:color w:val="auto"/>
              </w:rPr>
            </w:pPr>
            <w:r>
              <w:rPr>
                <w:rFonts w:ascii="Arial" w:cs="Arial" w:eastAsia="Arial" w:hAnsi="Arial"/>
                <w:sz w:val="12"/>
                <w:szCs w:val="12"/>
                <w:color w:val="auto"/>
              </w:rPr>
              <w:t>Plant/4104675</w:t>
            </w:r>
          </w:p>
        </w:tc>
        <w:tc>
          <w:tcPr>
            <w:tcW w:w="8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8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880" w:type="dxa"/>
            <w:vAlign w:val="bottom"/>
          </w:tcPr>
          <w:p>
            <w:pPr>
              <w:spacing w:after="0"/>
              <w:rPr>
                <w:sz w:val="20"/>
                <w:szCs w:val="20"/>
                <w:color w:val="auto"/>
              </w:rPr>
            </w:pPr>
            <w:r>
              <w:rPr>
                <w:rFonts w:ascii="Arial" w:cs="Arial" w:eastAsia="Arial" w:hAnsi="Arial"/>
                <w:sz w:val="12"/>
                <w:szCs w:val="12"/>
                <w:color w:val="auto"/>
                <w:w w:val="98"/>
              </w:rPr>
              <w:t>Greybull Milling Operation/4800602</w:t>
            </w:r>
          </w:p>
        </w:tc>
        <w:tc>
          <w:tcPr>
            <w:tcW w:w="86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ind w:right="239"/>
              <w:spacing w:after="0"/>
              <w:rPr>
                <w:sz w:val="20"/>
                <w:szCs w:val="20"/>
                <w:color w:val="auto"/>
              </w:rPr>
            </w:pPr>
            <w:r>
              <w:rPr>
                <w:rFonts w:ascii="Arial" w:cs="Arial" w:eastAsia="Arial" w:hAnsi="Arial"/>
                <w:sz w:val="12"/>
                <w:szCs w:val="12"/>
                <w:color w:val="auto"/>
                <w:w w:val="89"/>
              </w:rPr>
              <w:t>$375</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rPr>
              <w:t>N</w:t>
            </w:r>
          </w:p>
        </w:tc>
        <w:tc>
          <w:tcPr>
            <w:tcW w:w="660" w:type="dxa"/>
            <w:vAlign w:val="bottom"/>
          </w:tcPr>
          <w:p>
            <w:pPr>
              <w:jc w:val="center"/>
              <w:spacing w:after="0"/>
              <w:rPr>
                <w:sz w:val="20"/>
                <w:szCs w:val="20"/>
                <w:color w:val="auto"/>
              </w:rPr>
            </w:pPr>
            <w:r>
              <w:rPr>
                <w:rFonts w:ascii="Arial" w:cs="Arial" w:eastAsia="Arial" w:hAnsi="Arial"/>
                <w:sz w:val="12"/>
                <w:szCs w:val="12"/>
                <w:color w:val="auto"/>
              </w:rPr>
              <w:t>N</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60"/>
        </w:trPr>
        <w:tc>
          <w:tcPr>
            <w:tcW w:w="1880" w:type="dxa"/>
            <w:vAlign w:val="bottom"/>
          </w:tcPr>
          <w:p>
            <w:pPr>
              <w:spacing w:after="0"/>
              <w:rPr>
                <w:sz w:val="20"/>
                <w:szCs w:val="20"/>
                <w:color w:val="auto"/>
              </w:rPr>
            </w:pPr>
            <w:r>
              <w:rPr>
                <w:rFonts w:ascii="Arial" w:cs="Arial" w:eastAsia="Arial" w:hAnsi="Arial"/>
                <w:sz w:val="12"/>
                <w:szCs w:val="12"/>
                <w:color w:val="auto"/>
                <w:w w:val="98"/>
              </w:rPr>
              <w:t>Greybull Mining Operation/4800603</w:t>
            </w:r>
          </w:p>
        </w:tc>
        <w:tc>
          <w:tcPr>
            <w:tcW w:w="8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ind w:right="239"/>
              <w:spacing w:after="0"/>
              <w:rPr>
                <w:sz w:val="20"/>
                <w:szCs w:val="20"/>
                <w:color w:val="auto"/>
              </w:rPr>
            </w:pPr>
            <w:r>
              <w:rPr>
                <w:rFonts w:ascii="Arial" w:cs="Arial" w:eastAsia="Arial" w:hAnsi="Arial"/>
                <w:sz w:val="12"/>
                <w:szCs w:val="12"/>
                <w:color w:val="auto"/>
                <w:w w:val="89"/>
              </w:rPr>
              <w:t>$0</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rPr>
              <w:t>N</w:t>
            </w:r>
          </w:p>
        </w:tc>
        <w:tc>
          <w:tcPr>
            <w:tcW w:w="660" w:type="dxa"/>
            <w:vAlign w:val="bottom"/>
          </w:tcPr>
          <w:p>
            <w:pPr>
              <w:jc w:val="center"/>
              <w:spacing w:after="0"/>
              <w:rPr>
                <w:sz w:val="20"/>
                <w:szCs w:val="20"/>
                <w:color w:val="auto"/>
              </w:rPr>
            </w:pPr>
            <w:r>
              <w:rPr>
                <w:rFonts w:ascii="Arial" w:cs="Arial" w:eastAsia="Arial" w:hAnsi="Arial"/>
                <w:sz w:val="12"/>
                <w:szCs w:val="12"/>
                <w:color w:val="auto"/>
              </w:rPr>
              <w:t>N</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60"/>
        </w:trPr>
        <w:tc>
          <w:tcPr>
            <w:tcW w:w="1880" w:type="dxa"/>
            <w:vAlign w:val="bottom"/>
          </w:tcPr>
          <w:p>
            <w:pPr>
              <w:spacing w:after="0"/>
              <w:rPr>
                <w:sz w:val="20"/>
                <w:szCs w:val="20"/>
                <w:color w:val="auto"/>
              </w:rPr>
            </w:pPr>
            <w:r>
              <w:rPr>
                <w:rFonts w:ascii="Arial" w:cs="Arial" w:eastAsia="Arial" w:hAnsi="Arial"/>
                <w:sz w:val="12"/>
                <w:szCs w:val="12"/>
                <w:color w:val="auto"/>
              </w:rPr>
              <w:t>Greystone Mine/2600411</w:t>
            </w:r>
          </w:p>
        </w:tc>
        <w:tc>
          <w:tcPr>
            <w:tcW w:w="8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ind w:right="239"/>
              <w:spacing w:after="0"/>
              <w:rPr>
                <w:sz w:val="20"/>
                <w:szCs w:val="20"/>
                <w:color w:val="auto"/>
              </w:rPr>
            </w:pPr>
            <w:r>
              <w:rPr>
                <w:rFonts w:ascii="Arial" w:cs="Arial" w:eastAsia="Arial" w:hAnsi="Arial"/>
                <w:sz w:val="12"/>
                <w:szCs w:val="12"/>
                <w:color w:val="auto"/>
                <w:w w:val="89"/>
              </w:rPr>
              <w:t>$0</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rPr>
              <w:t>N</w:t>
            </w:r>
          </w:p>
        </w:tc>
        <w:tc>
          <w:tcPr>
            <w:tcW w:w="660" w:type="dxa"/>
            <w:vAlign w:val="bottom"/>
          </w:tcPr>
          <w:p>
            <w:pPr>
              <w:jc w:val="center"/>
              <w:spacing w:after="0"/>
              <w:rPr>
                <w:sz w:val="20"/>
                <w:szCs w:val="20"/>
                <w:color w:val="auto"/>
              </w:rPr>
            </w:pPr>
            <w:r>
              <w:rPr>
                <w:rFonts w:ascii="Arial" w:cs="Arial" w:eastAsia="Arial" w:hAnsi="Arial"/>
                <w:sz w:val="12"/>
                <w:szCs w:val="12"/>
                <w:color w:val="auto"/>
              </w:rPr>
              <w:t>N</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36"/>
        </w:trPr>
        <w:tc>
          <w:tcPr>
            <w:tcW w:w="1880" w:type="dxa"/>
            <w:vAlign w:val="bottom"/>
          </w:tcPr>
          <w:p>
            <w:pPr>
              <w:spacing w:after="0"/>
              <w:rPr>
                <w:sz w:val="20"/>
                <w:szCs w:val="20"/>
                <w:color w:val="auto"/>
              </w:rPr>
            </w:pPr>
            <w:r>
              <w:rPr>
                <w:rFonts w:ascii="Arial" w:cs="Arial" w:eastAsia="Arial" w:hAnsi="Arial"/>
                <w:sz w:val="12"/>
                <w:szCs w:val="12"/>
                <w:color w:val="auto"/>
              </w:rPr>
              <w:t>Mountain Springs Beneficiation</w:t>
            </w:r>
          </w:p>
        </w:tc>
        <w:tc>
          <w:tcPr>
            <w:tcW w:w="860" w:type="dxa"/>
            <w:vAlign w:val="bottom"/>
            <w:vMerge w:val="restart"/>
          </w:tcPr>
          <w:p>
            <w:pPr>
              <w:jc w:val="center"/>
              <w:spacing w:after="0"/>
              <w:rPr>
                <w:sz w:val="20"/>
                <w:szCs w:val="20"/>
                <w:color w:val="auto"/>
              </w:rPr>
            </w:pPr>
            <w:r>
              <w:rPr>
                <w:rFonts w:ascii="Arial" w:cs="Arial" w:eastAsia="Arial" w:hAnsi="Arial"/>
                <w:sz w:val="12"/>
                <w:szCs w:val="12"/>
                <w:color w:val="auto"/>
                <w:w w:val="89"/>
              </w:rPr>
              <w:t>1</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ind w:right="239"/>
              <w:spacing w:after="0"/>
              <w:rPr>
                <w:sz w:val="20"/>
                <w:szCs w:val="20"/>
                <w:color w:val="auto"/>
              </w:rPr>
            </w:pPr>
            <w:r>
              <w:rPr>
                <w:rFonts w:ascii="Arial" w:cs="Arial" w:eastAsia="Arial" w:hAnsi="Arial"/>
                <w:sz w:val="12"/>
                <w:szCs w:val="12"/>
                <w:color w:val="auto"/>
                <w:w w:val="89"/>
              </w:rPr>
              <w:t>$276</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89"/>
        </w:trPr>
        <w:tc>
          <w:tcPr>
            <w:tcW w:w="1880" w:type="dxa"/>
            <w:vAlign w:val="bottom"/>
            <w:vMerge w:val="restart"/>
          </w:tcPr>
          <w:p>
            <w:pPr>
              <w:spacing w:after="0"/>
              <w:rPr>
                <w:sz w:val="20"/>
                <w:szCs w:val="20"/>
                <w:color w:val="auto"/>
              </w:rPr>
            </w:pPr>
            <w:r>
              <w:rPr>
                <w:rFonts w:ascii="Arial" w:cs="Arial" w:eastAsia="Arial" w:hAnsi="Arial"/>
                <w:sz w:val="12"/>
                <w:szCs w:val="12"/>
                <w:color w:val="auto"/>
              </w:rPr>
              <w:t>Plant/2601390</w:t>
            </w:r>
          </w:p>
        </w:tc>
        <w:tc>
          <w:tcPr>
            <w:tcW w:w="8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8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880" w:type="dxa"/>
            <w:vAlign w:val="bottom"/>
          </w:tcPr>
          <w:p>
            <w:pPr>
              <w:spacing w:after="0"/>
              <w:rPr>
                <w:sz w:val="20"/>
                <w:szCs w:val="20"/>
                <w:color w:val="auto"/>
              </w:rPr>
            </w:pPr>
            <w:r>
              <w:rPr>
                <w:rFonts w:ascii="Arial" w:cs="Arial" w:eastAsia="Arial" w:hAnsi="Arial"/>
                <w:sz w:val="12"/>
                <w:szCs w:val="12"/>
                <w:color w:val="auto"/>
              </w:rPr>
              <w:t>Wisconsin Proppants/4703742</w:t>
            </w:r>
          </w:p>
        </w:tc>
        <w:tc>
          <w:tcPr>
            <w:tcW w:w="860" w:type="dxa"/>
            <w:vAlign w:val="bottom"/>
          </w:tcPr>
          <w:p>
            <w:pPr>
              <w:jc w:val="right"/>
              <w:ind w:right="439"/>
              <w:spacing w:after="0"/>
              <w:rPr>
                <w:sz w:val="20"/>
                <w:szCs w:val="20"/>
                <w:color w:val="auto"/>
              </w:rPr>
            </w:pPr>
            <w:r>
              <w:rPr>
                <w:rFonts w:ascii="Arial" w:cs="Arial" w:eastAsia="Arial" w:hAnsi="Arial"/>
                <w:sz w:val="12"/>
                <w:szCs w:val="12"/>
                <w:color w:val="auto"/>
              </w:rPr>
              <w:t>2</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tcPr>
          <w:p>
            <w:pPr>
              <w:jc w:val="right"/>
              <w:ind w:right="359"/>
              <w:spacing w:after="0"/>
              <w:rPr>
                <w:sz w:val="20"/>
                <w:szCs w:val="20"/>
                <w:color w:val="auto"/>
              </w:rPr>
            </w:pPr>
            <w:r>
              <w:rPr>
                <w:rFonts w:ascii="Arial" w:cs="Arial" w:eastAsia="Arial" w:hAnsi="Arial"/>
                <w:sz w:val="12"/>
                <w:szCs w:val="12"/>
                <w:color w:val="auto"/>
              </w:rPr>
              <w:t>$1552*</w:t>
            </w:r>
          </w:p>
        </w:tc>
        <w:tc>
          <w:tcPr>
            <w:tcW w:w="600" w:type="dxa"/>
            <w:vAlign w:val="bottom"/>
          </w:tcPr>
          <w:p>
            <w:pPr>
              <w:jc w:val="right"/>
              <w:ind w:right="379"/>
              <w:spacing w:after="0"/>
              <w:rPr>
                <w:sz w:val="20"/>
                <w:szCs w:val="20"/>
                <w:color w:val="auto"/>
              </w:rPr>
            </w:pPr>
            <w:r>
              <w:rPr>
                <w:rFonts w:ascii="Arial" w:cs="Arial" w:eastAsia="Arial" w:hAnsi="Arial"/>
                <w:sz w:val="12"/>
                <w:szCs w:val="12"/>
                <w:color w:val="auto"/>
              </w:rPr>
              <w:t>0</w:t>
            </w:r>
          </w:p>
        </w:tc>
        <w:tc>
          <w:tcPr>
            <w:tcW w:w="820" w:type="dxa"/>
            <w:vAlign w:val="bottom"/>
          </w:tcPr>
          <w:p>
            <w:pPr>
              <w:jc w:val="center"/>
              <w:spacing w:after="0"/>
              <w:rPr>
                <w:sz w:val="20"/>
                <w:szCs w:val="20"/>
                <w:color w:val="auto"/>
              </w:rPr>
            </w:pPr>
            <w:r>
              <w:rPr>
                <w:rFonts w:ascii="Arial" w:cs="Arial" w:eastAsia="Arial" w:hAnsi="Arial"/>
                <w:sz w:val="12"/>
                <w:szCs w:val="12"/>
                <w:color w:val="auto"/>
              </w:rPr>
              <w:t>N</w:t>
            </w:r>
          </w:p>
        </w:tc>
        <w:tc>
          <w:tcPr>
            <w:tcW w:w="660" w:type="dxa"/>
            <w:vAlign w:val="bottom"/>
          </w:tcPr>
          <w:p>
            <w:pPr>
              <w:jc w:val="center"/>
              <w:spacing w:after="0"/>
              <w:rPr>
                <w:sz w:val="20"/>
                <w:szCs w:val="20"/>
                <w:color w:val="auto"/>
              </w:rPr>
            </w:pPr>
            <w:r>
              <w:rPr>
                <w:rFonts w:ascii="Arial" w:cs="Arial" w:eastAsia="Arial" w:hAnsi="Arial"/>
                <w:sz w:val="12"/>
                <w:szCs w:val="12"/>
                <w:color w:val="auto"/>
              </w:rPr>
              <w:t>N</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900" w:right="160" w:hanging="519"/>
        <w:spacing w:after="0" w:line="260"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on or before December 31, 2017, regardless of whether the assessment has been challenged or appealed, for citations and orders occurring during the full year 2017.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 2018, MSHA had not yet proposed an assessment for one S&amp;S citation, at Galveston GBT Barite Grinding Plant/4104675.</w:t>
      </w:r>
    </w:p>
    <w:p>
      <w:pPr>
        <w:spacing w:after="0" w:line="190" w:lineRule="exact"/>
        <w:rPr>
          <w:sz w:val="20"/>
          <w:szCs w:val="20"/>
          <w:color w:val="auto"/>
        </w:rPr>
      </w:pPr>
    </w:p>
    <w:p>
      <w:pPr>
        <w:ind w:right="220"/>
        <w:spacing w:after="0" w:line="271" w:lineRule="auto"/>
        <w:rPr>
          <w:sz w:val="20"/>
          <w:szCs w:val="20"/>
          <w:color w:val="auto"/>
        </w:rPr>
      </w:pPr>
      <w:r>
        <w:rPr>
          <w:rFonts w:ascii="Arial" w:cs="Arial" w:eastAsia="Arial" w:hAnsi="Arial"/>
          <w:sz w:val="13"/>
          <w:szCs w:val="13"/>
          <w:color w:val="auto"/>
        </w:rPr>
        <w:t>*As of January 3, 2018, MSHA had not yet proposed an assessment for (5) Non-S&amp;S citations and (1) S&amp;S CITATION for WP Operations LLC, (1) non-S&amp;S citation for TPS Construction (1) non-S&amp;S citation for B&amp;B electric, (1) non-S&amp;S citation for Advantage Industrial Systems and (1) non-S&amp;S citation for Chippewa Valley Vulcanizing at Wisconsin Proppants/4703742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1)"/>
      <w:numFmt w:val="decimal"/>
      <w:start w:val="1"/>
    </w:lvl>
  </w:abstractNum>
  <w:abstractNum w:abstractNumId="12">
    <w:nsid w:val="47398C89"/>
    <w:multiLevelType w:val="hybridMultilevel"/>
    <w:lvl w:ilvl="0">
      <w:lvlJc w:val="left"/>
      <w:lvlText w:val="(%1)"/>
      <w:numFmt w:val="decimal"/>
      <w:start w:val="1"/>
    </w:lvl>
  </w:abstractNum>
  <w:abstractNum w:abstractNumId="13">
    <w:nsid w:val="354FE9F9"/>
    <w:multiLevelType w:val="hybridMultilevel"/>
    <w:lvl w:ilvl="0">
      <w:lvlJc w:val="left"/>
      <w:lvlText w:val="(%1)"/>
      <w:numFmt w:val="decimal"/>
      <w:start w:val="1"/>
    </w:lvl>
  </w:abstractNum>
  <w:abstractNum w:abstractNumId="14">
    <w:nsid w:val="15B5AF5C"/>
    <w:multiLevelType w:val="hybridMultilevel"/>
    <w:lvl w:ilvl="0">
      <w:lvlJc w:val="left"/>
      <w:lvlText w:val="•"/>
      <w:numFmt w:val="bullet"/>
      <w:start w:val="1"/>
    </w:lvl>
    <w:lvl w:ilvl="1">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1)"/>
      <w:numFmt w:val="decimal"/>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1)"/>
      <w:numFmt w:val="decimal"/>
      <w:start w:val="1"/>
    </w:lvl>
  </w:abstractNum>
  <w:abstractNum w:abstractNumId="22">
    <w:nsid w:val="579BE4F1"/>
    <w:multiLevelType w:val="hybridMultilevel"/>
    <w:lvl w:ilvl="0">
      <w:lvlJc w:val="left"/>
      <w:lvlText w:val="%1."/>
      <w:numFmt w:val="decimal"/>
      <w:start w:val="1"/>
    </w:lvl>
  </w:abstractNum>
  <w:abstractNum w:abstractNumId="23">
    <w:nsid w:val="310C50B3"/>
    <w:multiLevelType w:val="hybridMultilevel"/>
    <w:lvl w:ilvl="0">
      <w:lvlJc w:val="left"/>
      <w:lvlText w:val="%1."/>
      <w:numFmt w:val="decimal"/>
      <w:start w:val="2"/>
    </w:lvl>
  </w:abstractNum>
  <w:abstractNum w:abstractNumId="24">
    <w:nsid w:val="5FF87E05"/>
    <w:multiLevelType w:val="hybridMultilevel"/>
    <w:lvl w:ilvl="0">
      <w:lvlJc w:val="left"/>
      <w:lvlText w:val="%1."/>
      <w:numFmt w:val="decimal"/>
      <w:start w:val="3"/>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lvl w:ilvl="1">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1."/>
      <w:numFmt w:val="decimal"/>
      <w:start w:val="4"/>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1."/>
      <w:numFmt w:val="decimal"/>
      <w:start w:val="5"/>
    </w:lvl>
  </w:abstractNum>
  <w:abstractNum w:abstractNumId="36">
    <w:nsid w:val="98A3148"/>
    <w:multiLevelType w:val="hybridMultilevel"/>
    <w:lvl w:ilvl="0">
      <w:lvlJc w:val="left"/>
      <w:lvlText w:val="%1."/>
      <w:numFmt w:val="decimal"/>
      <w:start w:val="7"/>
    </w:lvl>
  </w:abstractNum>
  <w:abstractNum w:abstractNumId="37">
    <w:nsid w:val="799D0247"/>
    <w:multiLevelType w:val="hybridMultilevel"/>
    <w:lvl w:ilvl="0">
      <w:lvlJc w:val="left"/>
      <w:lvlText w:val="%1."/>
      <w:numFmt w:val="decimal"/>
      <w:start w:val="10"/>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1."/>
      <w:numFmt w:val="decimal"/>
      <w:start w:val="11"/>
    </w:lvl>
  </w:abstractNum>
  <w:abstractNum w:abstractNumId="40">
    <w:nsid w:val="168E121F"/>
    <w:multiLevelType w:val="hybridMultilevel"/>
    <w:lvl w:ilvl="0">
      <w:lvlJc w:val="left"/>
      <w:lvlText w:val="%1."/>
      <w:numFmt w:val="decimal"/>
      <w:start w:val="12"/>
    </w:lvl>
  </w:abstractNum>
  <w:abstractNum w:abstractNumId="41">
    <w:nsid w:val="1EBA5D23"/>
    <w:multiLevelType w:val="hybridMultilevel"/>
    <w:lvl w:ilvl="0">
      <w:lvlJc w:val="left"/>
      <w:lvlText w:val="%1."/>
      <w:numFmt w:val="decimal"/>
      <w:start w:val="13"/>
    </w:lvl>
  </w:abstractNum>
  <w:abstractNum w:abstractNumId="42">
    <w:nsid w:val="661E3F1E"/>
    <w:multiLevelType w:val="hybridMultilevel"/>
    <w:lvl w:ilvl="0">
      <w:lvlJc w:val="left"/>
      <w:lvlText w:val="%1."/>
      <w:numFmt w:val="decimal"/>
      <w:start w:val="14"/>
    </w:lvl>
  </w:abstractNum>
  <w:abstractNum w:abstractNumId="43">
    <w:nsid w:val="5DC79EA8"/>
    <w:multiLevelType w:val="hybridMultilevel"/>
    <w:lvl w:ilvl="0">
      <w:lvlJc w:val="left"/>
      <w:lvlText w:val="%1."/>
      <w:numFmt w:val="decimal"/>
      <w:start w:val="15"/>
    </w:lvl>
  </w:abstractNum>
  <w:abstractNum w:abstractNumId="44">
    <w:nsid w:val="540A471C"/>
    <w:multiLevelType w:val="hybridMultilevel"/>
    <w:lvl w:ilvl="0">
      <w:lvlJc w:val="left"/>
      <w:lvlText w:val="%1."/>
      <w:numFmt w:val="decimal"/>
      <w:start w:val="16"/>
    </w:lvl>
  </w:abstractNum>
  <w:abstractNum w:abstractNumId="45">
    <w:nsid w:val="7BD3EE7B"/>
    <w:multiLevelType w:val="hybridMultilevel"/>
    <w:lvl w:ilvl="0">
      <w:lvlJc w:val="left"/>
      <w:lvlText w:val="%1."/>
      <w:numFmt w:val="decimal"/>
      <w:start w:val="17"/>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1)"/>
      <w:numFmt w:val="decimal"/>
      <w:start w:val="1"/>
    </w:lvl>
  </w:abstractNum>
  <w:abstractNum w:abstractNumId="48">
    <w:nsid w:val="BF72B14"/>
    <w:multiLevelType w:val="hybridMultilevel"/>
    <w:lvl w:ilvl="0">
      <w:lvlJc w:val="left"/>
      <w:lvlText w:val="(%1)"/>
      <w:numFmt w:val="decimal"/>
      <w:start w:val="1"/>
    </w:lvl>
  </w:abstractNum>
  <w:abstractNum w:abstractNumId="49">
    <w:nsid w:val="11447B73"/>
    <w:multiLevelType w:val="hybridMultilevel"/>
    <w:lvl w:ilvl="0">
      <w:lvlJc w:val="left"/>
      <w:lvlText w:val="%1."/>
      <w:numFmt w:val="decimal"/>
      <w:start w:val="18"/>
    </w:lvl>
  </w:abstractNum>
  <w:abstractNum w:abstractNumId="50">
    <w:nsid w:val="42963E5A"/>
    <w:multiLevelType w:val="hybridMultilevel"/>
    <w:lvl w:ilvl="0">
      <w:lvlJc w:val="left"/>
      <w:lvlText w:val="●"/>
      <w:numFmt w:val="bullet"/>
      <w:start w:val="1"/>
    </w:lvl>
    <w:lvl w:ilvl="1">
      <w:lvlJc w:val="left"/>
      <w:lvlText w:val="●"/>
      <w:numFmt w:val="bullet"/>
      <w:start w:val="1"/>
    </w:lvl>
  </w:abstractNum>
  <w:abstractNum w:abstractNumId="51">
    <w:nsid w:val="A0382C5"/>
    <w:multiLevelType w:val="hybridMultilevel"/>
    <w:lvl w:ilvl="0">
      <w:lvlJc w:val="left"/>
      <w:lvlText w:val="(%1)"/>
      <w:numFmt w:val="lowerLetter"/>
      <w:start w:val="1"/>
    </w:lvl>
  </w:abstractNum>
  <w:abstractNum w:abstractNumId="52">
    <w:nsid w:val="8F2B15E"/>
    <w:multiLevelType w:val="hybridMultilevel"/>
    <w:lvl w:ilvl="0">
      <w:lvlJc w:val="left"/>
      <w:lvlText w:val="%1."/>
      <w:numFmt w:val="decimal"/>
      <w:start w:val="19"/>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1)"/>
      <w:numFmt w:val="decimal"/>
      <w:start w:val="9"/>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1"/>
      <w:numFmt w:val="lowerLetter"/>
      <w:start w:val="1"/>
    </w:lvl>
    <w:lvl w:ilvl="1">
      <w:lvlJc w:val="left"/>
      <w:lvlText w:val="(%2)"/>
      <w:numFmt w:val="decimal"/>
      <w:start w:val="2"/>
    </w:lvl>
  </w:abstractNum>
  <w:abstractNum w:abstractNumId="57">
    <w:nsid w:val="60B6DF70"/>
    <w:multiLevelType w:val="hybridMultilevel"/>
    <w:lvl w:ilvl="0">
      <w:lvlJc w:val="left"/>
      <w:lvlText w:val="(%1)"/>
      <w:numFmt w:val="lowerLetter"/>
      <w:start w:val="2"/>
    </w:lvl>
    <w:lvl w:ilvl="1">
      <w:lvlJc w:val="left"/>
      <w:lvlText w:val="%2"/>
      <w:numFmt w:val="decimal"/>
      <w:start w:val="1"/>
    </w:lvl>
  </w:abstractNum>
  <w:abstractNum w:abstractNumId="58">
    <w:nsid w:val="6A5EE64"/>
    <w:multiLevelType w:val="hybridMultilevel"/>
    <w:lvl w:ilvl="0">
      <w:lvlJc w:val="left"/>
      <w:lvlText w:val="(%1)"/>
      <w:numFmt w:val="lowerRoman"/>
      <w:start w:val="3"/>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1."/>
      <w:numFmt w:val="decimal"/>
      <w:start w:val="1"/>
    </w:lvl>
  </w:abstractNum>
  <w:abstractNum w:abstractNumId="61">
    <w:nsid w:val="1A27709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2">
    <w:nsid w:val="71EA1109"/>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63">
    <w:nsid w:val="100F59DC"/>
    <w:multiLevelType w:val="hybridMultilevel"/>
    <w:lvl w:ilvl="0">
      <w:lvlJc w:val="left"/>
      <w:lvlText w:val="(%1)"/>
      <w:numFmt w:val="lowerLetter"/>
      <w:start w:val="1"/>
    </w:lvl>
  </w:abstractNum>
  <w:abstractNum w:abstractNumId="64">
    <w:nsid w:val="7FB7E0AA"/>
    <w:multiLevelType w:val="hybridMultilevel"/>
    <w:lvl w:ilvl="0">
      <w:lvlJc w:val="left"/>
      <w:lvlText w:val="%1"/>
      <w:numFmt w:val="decimal"/>
      <w:start w:val="1"/>
    </w:lvl>
    <w:lvl w:ilvl="1">
      <w:lvlJc w:val="left"/>
      <w:lvlText w:val="(%2)"/>
      <w:numFmt w:val="lowerLetter"/>
      <w:start w:val="3"/>
    </w:lvl>
  </w:abstractNum>
  <w:abstractNum w:abstractNumId="65">
    <w:nsid w:val="6EB5BD4"/>
    <w:multiLevelType w:val="hybridMultilevel"/>
    <w:lvl w:ilvl="0">
      <w:lvlJc w:val="left"/>
      <w:lvlText w:val="%1."/>
      <w:numFmt w:val="decimal"/>
      <w:start w:val="3"/>
    </w:lvl>
    <w:lvl w:ilvl="1">
      <w:lvlJc w:val="left"/>
      <w:lvlText w:val="%2"/>
      <w:numFmt w:val="lowerLetter"/>
      <w:start w:val="1"/>
    </w:lvl>
  </w:abstractNum>
  <w:abstractNum w:abstractNumId="66">
    <w:nsid w:val="6F6DD9AC"/>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67">
    <w:nsid w:val="94211F2"/>
    <w:multiLevelType w:val="hybridMultilevel"/>
    <w:lvl w:ilvl="0">
      <w:lvlJc w:val="left"/>
      <w:lvlText w:val="%1."/>
      <w:numFmt w:val="decimal"/>
      <w:start w:val="6"/>
    </w:lvl>
  </w:abstractNum>
  <w:abstractNum w:abstractNumId="68">
    <w:nsid w:val="885E1B"/>
    <w:multiLevelType w:val="hybridMultilevel"/>
    <w:lvl w:ilvl="0">
      <w:lvlJc w:val="left"/>
      <w:lvlText w:val="%1."/>
      <w:numFmt w:val="decimal"/>
      <w:start w:val="7"/>
    </w:lvl>
  </w:abstractNum>
  <w:abstractNum w:abstractNumId="69">
    <w:nsid w:val="76272110"/>
    <w:multiLevelType w:val="hybridMultilevel"/>
    <w:lvl w:ilvl="0">
      <w:lvlJc w:val="left"/>
      <w:lvlText w:val="%1."/>
      <w:numFmt w:val="decimal"/>
      <w:start w:val="8"/>
    </w:lvl>
  </w:abstractNum>
  <w:abstractNum w:abstractNumId="70">
    <w:nsid w:val="4C04A8AF"/>
    <w:multiLevelType w:val="hybridMultilevel"/>
    <w:lvl w:ilvl="0">
      <w:lvlJc w:val="left"/>
      <w:lvlText w:val="%1."/>
      <w:numFmt w:val="decimal"/>
      <w:start w:val="9"/>
    </w:lvl>
  </w:abstractNum>
  <w:abstractNum w:abstractNumId="71">
    <w:nsid w:val="1716703B"/>
    <w:multiLevelType w:val="hybridMultilevel"/>
    <w:lvl w:ilvl="0">
      <w:lvlJc w:val="left"/>
      <w:lvlText w:val="%1."/>
      <w:numFmt w:val="decimal"/>
      <w:start w:val="10"/>
    </w:lvl>
  </w:abstractNum>
  <w:abstractNum w:abstractNumId="72">
    <w:nsid w:val="14E17E33"/>
    <w:multiLevelType w:val="hybridMultilevel"/>
    <w:lvl w:ilvl="0">
      <w:lvlJc w:val="left"/>
      <w:lvlText w:val="%1."/>
      <w:numFmt w:val="decimal"/>
      <w:start w:val="11"/>
    </w:lvl>
  </w:abstractNum>
  <w:abstractNum w:abstractNumId="73">
    <w:nsid w:val="3222E7CD"/>
    <w:multiLevelType w:val="hybridMultilevel"/>
    <w:lvl w:ilvl="0">
      <w:lvlJc w:val="left"/>
      <w:lvlText w:val="%1."/>
      <w:numFmt w:val="decimal"/>
      <w:start w:val="12"/>
    </w:lvl>
  </w:abstractNum>
  <w:abstractNum w:abstractNumId="74">
    <w:nsid w:val="74DE0EE3"/>
    <w:multiLevelType w:val="hybridMultilevel"/>
    <w:lvl w:ilvl="0">
      <w:lvlJc w:val="left"/>
      <w:lvlText w:val="%1."/>
      <w:numFmt w:val="decimal"/>
      <w:start w:val="1"/>
    </w:lvl>
  </w:abstractNum>
  <w:abstractNum w:abstractNumId="75">
    <w:nsid w:val="68EBC550"/>
    <w:multiLevelType w:val="hybridMultilevel"/>
    <w:lvl w:ilvl="0">
      <w:lvlJc w:val="left"/>
      <w:lvlText w:val="%1"/>
      <w:numFmt w:val="decimal"/>
      <w:start w:val="1"/>
    </w:lvl>
    <w:lvl w:ilvl="1">
      <w:lvlJc w:val="left"/>
      <w:lvlText w:val="(%2)"/>
      <w:numFmt w:val="lowerLetter"/>
      <w:start w:val="1"/>
    </w:lvl>
  </w:abstractNum>
  <w:abstractNum w:abstractNumId="76">
    <w:nsid w:val="2DF6D648"/>
    <w:multiLevelType w:val="hybridMultilevel"/>
    <w:lvl w:ilvl="0">
      <w:lvlJc w:val="left"/>
      <w:lvlText w:val="%1."/>
      <w:numFmt w:val="decimal"/>
      <w:start w:val="2"/>
    </w:lvl>
    <w:lvl w:ilvl="1">
      <w:lvlJc w:val="left"/>
      <w:lvlText w:val="(%2)"/>
      <w:numFmt w:val="lowerLetter"/>
      <w:start w:val="1"/>
    </w:lvl>
  </w:abstractNum>
  <w:abstractNum w:abstractNumId="77">
    <w:nsid w:val="46B7D447"/>
    <w:multiLevelType w:val="hybridMultilevel"/>
    <w:lvl w:ilvl="0">
      <w:lvlJc w:val="left"/>
      <w:lvlText w:val="%1."/>
      <w:numFmt w:val="decimal"/>
      <w:start w:val="3"/>
    </w:lvl>
  </w:abstractNum>
  <w:abstractNum w:abstractNumId="78">
    <w:nsid w:val="4A2AC315"/>
    <w:multiLevelType w:val="hybridMultilevel"/>
    <w:lvl w:ilvl="0">
      <w:lvlJc w:val="left"/>
      <w:lvlText w:val="%1."/>
      <w:numFmt w:val="decimal"/>
      <w:start w:val="4"/>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decimal"/>
      <w:start w:val="5"/>
    </w:lvl>
  </w:abstractNum>
  <w:abstractNum w:abstractNumId="81">
    <w:nsid w:val="CC1016F"/>
    <w:multiLevelType w:val="hybridMultilevel"/>
    <w:lvl w:ilvl="0">
      <w:lvlJc w:val="left"/>
      <w:lvlText w:val="%1."/>
      <w:numFmt w:val="decimal"/>
      <w:start w:val="6"/>
    </w:lvl>
  </w:abstractNum>
  <w:abstractNum w:abstractNumId="82">
    <w:nsid w:val="43F18422"/>
    <w:multiLevelType w:val="hybridMultilevel"/>
    <w:lvl w:ilvl="0">
      <w:lvlJc w:val="left"/>
      <w:lvlText w:val="%1."/>
      <w:numFmt w:val="decimal"/>
      <w:start w:val="1"/>
    </w:lvl>
  </w:abstractNum>
  <w:abstractNum w:abstractNumId="83">
    <w:nsid w:val="60EF0119"/>
    <w:multiLevelType w:val="hybridMultilevel"/>
    <w:lvl w:ilvl="0">
      <w:lvlJc w:val="left"/>
      <w:lvlText w:val="%1"/>
      <w:numFmt w:val="decimal"/>
      <w:start w:val="1"/>
    </w:lvl>
    <w:lvl w:ilvl="1">
      <w:lvlJc w:val="left"/>
      <w:lvlText w:val="(%2)"/>
      <w:numFmt w:val="lowerLetter"/>
      <w:start w:val="1"/>
    </w:lvl>
  </w:abstractNum>
  <w:abstractNum w:abstractNumId="84">
    <w:nsid w:val="26F324BA"/>
    <w:multiLevelType w:val="hybridMultilevel"/>
    <w:lvl w:ilvl="0">
      <w:lvlJc w:val="left"/>
      <w:lvlText w:val="%1."/>
      <w:numFmt w:val="decimal"/>
      <w:start w:val="2"/>
    </w:lvl>
    <w:lvl w:ilvl="1">
      <w:lvlJc w:val="left"/>
      <w:lvlText w:val="(%2)"/>
      <w:numFmt w:val="lowerLetter"/>
      <w:start w:val="1"/>
    </w:lvl>
  </w:abstractNum>
  <w:abstractNum w:abstractNumId="85">
    <w:nsid w:val="7F01579B"/>
    <w:multiLevelType w:val="hybridMultilevel"/>
    <w:lvl w:ilvl="0">
      <w:lvlJc w:val="left"/>
      <w:lvlText w:val="%1."/>
      <w:numFmt w:val="decimal"/>
      <w:start w:val="3"/>
    </w:lvl>
  </w:abstractNum>
  <w:abstractNum w:abstractNumId="86">
    <w:nsid w:val="49DA307D"/>
    <w:multiLevelType w:val="hybridMultilevel"/>
    <w:lvl w:ilvl="0">
      <w:lvlJc w:val="left"/>
      <w:lvlText w:val="%1."/>
      <w:numFmt w:val="decimal"/>
      <w:start w:val="4"/>
    </w:lvl>
  </w:abstractNum>
  <w:abstractNum w:abstractNumId="87">
    <w:nsid w:val="7055A5F5"/>
    <w:multiLevelType w:val="hybridMultilevel"/>
    <w:lvl w:ilvl="0">
      <w:lvlJc w:val="left"/>
      <w:lvlText w:val="(%1)"/>
      <w:numFmt w:val="lowerLetter"/>
      <w:start w:val="1"/>
    </w:lvl>
  </w:abstractNum>
  <w:abstractNum w:abstractNumId="88">
    <w:nsid w:val="5FB8370B"/>
    <w:multiLevelType w:val="hybridMultilevel"/>
    <w:lvl w:ilvl="0">
      <w:lvlJc w:val="left"/>
      <w:lvlText w:val="%1."/>
      <w:numFmt w:val="decimal"/>
      <w:start w:val="5"/>
    </w:lvl>
  </w:abstractNum>
  <w:abstractNum w:abstractNumId="89">
    <w:nsid w:val="50801EE1"/>
    <w:multiLevelType w:val="hybridMultilevel"/>
    <w:lvl w:ilvl="0">
      <w:lvlJc w:val="left"/>
      <w:lvlText w:val="%1."/>
      <w:numFmt w:val="decimal"/>
      <w:start w:val="6"/>
    </w:lvl>
  </w:abstractNum>
  <w:abstractNum w:abstractNumId="90">
    <w:nsid w:val="488AC1A"/>
    <w:multiLevelType w:val="hybridMultilevel"/>
    <w:lvl w:ilvl="0">
      <w:lvlJc w:val="left"/>
      <w:lvlText w:val="%1."/>
      <w:numFmt w:val="decimal"/>
      <w:start w:val="7"/>
    </w:lvl>
  </w:abstractNum>
  <w:abstractNum w:abstractNumId="91">
    <w:nsid w:val="5FB8011C"/>
    <w:multiLevelType w:val="hybridMultilevel"/>
    <w:lvl w:ilvl="0">
      <w:lvlJc w:val="left"/>
      <w:lvlText w:val="%1."/>
      <w:numFmt w:val="decimal"/>
      <w:start w:val="1"/>
    </w:lvl>
  </w:abstractNum>
  <w:abstractNum w:abstractNumId="92">
    <w:nsid w:val="6AA78F7F"/>
    <w:multiLevelType w:val="hybridMultilevel"/>
    <w:lvl w:ilvl="0">
      <w:lvlJc w:val="left"/>
      <w:lvlText w:val="%1"/>
      <w:numFmt w:val="decimal"/>
      <w:start w:val="1"/>
    </w:lvl>
    <w:lvl w:ilvl="1">
      <w:lvlJc w:val="left"/>
      <w:lvlText w:val="(%2)"/>
      <w:numFmt w:val="lowerLetter"/>
      <w:start w:val="1"/>
    </w:lvl>
  </w:abstractNum>
  <w:abstractNum w:abstractNumId="93">
    <w:nsid w:val="7672BD23"/>
    <w:multiLevelType w:val="hybridMultilevel"/>
    <w:lvl w:ilvl="0">
      <w:lvlJc w:val="left"/>
      <w:lvlText w:val="%1."/>
      <w:numFmt w:val="decimal"/>
      <w:start w:val="2"/>
    </w:lvl>
    <w:lvl w:ilvl="1">
      <w:lvlJc w:val="left"/>
      <w:lvlText w:val="(%2)"/>
      <w:numFmt w:val="lowerLetter"/>
      <w:start w:val="1"/>
    </w:lvl>
  </w:abstractNum>
  <w:abstractNum w:abstractNumId="94">
    <w:nsid w:val="6FC75AF8"/>
    <w:multiLevelType w:val="hybridMultilevel"/>
    <w:lvl w:ilvl="0">
      <w:lvlJc w:val="left"/>
      <w:lvlText w:val="%1."/>
      <w:numFmt w:val="decimal"/>
      <w:start w:val="3"/>
    </w:lvl>
  </w:abstractNum>
  <w:abstractNum w:abstractNumId="95">
    <w:nsid w:val="6A5F7029"/>
    <w:multiLevelType w:val="hybridMultilevel"/>
    <w:lvl w:ilvl="0">
      <w:lvlJc w:val="left"/>
      <w:lvlText w:val="%1."/>
      <w:numFmt w:val="decimal"/>
      <w:start w:val="4"/>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decimal"/>
      <w:start w:val="5"/>
    </w:lvl>
  </w:abstractNum>
  <w:abstractNum w:abstractNumId="98">
    <w:nsid w:val="73A1821B"/>
    <w:multiLevelType w:val="hybridMultilevel"/>
    <w:lvl w:ilvl="0">
      <w:lvlJc w:val="left"/>
      <w:lvlText w:val="%1."/>
      <w:numFmt w:val="decimal"/>
      <w:start w:val="6"/>
    </w:lvl>
  </w:abstractNum>
  <w:abstractNum w:abstractNumId="99">
    <w:nsid w:val="7DE67713"/>
    <w:multiLevelType w:val="hybridMultilevel"/>
    <w:lvl w:ilvl="0">
      <w:lvlJc w:val="left"/>
      <w:lvlText w:val="%1."/>
      <w:numFmt w:val="decimal"/>
      <w:start w:val="1"/>
    </w:lvl>
    <w:lvl w:ilvl="1">
      <w:lvlJc w:val="left"/>
      <w:lvlText w:val="%2)"/>
      <w:numFmt w:val="lowerLetter"/>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5" Type="http://schemas.openxmlformats.org/officeDocument/2006/relationships/image" Target="media/image100.png"/><Relationship Id="rId143"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07" Type="http://schemas.openxmlformats.org/officeDocument/2006/relationships/hyperlink" Target="http://www.sec.gov/Archives/edgar/data/87347/000119312516532046/d176097dex31.htm" TargetMode="External"/><Relationship Id="rId108" Type="http://schemas.openxmlformats.org/officeDocument/2006/relationships/hyperlink" Target="http://www.sec.gov/Archives/edgar/data/87347/000119312517013293/d333168dex31.htm" TargetMode="External"/><Relationship Id="rId109" Type="http://schemas.openxmlformats.org/officeDocument/2006/relationships/hyperlink" Target="http://www.sec.gov/Archives/edgar/data/87347/000119312513460494/d637672dex41.htm" TargetMode="External"/><Relationship Id="rId110" Type="http://schemas.openxmlformats.org/officeDocument/2006/relationships/hyperlink" Target="http://www.sec.gov/Archives/edgar/data/87347/000119312513460494/d637672dex42.htm" TargetMode="External"/><Relationship Id="rId111" Type="http://schemas.openxmlformats.org/officeDocument/2006/relationships/hyperlink" Target="http://www.sec.gov/Archives/edgar/data/87347/000119312509024868/dex102.htm" TargetMode="External"/><Relationship Id="rId112" Type="http://schemas.openxmlformats.org/officeDocument/2006/relationships/hyperlink" Target="http://www.sec.gov/Archives/edgar/data/87347/000119312509024868/dex103.htm" TargetMode="External"/><Relationship Id="rId113" Type="http://schemas.openxmlformats.org/officeDocument/2006/relationships/hyperlink" Target="http://www.sec.gov/Archives/edgar/data/87347/000119312513169511/d502964dex103.htm" TargetMode="External"/><Relationship Id="rId114" Type="http://schemas.openxmlformats.org/officeDocument/2006/relationships/hyperlink" Target="http://www.sec.gov/Archives/edgar/data/87347/000119312509024868/dex104.htm" TargetMode="External"/><Relationship Id="rId115" Type="http://schemas.openxmlformats.org/officeDocument/2006/relationships/hyperlink" Target="http://www.sec.gov/Archives/edgar/data/87347/000119312513299983/d550034dex104.htm" TargetMode="External"/><Relationship Id="rId116" Type="http://schemas.openxmlformats.org/officeDocument/2006/relationships/hyperlink" Target="http://www.sec.gov/Archives/edgar/data/87347/000119312509024868/dex105.htm" TargetMode="External"/><Relationship Id="rId117" Type="http://schemas.openxmlformats.org/officeDocument/2006/relationships/hyperlink" Target="http://www.sec.gov/Archives/edgar/data/87347/000119312513299983/d550034dex105.htm" TargetMode="External"/><Relationship Id="rId118" Type="http://schemas.openxmlformats.org/officeDocument/2006/relationships/hyperlink" Target="http://www.sec.gov/Archives/edgar/data/87347/000119312512158712/d329155dex10.htm" TargetMode="External"/><Relationship Id="rId119" Type="http://schemas.openxmlformats.org/officeDocument/2006/relationships/hyperlink" Target="http://www.sec.gov/Archives/edgar/data/87347/000119312509024868/dex106.htm" TargetMode="External"/><Relationship Id="rId120" Type="http://schemas.openxmlformats.org/officeDocument/2006/relationships/hyperlink" Target="http://www.sec.gov/Archives/edgar/data/87347/000119312513299983/d550034dex106.htm" TargetMode="External"/><Relationship Id="rId121" Type="http://schemas.openxmlformats.org/officeDocument/2006/relationships/hyperlink" Target="http://www.sec.gov/Archives/edgar/data/87347/000119312509024868/dex108.htm" TargetMode="External"/><Relationship Id="rId122" Type="http://schemas.openxmlformats.org/officeDocument/2006/relationships/hyperlink" Target="http://www.sec.gov/Archives/edgar/data/87347/000119312513299983/d550034dex107.htm" TargetMode="External"/><Relationship Id="rId123" Type="http://schemas.openxmlformats.org/officeDocument/2006/relationships/hyperlink" Target="http://www.sec.gov/Archives/edgar/data/87347/000119312510080470/dex101.htm" TargetMode="External"/><Relationship Id="rId124" Type="http://schemas.openxmlformats.org/officeDocument/2006/relationships/hyperlink" Target="http://www.sec.gov/Archives/edgar/data/87347/000119312513299983/d550034dex108.htm" TargetMode="External"/><Relationship Id="rId126" Type="http://schemas.openxmlformats.org/officeDocument/2006/relationships/hyperlink" Target="http://www.sec.gov/Archives/edgar/data/87347/000156459017000589/slb-ex1016_1235.htm" TargetMode="External"/><Relationship Id="rId127" Type="http://schemas.openxmlformats.org/officeDocument/2006/relationships/hyperlink" Target="http://www.sec.gov/Archives/edgar/data/87347/000156459014001564/slb-ex10_20140331249.htm" TargetMode="External"/><Relationship Id="rId128" Type="http://schemas.openxmlformats.org/officeDocument/2006/relationships/hyperlink" Target="http://www.sec.gov/Archives/edgar/data/87347/000119312513169511/d502964dex107.htm" TargetMode="External"/><Relationship Id="rId129" Type="http://schemas.openxmlformats.org/officeDocument/2006/relationships/hyperlink" Target="http://www.sec.gov/Archives/edgar/data/87347/000119312513299983/d550034dex1010.htm" TargetMode="External"/><Relationship Id="rId130" Type="http://schemas.openxmlformats.org/officeDocument/2006/relationships/hyperlink" Target="http://www.sec.gov/Archives/edgar/data/87347/000119312513299983/d550034dex1011.htm" TargetMode="External"/><Relationship Id="rId131" Type="http://schemas.openxmlformats.org/officeDocument/2006/relationships/hyperlink" Target="http://www.sec.gov/Archives/edgar/data/87347/000156459017007214/slb-ex103_113.htm" TargetMode="External"/><Relationship Id="rId132" Type="http://schemas.openxmlformats.org/officeDocument/2006/relationships/hyperlink" Target="http://www.sec.gov/Archives/edgar/data/87347/000119312513085892/d470834ddef14a.htm" TargetMode="External"/><Relationship Id="rId133" Type="http://schemas.openxmlformats.org/officeDocument/2006/relationships/hyperlink" Target="http://www.sec.gov/Archives/edgar/data/87347/000119312513299983/d550034dex109.htm" TargetMode="External"/><Relationship Id="rId134" Type="http://schemas.openxmlformats.org/officeDocument/2006/relationships/hyperlink" Target="http://www.sec.gov/Archives/edgar/data/87347/000156459015005555/slb-ex101_758.htm" TargetMode="External"/><Relationship Id="rId135" Type="http://schemas.openxmlformats.org/officeDocument/2006/relationships/hyperlink" Target="http://www.sec.gov/Archives/edgar/data/87347/000156459015005555/slb-ex102_624.htm" TargetMode="External"/><Relationship Id="rId136" Type="http://schemas.openxmlformats.org/officeDocument/2006/relationships/hyperlink" Target="http://www.sec.gov/Archives/edgar/data/87347/000156459015005555/slb-ex103_629.htm" TargetMode="External"/><Relationship Id="rId137" Type="http://schemas.openxmlformats.org/officeDocument/2006/relationships/hyperlink" Target="http://www.sec.gov/Archives/edgar/data/87347/000130817917000018/lslb2017_def14a.htm" TargetMode="External"/><Relationship Id="rId138" Type="http://schemas.openxmlformats.org/officeDocument/2006/relationships/hyperlink" Target="http://www.sec.gov/Archives/edgar/data/87347/000156459017007214/slb-ex106_162.htm" TargetMode="External"/><Relationship Id="rId139" Type="http://schemas.openxmlformats.org/officeDocument/2006/relationships/hyperlink" Target="http://www.sec.gov/Archives/edgar/data/87347/000156459017007214/slb-ex104_112.htm" TargetMode="External"/><Relationship Id="rId140" Type="http://schemas.openxmlformats.org/officeDocument/2006/relationships/hyperlink" Target="http://www.sec.gov/Archives/edgar/data/87347/000156459017007214/slb-ex105_161.htm" TargetMode="External"/><Relationship Id="rId141" Type="http://schemas.openxmlformats.org/officeDocument/2006/relationships/hyperlink" Target="http://www.sec.gov/Archives/edgar/data/87347/000156459016016687/slb-ex101_169.htm" TargetMode="External"/><Relationship Id="rId142" Type="http://schemas.openxmlformats.org/officeDocument/2006/relationships/hyperlink" Target="http://www.sec.gov/Archives/edgar/data/87347/000156459017007214/slb-ex101_114.htm" TargetMode="External"/><Relationship Id="rId144" Type="http://schemas.openxmlformats.org/officeDocument/2006/relationships/hyperlink" Target="http://www.sec.gov/Archives/edgar/data/87347/000156459017007214/slb-ex102_115.htm" TargetMode="External"/><Relationship Id="rId145" Type="http://schemas.openxmlformats.org/officeDocument/2006/relationships/hyperlink" Target="http://www.sec.gov/Archives/edgar/data/87347/000156459017000589/slb-ex1038_1231.htm" TargetMode="External"/><Relationship Id="rId146" Type="http://schemas.openxmlformats.org/officeDocument/2006/relationships/hyperlink" Target="http://www.sec.gov/Archives/edgar/data/87347/000156459017000589/slb-ex1039_1295.htm" TargetMode="External"/><Relationship Id="rId147" Type="http://schemas.openxmlformats.org/officeDocument/2006/relationships/hyperlink" Target="http://www.sec.gov/Archives/edgar/data/87347/000156459017000589/slb-ex1040_1293.htm" TargetMode="External"/><Relationship Id="rId148" Type="http://schemas.openxmlformats.org/officeDocument/2006/relationships/hyperlink" Target="http://www.sec.gov/Archives/edgar/data/87347/000156459017000589/slb-ex1041_1230.htm" TargetMode="External"/><Relationship Id="rId149" Type="http://schemas.openxmlformats.org/officeDocument/2006/relationships/hyperlink" Target="http://www.sec.gov/Archives/edgar/data/87347/000156459017000589/slb-ex1043_1291.htm" TargetMode="External"/><Relationship Id="rId150" Type="http://schemas.openxmlformats.org/officeDocument/2006/relationships/hyperlink" Target="http://www.sec.gov/Archives/edgar/data/87347/000156459017000589/slb-ex1044_1292.htm" TargetMode="External"/><Relationship Id="rId151" Type="http://schemas.openxmlformats.org/officeDocument/2006/relationships/hyperlink" Target="http://www.sec.gov/Archives/edgar/data/87347/000156459017000589/slb-ex1045_1229.htm" TargetMode="External"/><Relationship Id="rId152" Type="http://schemas.openxmlformats.org/officeDocument/2006/relationships/hyperlink" Target="http://www.sec.gov/Archives/edgar/data/87347/000119312513405191/d612968d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2019-12-29T02:42:35Z</dcterms:created>
  <dcterms:modified xsi:type="dcterms:W3CDTF">2019-12-29T02:42:35Z</dcterms:modified>
</cp:coreProperties>
</file>