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203835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231140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January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217805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SLB N.V. (SLB LIMITED)</w:t>
      </w:r>
    </w:p>
    <w:p>
      <w:pPr>
        <w:spacing w:after="0" w:line="4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60" w:right="439" w:bottom="1440" w:gutter="0" w:footer="0" w:header="0"/>
        </w:sectPr>
      </w:pPr>
    </w:p>
    <w:p>
      <w:pPr>
        <w:spacing w:after="0" w:line="200" w:lineRule="exact"/>
        <w:rPr>
          <w:sz w:val="24"/>
          <w:szCs w:val="24"/>
          <w:color w:val="auto"/>
        </w:rPr>
      </w:pPr>
    </w:p>
    <w:p>
      <w:pPr>
        <w:spacing w:after="0" w:line="372"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45" w:lineRule="exact"/>
        <w:rPr>
          <w:sz w:val="24"/>
          <w:szCs w:val="24"/>
          <w:color w:val="auto"/>
        </w:rPr>
      </w:pPr>
    </w:p>
    <w:p>
      <w:pPr>
        <w:sectPr>
          <w:pgSz w:w="11900" w:h="16838" w:orient="portrait"/>
          <w:cols w:equalWidth="0" w:num="3">
            <w:col w:w="4624" w:space="720"/>
            <w:col w:w="2720" w:space="720"/>
            <w:col w:w="2240"/>
          </w:cols>
          <w:pgMar w:left="436" w:top="460"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180" w:lineRule="exact"/>
        <w:rPr>
          <w:sz w:val="24"/>
          <w:szCs w:val="24"/>
          <w:color w:val="auto"/>
        </w:rPr>
      </w:pPr>
    </w:p>
    <w:p>
      <w:pPr>
        <w:sectPr>
          <w:pgSz w:w="11900" w:h="16838" w:orient="portrait"/>
          <w:cols w:equalWidth="0" w:num="3">
            <w:col w:w="4444" w:space="720"/>
            <w:col w:w="2760" w:space="720"/>
            <w:col w:w="2380"/>
          </w:cols>
          <w:pgMar w:left="436" w:top="460"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77056</w:t>
      </w:r>
    </w:p>
    <w:p>
      <w:pPr>
        <w:jc w:val="center"/>
        <w:ind w:right="16"/>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460" w:right="439" w:bottom="1440" w:gutter="0" w:footer="0" w:header="0"/>
          <w:type w:val="continuous"/>
        </w:sectPr>
      </w:pPr>
    </w:p>
    <w:p>
      <w:pPr>
        <w:spacing w:after="0" w:line="15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214630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20"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6"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60"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04" w:lineRule="exact"/>
        <w:rPr>
          <w:sz w:val="20"/>
          <w:szCs w:val="20"/>
          <w:color w:val="auto"/>
        </w:rPr>
      </w:pPr>
    </w:p>
    <w:p>
      <w:pPr>
        <w:ind w:left="4" w:firstLine="440"/>
        <w:spacing w:after="0" w:line="244" w:lineRule="auto"/>
        <w:rPr>
          <w:sz w:val="20"/>
          <w:szCs w:val="20"/>
          <w:color w:val="auto"/>
        </w:rPr>
      </w:pPr>
      <w:r>
        <w:rPr>
          <w:rFonts w:ascii="Arial" w:cs="Arial" w:eastAsia="Arial" w:hAnsi="Arial"/>
          <w:sz w:val="18"/>
          <w:szCs w:val="18"/>
          <w:color w:val="auto"/>
        </w:rPr>
        <w:t>The Fourth-Quarter and Full-Year 2025 Earnings Release furnished as Exhibit 99 hereto, which is incorporated by reference into this Item 2.02, was posted on the SLB internet website (</w:t>
      </w:r>
      <w:r>
        <w:rPr>
          <w:rFonts w:ascii="Arial" w:cs="Arial" w:eastAsia="Arial" w:hAnsi="Arial"/>
          <w:sz w:val="18"/>
          <w:szCs w:val="18"/>
          <w:u w:val="single" w:color="auto"/>
          <w:color w:val="auto"/>
        </w:rPr>
        <w:t>https://investorcenter.slb.com/financial-information/quarterly-results</w:t>
      </w:r>
      <w:r>
        <w:rPr>
          <w:rFonts w:ascii="Arial" w:cs="Arial" w:eastAsia="Arial" w:hAnsi="Arial"/>
          <w:sz w:val="18"/>
          <w:szCs w:val="18"/>
          <w:color w:val="auto"/>
        </w:rPr>
        <w:t>) on January 23, 2026.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32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8"/>
          <w:szCs w:val="18"/>
          <w:b w:val="1"/>
          <w:bCs w:val="1"/>
          <w:color w:val="auto"/>
        </w:rPr>
        <w:t>Regulation FD Disclosure.</w:t>
      </w:r>
    </w:p>
    <w:p>
      <w:pPr>
        <w:spacing w:after="0" w:line="104" w:lineRule="exact"/>
        <w:rPr>
          <w:sz w:val="20"/>
          <w:szCs w:val="20"/>
          <w:color w:val="auto"/>
        </w:rPr>
      </w:pPr>
    </w:p>
    <w:p>
      <w:pPr>
        <w:ind w:left="4" w:right="120" w:firstLine="440"/>
        <w:spacing w:after="0" w:line="247" w:lineRule="auto"/>
        <w:rPr>
          <w:sz w:val="20"/>
          <w:szCs w:val="20"/>
          <w:color w:val="auto"/>
        </w:rPr>
      </w:pPr>
      <w:r>
        <w:rPr>
          <w:rFonts w:ascii="Arial" w:cs="Arial" w:eastAsia="Arial" w:hAnsi="Arial"/>
          <w:sz w:val="18"/>
          <w:szCs w:val="18"/>
          <w:color w:val="auto"/>
        </w:rPr>
        <w:t>On January 23, 2026, SLB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6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17"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84" w:hanging="84"/>
        <w:spacing w:after="0"/>
        <w:tabs>
          <w:tab w:leader="none" w:pos="84" w:val="left"/>
        </w:tabs>
        <w:numPr>
          <w:ilvl w:val="0"/>
          <w:numId w:val="3"/>
        </w:numPr>
        <w:rPr>
          <w:rFonts w:ascii="Arial" w:cs="Arial" w:eastAsia="Arial" w:hAnsi="Arial"/>
          <w:sz w:val="16"/>
          <w:szCs w:val="16"/>
          <w:color w:val="auto"/>
        </w:rPr>
      </w:pPr>
      <w:r>
        <w:rPr>
          <w:rFonts w:ascii="Arial" w:cs="Arial" w:eastAsia="Arial" w:hAnsi="Arial"/>
          <w:sz w:val="16"/>
          <w:szCs w:val="16"/>
          <w:color w:val="auto"/>
        </w:rPr>
        <w:t>99</w:t>
      </w:r>
      <w:r>
        <w:rPr>
          <w:rFonts w:ascii="Arial" w:cs="Arial" w:eastAsia="Arial" w:hAnsi="Arial"/>
          <w:sz w:val="17"/>
          <w:szCs w:val="17"/>
          <w:u w:val="single" w:color="auto"/>
          <w:color w:val="0000EE"/>
        </w:rPr>
        <w:t>Fourth-Quarter and Full-Year 2025 Earnings Release.</w:t>
      </w:r>
    </w:p>
    <w:p>
      <w:pPr>
        <w:spacing w:after="0" w:line="129"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4"/>
          </w:cols>
          <w:pgMar w:left="436" w:top="296" w:right="4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SLB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January 23, 2026</w:t>
      </w:r>
    </w:p>
    <w:p>
      <w:pPr>
        <w:sectPr>
          <w:pgSz w:w="11900" w:h="16838" w:orient="portrait"/>
          <w:cols w:equalWidth="0" w:num="1">
            <w:col w:w="10840"/>
          </w:cols>
          <w:pgMar w:left="440" w:top="296" w:right="6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6040755</wp:posOffset>
            </wp:positionH>
            <wp:positionV relativeFrom="paragraph">
              <wp:posOffset>-67310</wp:posOffset>
            </wp:positionV>
            <wp:extent cx="951865" cy="660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1865" cy="66040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SLB Announces Fourth-Quarter and Full-Year 2025 Results,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Dividend and Commits to Return More Than $4 Billion to Shareholders in 2026</w:t>
      </w:r>
    </w:p>
    <w:p>
      <w:pPr>
        <w:spacing w:after="0" w:line="266"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revenue of $9.75 billion increased 9% sequentially and 5% year on year</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GAAP EPS of $0.55 increased 10% sequentially and decreased 29% year on year</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EPS, excluding charges and credits, of $0.78 increased 13% sequentially and declined 15% year on year</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net income attributable to SLB of $824 million increased 12% sequentially and decreased 25% year on year</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adjusted EBITDA of $2.33 billion increased 13% sequentially and decreased 2% year on year</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cash flow from operations was $3.01 billion and free cash flow was $2.29 billion</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approved a 3.5% increase in quarterly cash dividend to $0.295 per share</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revenue of $35.71 billion decreased 2% year on year</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GAAP EPS of $2.35 decreased 24% year on year</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EPS, excluding charges and credits, of $2.93 decreased 14% year on year</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net income attributable to SLB of $3.37 billion decreased 24% year on year</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adjusted EBITDA of $8.46 billion decreased 7% year on year</w:t>
      </w:r>
    </w:p>
    <w:p>
      <w:pPr>
        <w:spacing w:after="0" w:line="117" w:lineRule="exact"/>
        <w:rPr>
          <w:rFonts w:ascii="Arial" w:cs="Arial" w:eastAsia="Arial" w:hAnsi="Arial"/>
          <w:sz w:val="18"/>
          <w:szCs w:val="18"/>
          <w:color w:val="auto"/>
        </w:rPr>
      </w:pPr>
    </w:p>
    <w:p>
      <w:pPr>
        <w:ind w:left="960" w:right="20" w:hanging="424"/>
        <w:spacing w:after="0" w:line="271"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cash flow from operations was $6.49 billion and free cash flow was $4.11 billion, including $276 million of acquisition-related payments</w:t>
      </w:r>
    </w:p>
    <w:p>
      <w:pPr>
        <w:sectPr>
          <w:pgSz w:w="11900" w:h="16838" w:orient="portrait"/>
          <w:cols w:equalWidth="0" w:num="1">
            <w:col w:w="11020"/>
          </w:cols>
          <w:pgMar w:left="440" w:top="122" w:right="439" w:bottom="1440" w:gutter="0" w:footer="0" w:header="0"/>
        </w:sectPr>
      </w:pPr>
    </w:p>
    <w:bookmarkStart w:id="4" w:name="page5"/>
    <w:bookmarkEnd w:id="4"/>
    <w:p>
      <w:pPr>
        <w:ind w:left="4" w:right="1620"/>
        <w:spacing w:after="0" w:line="40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HOUSTON, January 23, 2026 — </w:t>
      </w:r>
      <w:r>
        <w:rPr>
          <w:rFonts w:ascii="Arial" w:cs="Arial" w:eastAsia="Arial" w:hAnsi="Arial"/>
          <w:sz w:val="18"/>
          <w:szCs w:val="18"/>
          <w:color w:val="auto"/>
        </w:rPr>
        <w:t>SLB (NYSE: SLB) today announced results for the fourth-quarter and full-year 2025.</w:t>
      </w:r>
      <w:r>
        <w:rPr>
          <w:rFonts w:ascii="Arial" w:cs="Arial" w:eastAsia="Arial" w:hAnsi="Arial"/>
          <w:sz w:val="18"/>
          <w:szCs w:val="18"/>
          <w:b w:val="1"/>
          <w:bCs w:val="1"/>
          <w:color w:val="auto"/>
        </w:rPr>
        <w:t xml:space="preserve"> Fourth-Quarter Results</w:t>
      </w:r>
    </w:p>
    <w:p>
      <w:pPr>
        <w:spacing w:after="0" w:line="65"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40" w:type="dxa"/>
            <w:vAlign w:val="bottom"/>
            <w:gridSpan w:val="7"/>
          </w:tcPr>
          <w:p>
            <w:pPr>
              <w:jc w:val="right"/>
              <w:ind w:right="220"/>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8"/>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Change</w:t>
            </w:r>
          </w:p>
        </w:tc>
      </w:tr>
      <w:tr>
        <w:trPr>
          <w:trHeight w:val="146"/>
        </w:trPr>
        <w:tc>
          <w:tcPr>
            <w:tcW w:w="5820" w:type="dxa"/>
            <w:vAlign w:val="bottom"/>
          </w:tcPr>
          <w:p>
            <w:pPr>
              <w:spacing w:after="0"/>
              <w:rPr>
                <w:sz w:val="12"/>
                <w:szCs w:val="12"/>
                <w:color w:val="auto"/>
              </w:rPr>
            </w:pPr>
          </w:p>
        </w:tc>
        <w:tc>
          <w:tcPr>
            <w:tcW w:w="980" w:type="dxa"/>
            <w:vAlign w:val="bottom"/>
            <w:tcBorders>
              <w:top w:val="single" w:sz="8" w:color="auto"/>
            </w:tcBorders>
            <w:gridSpan w:val="4"/>
          </w:tcPr>
          <w:p>
            <w:pPr>
              <w:ind w:left="20"/>
              <w:spacing w:after="0" w:line="147" w:lineRule="exact"/>
              <w:rPr>
                <w:sz w:val="20"/>
                <w:szCs w:val="20"/>
                <w:color w:val="auto"/>
              </w:rPr>
            </w:pPr>
            <w:r>
              <w:rPr>
                <w:rFonts w:ascii="Arial" w:cs="Arial" w:eastAsia="Arial" w:hAnsi="Arial"/>
                <w:sz w:val="14"/>
                <w:szCs w:val="14"/>
                <w:b w:val="1"/>
                <w:bCs w:val="1"/>
                <w:color w:val="auto"/>
              </w:rPr>
              <w:t>Dec. 31,</w:t>
            </w:r>
          </w:p>
        </w:tc>
        <w:tc>
          <w:tcPr>
            <w:tcW w:w="8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Sept. 30,</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Dec. 31,</w:t>
            </w:r>
          </w:p>
        </w:tc>
        <w:tc>
          <w:tcPr>
            <w:tcW w:w="4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58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2025</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96"/>
              </w:rPr>
              <w:t>2024</w:t>
            </w:r>
          </w:p>
        </w:tc>
        <w:tc>
          <w:tcPr>
            <w:tcW w:w="4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4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Year-on-year</w:t>
            </w:r>
          </w:p>
        </w:tc>
        <w:tc>
          <w:tcPr>
            <w:tcW w:w="220" w:type="dxa"/>
            <w:vAlign w:val="bottom"/>
            <w:tcBorders>
              <w:bottom w:val="single" w:sz="8" w:color="CCEEFF"/>
            </w:tcBorders>
          </w:tcPr>
          <w:p>
            <w:pPr>
              <w:spacing w:after="0"/>
              <w:rPr>
                <w:sz w:val="14"/>
                <w:szCs w:val="14"/>
                <w:color w:val="auto"/>
              </w:rPr>
            </w:pPr>
          </w:p>
        </w:tc>
      </w:tr>
      <w:tr>
        <w:trPr>
          <w:trHeight w:val="196"/>
        </w:trPr>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7"/>
              </w:rPr>
              <w:t>9,745</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8,928</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9,284</w:t>
            </w:r>
          </w:p>
        </w:tc>
        <w:tc>
          <w:tcPr>
            <w:tcW w:w="4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b w:val="1"/>
                <w:bCs w:val="1"/>
                <w:color w:val="auto"/>
              </w:rPr>
              <w:t>9%</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Income before taxes – GAAP basis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943</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1,000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1,387</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margin – GAAP basis</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-153 bps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 bps</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income attributable to SLB – GAAP basis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824</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739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1,095</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Diluted EPS – GAAP basis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0.55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0.77</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Adjusted EBITDA*</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2,331</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2,061</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2,382</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23.9%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83 bps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 bps</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Pretax segment operating income*</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1,807</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1,626</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1,918</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Pretax segment operating margin*</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18.5%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33 bps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 bps</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income attributable to SLB, excluding charges &amp; credits*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1,179</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1,027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1,311</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Diluted EPS, excluding charges &amp; credits*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0.78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0.92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color w:val="auto"/>
              </w:rPr>
              <w:t>Revenue Geography</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7,453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6,916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7,483</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North America</w:t>
            </w: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2,212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1,930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1,752</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n/m</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0"/>
        </w:trPr>
        <w:tc>
          <w:tcPr>
            <w:tcW w:w="5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58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9,745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8,928</w:t>
            </w:r>
          </w:p>
        </w:tc>
        <w:tc>
          <w:tcPr>
            <w:tcW w:w="240" w:type="dxa"/>
            <w:vAlign w:val="bottom"/>
            <w:gridSpan w:val="2"/>
          </w:tcPr>
          <w:p>
            <w:pPr>
              <w:ind w:left="120"/>
              <w:spacing w:after="0"/>
              <w:rPr>
                <w:sz w:val="20"/>
                <w:szCs w:val="20"/>
                <w:color w:val="auto"/>
              </w:rPr>
            </w:pPr>
            <w:r>
              <w:rPr>
                <w:rFonts w:ascii="Arial" w:cs="Arial" w:eastAsia="Arial" w:hAnsi="Arial"/>
                <w:sz w:val="18"/>
                <w:szCs w:val="18"/>
                <w:u w:val="single" w:color="auto"/>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9,284</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100"/>
        <w:spacing w:after="0" w:line="247" w:lineRule="auto"/>
        <w:rPr>
          <w:sz w:val="20"/>
          <w:szCs w:val="20"/>
          <w:color w:val="auto"/>
        </w:rPr>
      </w:pPr>
      <w:r>
        <w:rPr>
          <w:rFonts w:ascii="Arial" w:cs="Arial" w:eastAsia="Arial" w:hAnsi="Arial"/>
          <w:sz w:val="18"/>
          <w:szCs w:val="18"/>
          <w:color w:val="auto"/>
        </w:rPr>
        <w:t>SLB acquired ChampionX during the third quarter of 2025. Fourth-quarter 2025 results reflect a full quarter of activity from the acquired ChampionX businesses, which contributed $879 million of revenue, $206 million of adjusted EBITDA and $155 million of pretax segment operating income. Third-quarter 2025 results reflect two months of activity from ChampionX businesses, which contributed $579 million of revenue, $139 million of adjusted EBITDA and $108 million of pretax segment operating income.</w:t>
      </w:r>
    </w:p>
    <w:p>
      <w:pPr>
        <w:spacing w:after="0" w:line="174" w:lineRule="exact"/>
        <w:rPr>
          <w:sz w:val="20"/>
          <w:szCs w:val="20"/>
          <w:color w:val="auto"/>
        </w:rPr>
      </w:pPr>
    </w:p>
    <w:p>
      <w:pPr>
        <w:ind w:left="4" w:right="380"/>
        <w:spacing w:after="0" w:line="253" w:lineRule="auto"/>
        <w:rPr>
          <w:sz w:val="20"/>
          <w:szCs w:val="20"/>
          <w:color w:val="auto"/>
        </w:rPr>
      </w:pPr>
      <w:r>
        <w:rPr>
          <w:rFonts w:ascii="Arial" w:cs="Arial" w:eastAsia="Arial" w:hAnsi="Arial"/>
          <w:sz w:val="18"/>
          <w:szCs w:val="18"/>
          <w:color w:val="auto"/>
        </w:rPr>
        <w:t>Excluding the impact of this acquisition, SLB’s fourth-quarter 2025 global revenue increased 6% sequentially and declined 4% year on year; international fourth-quarter 2025 revenue increased 7% sequentially and declined 4% year on year; and North America fourth-quarter 2025 revenue increased 6% sequentially and declined 7% year on year.</w:t>
      </w:r>
    </w:p>
    <w:p>
      <w:pPr>
        <w:spacing w:after="0" w:line="196" w:lineRule="exact"/>
        <w:rPr>
          <w:sz w:val="20"/>
          <w:szCs w:val="20"/>
          <w:color w:val="auto"/>
        </w:rPr>
      </w:pPr>
    </w:p>
    <w:p>
      <w:pPr>
        <w:ind w:left="224" w:right="460" w:hanging="224"/>
        <w:spacing w:after="0" w:line="245"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are non-GAAP financial measures. See sections titled “Charges &amp; Credits”, “Divisions” and “Supplementary Information” for details.</w:t>
      </w:r>
    </w:p>
    <w:p>
      <w:pPr>
        <w:ind w:left="4"/>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024"/>
          </w:cols>
          <w:pgMar w:left="436" w:top="269" w:right="4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by Division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Digital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Reservoir Performance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 Construction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Production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Eliminations</w:t>
      </w:r>
    </w:p>
    <w:p>
      <w:pPr>
        <w:spacing w:after="0" w:line="288" w:lineRule="exact"/>
        <w:rPr>
          <w:sz w:val="20"/>
          <w:szCs w:val="20"/>
          <w:color w:val="auto"/>
        </w:rPr>
      </w:pPr>
    </w:p>
    <w:p>
      <w:pPr>
        <w:ind w:right="2160"/>
        <w:spacing w:after="0" w:line="260" w:lineRule="auto"/>
        <w:rPr>
          <w:sz w:val="20"/>
          <w:szCs w:val="20"/>
          <w:color w:val="auto"/>
        </w:rPr>
      </w:pPr>
      <w:r>
        <w:rPr>
          <w:rFonts w:ascii="Arial" w:cs="Arial" w:eastAsia="Arial" w:hAnsi="Arial"/>
          <w:sz w:val="18"/>
          <w:szCs w:val="18"/>
          <w:b w:val="1"/>
          <w:bCs w:val="1"/>
          <w:color w:val="auto"/>
        </w:rPr>
        <w:t xml:space="preserve">Pretax segment operating income </w:t>
      </w:r>
      <w:r>
        <w:rPr>
          <w:rFonts w:ascii="Arial" w:cs="Arial" w:eastAsia="Arial" w:hAnsi="Arial"/>
          <w:sz w:val="18"/>
          <w:szCs w:val="18"/>
          <w:color w:val="auto"/>
        </w:rPr>
        <w:t>Digital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Reservoir Performance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 Construction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Production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Eliminations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Pretax segment operating margin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Digital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Reservoir Performance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 Construction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Production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Eliminations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Digital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Reservoir Performance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 Construction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Production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Eliminations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4"/>
                <w:szCs w:val="14"/>
                <w:color w:val="auto"/>
              </w:rPr>
              <w:t>(Stated in millions)</w:t>
            </w:r>
          </w:p>
        </w:tc>
      </w:tr>
      <w:tr>
        <w:trPr>
          <w:trHeight w:val="171"/>
        </w:trPr>
        <w:tc>
          <w:tcPr>
            <w:tcW w:w="100" w:type="dxa"/>
            <w:vAlign w:val="bottom"/>
          </w:tcPr>
          <w:p>
            <w:pPr>
              <w:spacing w:after="0"/>
              <w:rPr>
                <w:sz w:val="14"/>
                <w:szCs w:val="14"/>
                <w:color w:val="auto"/>
              </w:rPr>
            </w:pPr>
          </w:p>
        </w:tc>
        <w:tc>
          <w:tcPr>
            <w:tcW w:w="1960" w:type="dxa"/>
            <w:vAlign w:val="bottom"/>
            <w:gridSpan w:val="7"/>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Change</w:t>
            </w:r>
          </w:p>
        </w:tc>
      </w:tr>
      <w:tr>
        <w:trPr>
          <w:trHeight w:val="146"/>
        </w:trPr>
        <w:tc>
          <w:tcPr>
            <w:tcW w:w="84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Dec. 31,</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Sept. 30,</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w w:val="99"/>
              </w:rPr>
              <w:t>Dec. 31,</w:t>
            </w:r>
          </w:p>
        </w:tc>
        <w:tc>
          <w:tcPr>
            <w:tcW w:w="4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71"/>
        </w:trPr>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2025</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2024</w:t>
            </w:r>
          </w:p>
        </w:tc>
        <w:tc>
          <w:tcPr>
            <w:tcW w:w="400" w:type="dxa"/>
            <w:vAlign w:val="bottom"/>
          </w:tcPr>
          <w:p>
            <w:pPr>
              <w:spacing w:after="0"/>
              <w:rPr>
                <w:sz w:val="14"/>
                <w:szCs w:val="14"/>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Sequential</w:t>
            </w:r>
          </w:p>
        </w:tc>
        <w:tc>
          <w:tcPr>
            <w:tcW w:w="4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Year-on-year</w:t>
            </w:r>
          </w:p>
        </w:tc>
        <w:tc>
          <w:tcPr>
            <w:tcW w:w="160" w:type="dxa"/>
            <w:vAlign w:val="bottom"/>
          </w:tcPr>
          <w:p>
            <w:pPr>
              <w:spacing w:after="0"/>
              <w:rPr>
                <w:sz w:val="14"/>
                <w:szCs w:val="14"/>
                <w:color w:val="auto"/>
              </w:rPr>
            </w:pPr>
          </w:p>
        </w:tc>
      </w:tr>
      <w:tr>
        <w:trPr>
          <w:trHeight w:val="407"/>
        </w:trPr>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825</w:t>
            </w:r>
          </w:p>
        </w:tc>
        <w:tc>
          <w:tcPr>
            <w:tcW w:w="260" w:type="dxa"/>
            <w:vAlign w:val="bottom"/>
          </w:tcPr>
          <w:p>
            <w:pPr>
              <w:spacing w:after="0"/>
              <w:rPr>
                <w:sz w:val="24"/>
                <w:szCs w:val="24"/>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705</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25%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1,748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1,810</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2,949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2,967</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3,267</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4,078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3,474</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3,127</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17%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445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582</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12%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21"/>
        </w:trPr>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(207)</w:t>
            </w:r>
          </w:p>
        </w:tc>
        <w:tc>
          <w:tcPr>
            <w:tcW w:w="1220" w:type="dxa"/>
            <w:vAlign w:val="bottom"/>
            <w:gridSpan w:val="2"/>
          </w:tcPr>
          <w:p>
            <w:pPr>
              <w:jc w:val="right"/>
              <w:ind w:right="348"/>
              <w:spacing w:after="0"/>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r>
      <w:tr>
        <w:trPr>
          <w:trHeight w:val="20"/>
        </w:trPr>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9,745</w:t>
            </w:r>
          </w:p>
        </w:tc>
        <w:tc>
          <w:tcPr>
            <w:tcW w:w="26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8,928</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9,284</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1"/>
        </w:trPr>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280</w:t>
            </w:r>
          </w:p>
        </w:tc>
        <w:tc>
          <w:tcPr>
            <w:tcW w:w="260" w:type="dxa"/>
            <w:vAlign w:val="bottom"/>
          </w:tcPr>
          <w:p>
            <w:pPr>
              <w:spacing w:after="0"/>
              <w:rPr>
                <w:sz w:val="24"/>
                <w:szCs w:val="24"/>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242</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342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370</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681</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664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509</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19%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187</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-12%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21"/>
        </w:trPr>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(71)</w:t>
            </w:r>
          </w:p>
        </w:tc>
        <w:tc>
          <w:tcPr>
            <w:tcW w:w="1220" w:type="dxa"/>
            <w:vAlign w:val="bottom"/>
            <w:gridSpan w:val="2"/>
          </w:tcPr>
          <w:p>
            <w:pPr>
              <w:jc w:val="right"/>
              <w:ind w:right="348"/>
              <w:spacing w:after="0"/>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r>
      <w:tr>
        <w:trPr>
          <w:trHeight w:val="20"/>
        </w:trPr>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1,807</w:t>
            </w:r>
          </w:p>
        </w:tc>
        <w:tc>
          <w:tcPr>
            <w:tcW w:w="26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1,918</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11%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1"/>
        </w:trPr>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34.4%</w:t>
            </w:r>
          </w:p>
        </w:tc>
        <w:tc>
          <w:tcPr>
            <w:tcW w:w="1220" w:type="dxa"/>
            <w:vAlign w:val="bottom"/>
            <w:gridSpan w:val="2"/>
          </w:tcPr>
          <w:p>
            <w:pPr>
              <w:jc w:val="right"/>
              <w:ind w:right="348"/>
              <w:spacing w:after="0"/>
              <w:rPr>
                <w:sz w:val="20"/>
                <w:szCs w:val="20"/>
                <w:color w:val="auto"/>
              </w:rPr>
            </w:pPr>
            <w:r>
              <w:rPr>
                <w:rFonts w:ascii="Arial" w:cs="Arial" w:eastAsia="Arial" w:hAnsi="Arial"/>
                <w:sz w:val="18"/>
                <w:szCs w:val="18"/>
                <w:b w:val="1"/>
                <w:bCs w:val="1"/>
                <w:color w:val="auto"/>
              </w:rPr>
              <w:t>557 bps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 bps</w:t>
            </w:r>
          </w:p>
        </w:tc>
      </w:tr>
      <w:tr>
        <w:trPr>
          <w:trHeight w:val="216"/>
        </w:trPr>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20.5%</w:t>
            </w:r>
          </w:p>
        </w:tc>
        <w:tc>
          <w:tcPr>
            <w:tcW w:w="1220" w:type="dxa"/>
            <w:vAlign w:val="bottom"/>
            <w:gridSpan w:val="2"/>
          </w:tcPr>
          <w:p>
            <w:pPr>
              <w:jc w:val="right"/>
              <w:ind w:right="348"/>
              <w:spacing w:after="0"/>
              <w:rPr>
                <w:sz w:val="20"/>
                <w:szCs w:val="20"/>
                <w:color w:val="auto"/>
              </w:rPr>
            </w:pPr>
            <w:r>
              <w:rPr>
                <w:rFonts w:ascii="Arial" w:cs="Arial" w:eastAsia="Arial" w:hAnsi="Arial"/>
                <w:sz w:val="18"/>
                <w:szCs w:val="18"/>
                <w:b w:val="1"/>
                <w:bCs w:val="1"/>
                <w:color w:val="auto"/>
              </w:rPr>
              <w:t>105 bps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-89 bps</w:t>
            </w:r>
          </w:p>
        </w:tc>
      </w:tr>
      <w:tr>
        <w:trPr>
          <w:trHeight w:val="216"/>
        </w:trPr>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20.8%</w:t>
            </w:r>
          </w:p>
        </w:tc>
        <w:tc>
          <w:tcPr>
            <w:tcW w:w="1220" w:type="dxa"/>
            <w:vAlign w:val="bottom"/>
            <w:gridSpan w:val="2"/>
          </w:tcPr>
          <w:p>
            <w:pPr>
              <w:jc w:val="right"/>
              <w:ind w:right="348"/>
              <w:spacing w:after="0"/>
              <w:rPr>
                <w:sz w:val="20"/>
                <w:szCs w:val="20"/>
                <w:color w:val="auto"/>
              </w:rPr>
            </w:pPr>
            <w:r>
              <w:rPr>
                <w:rFonts w:ascii="Arial" w:cs="Arial" w:eastAsia="Arial" w:hAnsi="Arial"/>
                <w:sz w:val="18"/>
                <w:szCs w:val="18"/>
                <w:b w:val="1"/>
                <w:bCs w:val="1"/>
                <w:color w:val="auto"/>
              </w:rPr>
              <w:t>-16 bps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-219 bps</w:t>
            </w:r>
          </w:p>
        </w:tc>
      </w:tr>
      <w:tr>
        <w:trPr>
          <w:trHeight w:val="216"/>
        </w:trPr>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16.3%</w:t>
            </w:r>
          </w:p>
        </w:tc>
        <w:tc>
          <w:tcPr>
            <w:tcW w:w="1220" w:type="dxa"/>
            <w:vAlign w:val="bottom"/>
            <w:gridSpan w:val="2"/>
          </w:tcPr>
          <w:p>
            <w:pPr>
              <w:jc w:val="right"/>
              <w:ind w:right="348"/>
              <w:spacing w:after="0"/>
              <w:rPr>
                <w:sz w:val="20"/>
                <w:szCs w:val="20"/>
                <w:color w:val="auto"/>
              </w:rPr>
            </w:pPr>
            <w:r>
              <w:rPr>
                <w:rFonts w:ascii="Arial" w:cs="Arial" w:eastAsia="Arial" w:hAnsi="Arial"/>
                <w:sz w:val="18"/>
                <w:szCs w:val="18"/>
                <w:b w:val="1"/>
                <w:bCs w:val="1"/>
                <w:color w:val="auto"/>
              </w:rPr>
              <w:t>20 bps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 bps</w:t>
            </w:r>
          </w:p>
        </w:tc>
      </w:tr>
      <w:tr>
        <w:trPr>
          <w:trHeight w:val="216"/>
        </w:trPr>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32.1%</w:t>
            </w:r>
          </w:p>
        </w:tc>
        <w:tc>
          <w:tcPr>
            <w:tcW w:w="1220" w:type="dxa"/>
            <w:vAlign w:val="bottom"/>
            <w:gridSpan w:val="2"/>
          </w:tcPr>
          <w:p>
            <w:pPr>
              <w:jc w:val="right"/>
              <w:ind w:right="348"/>
              <w:spacing w:after="0"/>
              <w:rPr>
                <w:sz w:val="20"/>
                <w:szCs w:val="20"/>
                <w:color w:val="auto"/>
              </w:rPr>
            </w:pPr>
            <w:r>
              <w:rPr>
                <w:rFonts w:ascii="Arial" w:cs="Arial" w:eastAsia="Arial" w:hAnsi="Arial"/>
                <w:sz w:val="18"/>
                <w:szCs w:val="18"/>
                <w:b w:val="1"/>
                <w:bCs w:val="1"/>
                <w:color w:val="auto"/>
              </w:rPr>
              <w:t>-518 bps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-1,306 bps</w:t>
            </w:r>
          </w:p>
        </w:tc>
      </w:tr>
      <w:tr>
        <w:trPr>
          <w:trHeight w:val="221"/>
        </w:trPr>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n/m</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n/m</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n/m</w:t>
            </w:r>
          </w:p>
        </w:tc>
        <w:tc>
          <w:tcPr>
            <w:tcW w:w="1220" w:type="dxa"/>
            <w:vAlign w:val="bottom"/>
            <w:gridSpan w:val="2"/>
          </w:tcPr>
          <w:p>
            <w:pPr>
              <w:jc w:val="right"/>
              <w:ind w:right="348"/>
              <w:spacing w:after="0"/>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r>
      <w:tr>
        <w:trPr>
          <w:trHeight w:val="20"/>
        </w:trPr>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20.7%</w:t>
            </w:r>
          </w:p>
        </w:tc>
        <w:tc>
          <w:tcPr>
            <w:tcW w:w="1220" w:type="dxa"/>
            <w:vAlign w:val="bottom"/>
            <w:gridSpan w:val="2"/>
          </w:tcPr>
          <w:p>
            <w:pPr>
              <w:jc w:val="right"/>
              <w:ind w:right="348"/>
              <w:spacing w:after="0"/>
              <w:rPr>
                <w:sz w:val="20"/>
                <w:szCs w:val="20"/>
                <w:color w:val="auto"/>
              </w:rPr>
            </w:pPr>
            <w:r>
              <w:rPr>
                <w:rFonts w:ascii="Arial" w:cs="Arial" w:eastAsia="Arial" w:hAnsi="Arial"/>
                <w:sz w:val="18"/>
                <w:szCs w:val="18"/>
                <w:b w:val="1"/>
                <w:bCs w:val="1"/>
                <w:color w:val="auto"/>
              </w:rPr>
              <w:t>33 bps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-211 bps</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1"/>
        </w:trPr>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346</w:t>
            </w:r>
          </w:p>
        </w:tc>
        <w:tc>
          <w:tcPr>
            <w:tcW w:w="260" w:type="dxa"/>
            <w:vAlign w:val="bottom"/>
          </w:tcPr>
          <w:p>
            <w:pPr>
              <w:spacing w:after="0"/>
              <w:rPr>
                <w:sz w:val="24"/>
                <w:szCs w:val="24"/>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289</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61%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456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468</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719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841</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815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598</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18%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317</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26"/>
        </w:trPr>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348"/>
              <w:spacing w:after="0"/>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-4923155</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-4408805</wp:posOffset>
            </wp:positionV>
            <wp:extent cx="69951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-4134485</wp:posOffset>
            </wp:positionV>
            <wp:extent cx="69951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-3860165</wp:posOffset>
            </wp:positionV>
            <wp:extent cx="69951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-3585845</wp:posOffset>
            </wp:positionV>
            <wp:extent cx="69951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-3260090</wp:posOffset>
            </wp:positionV>
            <wp:extent cx="69951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-2985770</wp:posOffset>
            </wp:positionV>
            <wp:extent cx="69951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-2711450</wp:posOffset>
            </wp:positionV>
            <wp:extent cx="69951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-2437130</wp:posOffset>
            </wp:positionV>
            <wp:extent cx="69951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-2111375</wp:posOffset>
            </wp:positionV>
            <wp:extent cx="69951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-1837055</wp:posOffset>
            </wp:positionV>
            <wp:extent cx="69951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-1562735</wp:posOffset>
            </wp:positionV>
            <wp:extent cx="69951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-1288415</wp:posOffset>
            </wp:positionV>
            <wp:extent cx="69951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-962660</wp:posOffset>
            </wp:positionV>
            <wp:extent cx="69951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-688340</wp:posOffset>
            </wp:positionV>
            <wp:extent cx="69951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-414020</wp:posOffset>
            </wp:positionV>
            <wp:extent cx="69951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-139700</wp:posOffset>
            </wp:positionV>
            <wp:extent cx="699516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17" w:lineRule="exact"/>
        <w:rPr>
          <w:sz w:val="20"/>
          <w:szCs w:val="20"/>
          <w:color w:val="auto"/>
        </w:rPr>
      </w:pPr>
    </w:p>
    <w:p>
      <w:pPr>
        <w:sectPr>
          <w:pgSz w:w="11900" w:h="16838" w:orient="portrait"/>
          <w:cols w:equalWidth="0" w:num="2">
            <w:col w:w="5040" w:space="720"/>
            <w:col w:w="5260"/>
          </w:cols>
          <w:pgMar w:left="440" w:top="279" w:right="439" w:bottom="1440" w:gutter="0" w:footer="0" w:header="0"/>
        </w:sectPr>
      </w:pPr>
    </w:p>
    <w:tbl>
      <w:tblPr>
        <w:tblLayout w:type="fixed"/>
        <w:tblInd w:w="0" w:type="dxa"/>
        <w:tblCellMar>
          <w:top w:w="0" w:type="dxa"/>
          <w:left w:w="0" w:type="dxa"/>
          <w:bottom w:w="0" w:type="dxa"/>
          <w:right w:w="0" w:type="dxa"/>
        </w:tblCellMar>
      </w:tblPr>
      <w:tr>
        <w:trPr>
          <w:trHeight w:val="221"/>
        </w:trPr>
        <w:tc>
          <w:tcPr>
            <w:tcW w:w="3940" w:type="dxa"/>
            <w:vAlign w:val="bottom"/>
          </w:tcPr>
          <w:p>
            <w:pPr>
              <w:spacing w:after="0"/>
              <w:rPr>
                <w:sz w:val="19"/>
                <w:szCs w:val="19"/>
                <w:color w:val="auto"/>
              </w:rPr>
            </w:pPr>
          </w:p>
        </w:tc>
        <w:tc>
          <w:tcPr>
            <w:tcW w:w="26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$2,466</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$ 2,201</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$2,514</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18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(136)</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(139)</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n/m</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0"/>
        </w:trPr>
        <w:tc>
          <w:tcPr>
            <w:tcW w:w="3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3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2,331</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$ 2,061</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2,382</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0"/>
        </w:trPr>
        <w:tc>
          <w:tcPr>
            <w:tcW w:w="3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1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Digital</w:t>
            </w:r>
          </w:p>
        </w:tc>
        <w:tc>
          <w:tcPr>
            <w:tcW w:w="26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42.0%</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32.7%</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41.0%</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929 bps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97 bps</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Reservoir Performance</w:t>
            </w:r>
          </w:p>
        </w:tc>
        <w:tc>
          <w:tcPr>
            <w:tcW w:w="2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26.1%</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25.1%</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100 bps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 bps</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Well Construction</w:t>
            </w:r>
          </w:p>
        </w:tc>
        <w:tc>
          <w:tcPr>
            <w:tcW w:w="26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24.4%</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24.5%</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25.8%</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-14 bps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-136 bps</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Production Systems</w:t>
            </w:r>
          </w:p>
        </w:tc>
        <w:tc>
          <w:tcPr>
            <w:tcW w:w="2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20.0%</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19.9%</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13 bps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 bps</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All Other</w:t>
            </w:r>
          </w:p>
        </w:tc>
        <w:tc>
          <w:tcPr>
            <w:tcW w:w="26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38.2%</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39.9%</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54.6%</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-170 bps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-1,634 bps</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18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n/m</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n/m</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0"/>
        </w:trPr>
        <w:tc>
          <w:tcPr>
            <w:tcW w:w="3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3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25.3%</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24.6%</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27.1%</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66 bps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-178 bps</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18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n/m</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n/m</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0"/>
        </w:trPr>
        <w:tc>
          <w:tcPr>
            <w:tcW w:w="3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3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23.9%</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23.1%</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25.7%</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83 bps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-175 bps</w:t>
            </w:r>
          </w:p>
        </w:tc>
      </w:tr>
      <w:tr>
        <w:trPr>
          <w:trHeight w:val="20"/>
        </w:trPr>
        <w:tc>
          <w:tcPr>
            <w:tcW w:w="3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Digital and Production Systems fourth -quarter 2025 results reflect a full quarter of activity from ChampionX, which contributed $28 million of Digital revenue and $874 million of Production Systems revenue. Third-quarter 2025 results reflect two months of activity from ChampionX, which contributed $20 million of Digital revenue and $575 million of Productions Systems revenue. Excluding the impact of this acquisition, Digital fourth-quarter 2025 revenue increased 25% sequentially and 13% year on year, while Production Systems revenue increased 11% sequentially and 2% year on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020"/>
          </w:cols>
          <w:pgMar w:left="440" w:top="279" w:right="439" w:bottom="1440" w:gutter="0" w:footer="0" w:header="0"/>
          <w:type w:val="continuous"/>
        </w:sectPr>
      </w:pPr>
    </w:p>
    <w:bookmarkStart w:id="6" w:name="page7"/>
    <w:bookmarkEnd w:id="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Full-Year Results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7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20" w:type="dxa"/>
            <w:vAlign w:val="bottom"/>
            <w:gridSpan w:val="8"/>
          </w:tcPr>
          <w:p>
            <w:pPr>
              <w:jc w:val="right"/>
              <w:ind w:right="6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7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Twelve Months Ended</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00" w:type="dxa"/>
            <w:vAlign w:val="bottom"/>
          </w:tcPr>
          <w:p>
            <w:pPr>
              <w:spacing w:after="0"/>
              <w:rPr>
                <w:sz w:val="13"/>
                <w:szCs w:val="13"/>
                <w:color w:val="auto"/>
              </w:rPr>
            </w:pPr>
          </w:p>
        </w:tc>
        <w:tc>
          <w:tcPr>
            <w:tcW w:w="10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Dec.31, 2025</w:t>
            </w:r>
          </w:p>
        </w:tc>
        <w:tc>
          <w:tcPr>
            <w:tcW w:w="400" w:type="dxa"/>
            <w:vAlign w:val="bottom"/>
          </w:tcPr>
          <w:p>
            <w:pPr>
              <w:spacing w:after="0"/>
              <w:rPr>
                <w:sz w:val="13"/>
                <w:szCs w:val="13"/>
                <w:color w:val="auto"/>
              </w:rPr>
            </w:pPr>
          </w:p>
        </w:tc>
        <w:tc>
          <w:tcPr>
            <w:tcW w:w="1460" w:type="dxa"/>
            <w:vAlign w:val="bottom"/>
            <w:gridSpan w:val="3"/>
          </w:tcPr>
          <w:p>
            <w:pPr>
              <w:jc w:val="right"/>
              <w:ind w:right="600"/>
              <w:spacing w:after="0" w:line="155" w:lineRule="exact"/>
              <w:rPr>
                <w:sz w:val="20"/>
                <w:szCs w:val="20"/>
                <w:color w:val="auto"/>
              </w:rPr>
            </w:pPr>
            <w:r>
              <w:rPr>
                <w:rFonts w:ascii="Arial" w:cs="Arial" w:eastAsia="Arial" w:hAnsi="Arial"/>
                <w:sz w:val="14"/>
                <w:szCs w:val="14"/>
                <w:color w:val="auto"/>
              </w:rPr>
              <w:t>Dec.31, 2024</w:t>
            </w:r>
          </w:p>
        </w:tc>
        <w:tc>
          <w:tcPr>
            <w:tcW w:w="800" w:type="dxa"/>
            <w:vAlign w:val="bottom"/>
          </w:tcPr>
          <w:p>
            <w:pPr>
              <w:jc w:val="right"/>
              <w:ind w:right="51"/>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1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00" w:type="dxa"/>
            <w:vAlign w:val="bottom"/>
            <w:tcBorders>
              <w:right w:val="single" w:sz="8" w:color="CCEEFF"/>
            </w:tcBorders>
            <w:vMerge w:val="continue"/>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35,708</w:t>
            </w:r>
          </w:p>
        </w:tc>
        <w:tc>
          <w:tcPr>
            <w:tcW w:w="200" w:type="dxa"/>
            <w:vAlign w:val="bottom"/>
            <w:tcBorders>
              <w:left w:val="single" w:sz="8" w:color="CCEEFF"/>
            </w:tcBorders>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36,289</w:t>
            </w:r>
          </w:p>
        </w:tc>
        <w:tc>
          <w:tcPr>
            <w:tcW w:w="60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Income before taxes – GAAP basis</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4,291</w:t>
            </w:r>
          </w:p>
        </w:tc>
        <w:tc>
          <w:tcPr>
            <w:tcW w:w="200" w:type="dxa"/>
            <w:vAlign w:val="bottom"/>
          </w:tcPr>
          <w:p>
            <w:pPr>
              <w:spacing w:after="0"/>
              <w:rPr>
                <w:sz w:val="18"/>
                <w:szCs w:val="18"/>
                <w:color w:val="auto"/>
              </w:rPr>
            </w:pPr>
          </w:p>
        </w:tc>
        <w:tc>
          <w:tcPr>
            <w:tcW w:w="6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5,672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16"/>
        </w:trPr>
        <w:tc>
          <w:tcPr>
            <w:tcW w:w="7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taxes margin – GAAP basis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12 .0%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15.6%</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-361 bps</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Net income attributable to SLB – GAAP basis</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3,374</w:t>
            </w:r>
          </w:p>
        </w:tc>
        <w:tc>
          <w:tcPr>
            <w:tcW w:w="200" w:type="dxa"/>
            <w:vAlign w:val="bottom"/>
          </w:tcPr>
          <w:p>
            <w:pPr>
              <w:spacing w:after="0"/>
              <w:rPr>
                <w:sz w:val="18"/>
                <w:szCs w:val="18"/>
                <w:color w:val="auto"/>
              </w:rPr>
            </w:pPr>
          </w:p>
        </w:tc>
        <w:tc>
          <w:tcPr>
            <w:tcW w:w="6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4,461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16"/>
        </w:trPr>
        <w:tc>
          <w:tcPr>
            <w:tcW w:w="7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EPS – GAAP basis</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2 .35</w:t>
            </w:r>
          </w:p>
        </w:tc>
        <w:tc>
          <w:tcPr>
            <w:tcW w:w="20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8,463</w:t>
            </w:r>
          </w:p>
        </w:tc>
        <w:tc>
          <w:tcPr>
            <w:tcW w:w="200" w:type="dxa"/>
            <w:vAlign w:val="bottom"/>
          </w:tcPr>
          <w:p>
            <w:pPr>
              <w:spacing w:after="0"/>
              <w:rPr>
                <w:sz w:val="18"/>
                <w:szCs w:val="18"/>
                <w:color w:val="auto"/>
              </w:rPr>
            </w:pPr>
          </w:p>
        </w:tc>
        <w:tc>
          <w:tcPr>
            <w:tcW w:w="6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9,070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7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23 .7%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-129 bps</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Pretax segment operating income*</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6,574</w:t>
            </w:r>
          </w:p>
        </w:tc>
        <w:tc>
          <w:tcPr>
            <w:tcW w:w="200" w:type="dxa"/>
            <w:vAlign w:val="bottom"/>
          </w:tcPr>
          <w:p>
            <w:pPr>
              <w:spacing w:after="0"/>
              <w:rPr>
                <w:sz w:val="18"/>
                <w:szCs w:val="18"/>
                <w:color w:val="auto"/>
              </w:rPr>
            </w:pPr>
          </w:p>
        </w:tc>
        <w:tc>
          <w:tcPr>
            <w:tcW w:w="6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7,321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7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Pretax segment operating margin*</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18 .4%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-177 bps</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Net income attributable to SLB, excluding charges &amp; credits*</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4,210</w:t>
            </w:r>
          </w:p>
        </w:tc>
        <w:tc>
          <w:tcPr>
            <w:tcW w:w="200" w:type="dxa"/>
            <w:vAlign w:val="bottom"/>
          </w:tcPr>
          <w:p>
            <w:pPr>
              <w:spacing w:after="0"/>
              <w:rPr>
                <w:sz w:val="18"/>
                <w:szCs w:val="18"/>
                <w:color w:val="auto"/>
              </w:rPr>
            </w:pPr>
          </w:p>
        </w:tc>
        <w:tc>
          <w:tcPr>
            <w:tcW w:w="6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4,888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7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EPS, excluding charges &amp; credits*</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2 .93</w:t>
            </w:r>
          </w:p>
        </w:tc>
        <w:tc>
          <w:tcPr>
            <w:tcW w:w="20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b w:val="1"/>
                <w:bCs w:val="1"/>
                <w:color w:val="auto"/>
              </w:rPr>
              <w:t>Revenue by Geography</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27,942</w:t>
            </w:r>
          </w:p>
        </w:tc>
        <w:tc>
          <w:tcPr>
            <w:tcW w:w="20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29,415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North America</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7,515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6,680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7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2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35,708</w:t>
            </w:r>
          </w:p>
        </w:tc>
        <w:tc>
          <w:tcPr>
            <w:tcW w:w="200" w:type="dxa"/>
            <w:vAlign w:val="bottom"/>
          </w:tcPr>
          <w:p>
            <w:pPr>
              <w:spacing w:after="0"/>
              <w:rPr>
                <w:sz w:val="19"/>
                <w:szCs w:val="19"/>
                <w:color w:val="auto"/>
              </w:rPr>
            </w:pPr>
          </w:p>
        </w:tc>
        <w:tc>
          <w:tcPr>
            <w:tcW w:w="6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36,289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360"/>
        <w:spacing w:after="0" w:line="253" w:lineRule="auto"/>
        <w:rPr>
          <w:sz w:val="20"/>
          <w:szCs w:val="20"/>
          <w:color w:val="auto"/>
        </w:rPr>
      </w:pPr>
      <w:r>
        <w:rPr>
          <w:rFonts w:ascii="Arial" w:cs="Arial" w:eastAsia="Arial" w:hAnsi="Arial"/>
          <w:sz w:val="18"/>
          <w:szCs w:val="18"/>
          <w:color w:val="auto"/>
        </w:rPr>
        <w:t>SLB acquired ChampionX during the third quarter of 2025. The acquired business generated revenue of $1.46 billion during 2025. Excluding the impact of this acquisition, SLB’s full-year 2025 revenue decreased 6% year on year; international full-year 2025 revenue decreased 6% year on year; and North America full-year 2025 revenue decreased 2% year on year.</w:t>
      </w:r>
    </w:p>
    <w:p>
      <w:pPr>
        <w:spacing w:after="0" w:line="196" w:lineRule="exact"/>
        <w:rPr>
          <w:sz w:val="20"/>
          <w:szCs w:val="20"/>
          <w:color w:val="auto"/>
        </w:rPr>
      </w:pPr>
    </w:p>
    <w:p>
      <w:pPr>
        <w:ind w:left="224" w:right="400" w:hanging="224"/>
        <w:spacing w:after="0" w:line="245"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are non-GAAP financial measures. See sections titled “Charges &amp; Credits”, “Divisions”, and “Supplementary Information“ for details.</w:t>
      </w:r>
    </w:p>
    <w:p>
      <w:pPr>
        <w:ind w:left="4"/>
        <w:spacing w:after="0"/>
        <w:rPr>
          <w:sz w:val="20"/>
          <w:szCs w:val="20"/>
          <w:color w:val="auto"/>
        </w:rPr>
      </w:pPr>
      <w:r>
        <w:rPr>
          <w:rFonts w:ascii="Arial" w:cs="Arial" w:eastAsia="Arial" w:hAnsi="Arial"/>
          <w:sz w:val="18"/>
          <w:szCs w:val="18"/>
          <w:color w:val="auto"/>
        </w:rPr>
        <w:t>n/m= not meaningful</w:t>
      </w:r>
    </w:p>
    <w:p>
      <w:pPr>
        <w:sectPr>
          <w:pgSz w:w="11900" w:h="16838" w:orient="portrait"/>
          <w:cols w:equalWidth="0" w:num="1">
            <w:col w:w="11024"/>
          </w:cols>
          <w:pgMar w:left="436" w:top="269"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Twelve Months</w:t>
            </w:r>
          </w:p>
        </w:tc>
        <w:tc>
          <w:tcPr>
            <w:tcW w:w="142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34"/>
        </w:trPr>
        <w:tc>
          <w:tcPr>
            <w:tcW w:w="7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5"/>
            <w:vMerge w:val="continue"/>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Ended</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7700" w:type="dxa"/>
            <w:vAlign w:val="bottom"/>
          </w:tcPr>
          <w:p>
            <w:pPr>
              <w:spacing w:after="0"/>
              <w:rPr>
                <w:sz w:val="12"/>
                <w:szCs w:val="12"/>
                <w:color w:val="auto"/>
              </w:rPr>
            </w:pPr>
          </w:p>
        </w:tc>
        <w:tc>
          <w:tcPr>
            <w:tcW w:w="1080" w:type="dxa"/>
            <w:vAlign w:val="bottom"/>
            <w:gridSpan w:val="3"/>
          </w:tcPr>
          <w:p>
            <w:pPr>
              <w:jc w:val="center"/>
              <w:ind w:right="440"/>
              <w:spacing w:after="0" w:line="147" w:lineRule="exact"/>
              <w:rPr>
                <w:sz w:val="20"/>
                <w:szCs w:val="20"/>
                <w:color w:val="auto"/>
              </w:rPr>
            </w:pPr>
            <w:r>
              <w:rPr>
                <w:rFonts w:ascii="Arial" w:cs="Arial" w:eastAsia="Arial" w:hAnsi="Arial"/>
                <w:sz w:val="14"/>
                <w:szCs w:val="14"/>
                <w:b w:val="1"/>
                <w:bCs w:val="1"/>
                <w:color w:val="auto"/>
              </w:rPr>
              <w:t>Dec.31,</w:t>
            </w:r>
          </w:p>
        </w:tc>
        <w:tc>
          <w:tcPr>
            <w:tcW w:w="66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99"/>
              </w:rPr>
              <w:t>Dec.31,</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0"/>
              <w:spacing w:after="0"/>
              <w:rPr>
                <w:sz w:val="20"/>
                <w:szCs w:val="20"/>
                <w:color w:val="auto"/>
              </w:rPr>
            </w:pPr>
            <w:r>
              <w:rPr>
                <w:rFonts w:ascii="Arial" w:cs="Arial" w:eastAsia="Arial" w:hAnsi="Arial"/>
                <w:sz w:val="14"/>
                <w:szCs w:val="14"/>
                <w:color w:val="auto"/>
              </w:rPr>
              <w:t>2024</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7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 by Division</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Digital</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2,660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2,439</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6,820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7,177</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11,856</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13,357</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8"/>
              </w:rPr>
              <w:t>13,325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11,935</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1,987</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2,117</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(940)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35,708</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36,289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Pretax Segment Operating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Digital</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745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612</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1,250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1,452</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2,248</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2,826</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2,184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1,900</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498</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775</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(351)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6,574</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7,321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Pretax Segment Operating Margin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Digital</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28.0%</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291 bps</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-191 bps</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19.0%</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-220 bps</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48 bps</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25.1%</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-1,152 bps</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18.4%</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-177 bps</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Digital</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928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784</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1,685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1,841</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2,919</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3,461</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2,648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2,243</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880</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1,271</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8,995</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9,638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(532)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8,463</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9,070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Digital</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34.9%</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272 bps</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24.7%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 bps</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24.6%</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-129 bps</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108 bps</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44.3%</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-1,576 bps</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25.2%</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-137 bps</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23.7%</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-129 bps</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700"/>
        <w:spacing w:after="0" w:line="253" w:lineRule="auto"/>
        <w:rPr>
          <w:sz w:val="20"/>
          <w:szCs w:val="20"/>
          <w:color w:val="auto"/>
        </w:rPr>
      </w:pPr>
      <w:r>
        <w:rPr>
          <w:rFonts w:ascii="Arial" w:cs="Arial" w:eastAsia="Arial" w:hAnsi="Arial"/>
          <w:sz w:val="18"/>
          <w:szCs w:val="18"/>
          <w:color w:val="auto"/>
        </w:rPr>
        <w:t>SLB acquired ChampionX during the third quarter of 2025. The acquired business generated revenue of $1.46 billion during 2025. Excluding the impact of this acquisition, SLB’s full-year 2025 revenue decreased 6% year on year; Digital full-year 2025 revenue increased 7% year on year; and Production Systems full-year 2025 revenue was flat year on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020"/>
          </w:cols>
          <w:pgMar w:left="440" w:top="279"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right"/>
              <w:ind w:right="708"/>
              <w:spacing w:after="0"/>
              <w:rPr>
                <w:sz w:val="20"/>
                <w:szCs w:val="20"/>
                <w:color w:val="auto"/>
              </w:rPr>
            </w:pPr>
            <w:r>
              <w:rPr>
                <w:rFonts w:ascii="Arial" w:cs="Arial" w:eastAsia="Arial" w:hAnsi="Arial"/>
                <w:sz w:val="14"/>
                <w:szCs w:val="14"/>
                <w:b w:val="1"/>
                <w:bCs w:val="1"/>
                <w:color w:val="auto"/>
              </w:rPr>
              <w:t>Twelve Months</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Ended</w:t>
            </w:r>
          </w:p>
        </w:tc>
        <w:tc>
          <w:tcPr>
            <w:tcW w:w="5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7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60" w:type="dxa"/>
            <w:vAlign w:val="bottom"/>
            <w:gridSpan w:val="3"/>
          </w:tcPr>
          <w:p>
            <w:pPr>
              <w:jc w:val="center"/>
              <w:ind w:right="300"/>
              <w:spacing w:after="0" w:line="147" w:lineRule="exact"/>
              <w:rPr>
                <w:sz w:val="20"/>
                <w:szCs w:val="20"/>
                <w:color w:val="auto"/>
              </w:rPr>
            </w:pPr>
            <w:r>
              <w:rPr>
                <w:rFonts w:ascii="Arial" w:cs="Arial" w:eastAsia="Arial" w:hAnsi="Arial"/>
                <w:sz w:val="14"/>
                <w:szCs w:val="14"/>
                <w:b w:val="1"/>
                <w:bCs w:val="1"/>
                <w:color w:val="auto"/>
              </w:rPr>
              <w:t>Dec.31,</w:t>
            </w:r>
          </w:p>
        </w:tc>
        <w:tc>
          <w:tcPr>
            <w:tcW w:w="120" w:type="dxa"/>
            <w:vAlign w:val="bottom"/>
          </w:tcPr>
          <w:p>
            <w:pPr>
              <w:spacing w:after="0"/>
              <w:rPr>
                <w:sz w:val="12"/>
                <w:szCs w:val="12"/>
                <w:color w:val="auto"/>
              </w:rPr>
            </w:pPr>
          </w:p>
        </w:tc>
        <w:tc>
          <w:tcPr>
            <w:tcW w:w="66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Dec.31,</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71"/>
              <w:spacing w:after="0"/>
              <w:rPr>
                <w:sz w:val="20"/>
                <w:szCs w:val="20"/>
                <w:color w:val="auto"/>
              </w:rPr>
            </w:pPr>
            <w:r>
              <w:rPr>
                <w:rFonts w:ascii="Arial" w:cs="Arial" w:eastAsia="Arial" w:hAnsi="Arial"/>
                <w:sz w:val="14"/>
                <w:szCs w:val="14"/>
                <w:color w:val="auto"/>
              </w:rPr>
              <w:t>2024</w:t>
            </w:r>
          </w:p>
        </w:tc>
        <w:tc>
          <w:tcPr>
            <w:tcW w:w="42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 by Geography</w:t>
            </w:r>
          </w:p>
        </w:tc>
        <w:tc>
          <w:tcPr>
            <w:tcW w:w="2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North America</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7,515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8"/>
              <w:spacing w:after="0"/>
              <w:rPr>
                <w:sz w:val="20"/>
                <w:szCs w:val="20"/>
                <w:color w:val="auto"/>
              </w:rPr>
            </w:pPr>
            <w:r>
              <w:rPr>
                <w:rFonts w:ascii="Arial" w:cs="Arial" w:eastAsia="Arial" w:hAnsi="Arial"/>
                <w:sz w:val="18"/>
                <w:szCs w:val="18"/>
                <w:color w:val="auto"/>
              </w:rPr>
              <w:t>6,680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6,152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6,719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Europe &amp; Africa*</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9,572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8"/>
                <w:szCs w:val="18"/>
                <w:color w:val="auto"/>
              </w:rPr>
              <w:t>9,670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Middle East &amp; Asia</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8"/>
              </w:rPr>
              <w:t>12,218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w w:val="98"/>
              </w:rPr>
              <w:t>13,026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Other</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8"/>
                <w:szCs w:val="18"/>
                <w:color w:val="auto"/>
              </w:rPr>
              <w:t>194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8"/>
              </w:rPr>
              <w:t>35,708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w w:val="98"/>
              </w:rPr>
              <w:t>36,289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International</w:t>
            </w: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27,942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8"/>
              <w:spacing w:after="0"/>
              <w:rPr>
                <w:sz w:val="20"/>
                <w:szCs w:val="20"/>
                <w:color w:val="auto"/>
              </w:rPr>
            </w:pPr>
            <w:r>
              <w:rPr>
                <w:rFonts w:ascii="Arial" w:cs="Arial" w:eastAsia="Arial" w:hAnsi="Arial"/>
                <w:sz w:val="18"/>
                <w:szCs w:val="18"/>
                <w:color w:val="auto"/>
                <w:w w:val="98"/>
              </w:rPr>
              <w:t>29,415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7,515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6,680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Other</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8"/>
                <w:szCs w:val="18"/>
                <w:color w:val="auto"/>
              </w:rPr>
              <w:t>194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8"/>
              </w:rPr>
              <w:t>35,708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w w:val="98"/>
              </w:rPr>
              <w:t>36,289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Pretax Segment Operating Income</w:t>
            </w: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5,428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6,291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North America</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8"/>
                <w:szCs w:val="18"/>
                <w:color w:val="auto"/>
              </w:rPr>
              <w:t>1,134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(104)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tcPr>
          <w:p>
            <w:pPr>
              <w:spacing w:after="0"/>
              <w:rPr>
                <w:sz w:val="19"/>
                <w:szCs w:val="19"/>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6,574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8"/>
              <w:spacing w:after="0"/>
              <w:rPr>
                <w:sz w:val="20"/>
                <w:szCs w:val="20"/>
                <w:color w:val="auto"/>
              </w:rPr>
            </w:pPr>
            <w:r>
              <w:rPr>
                <w:rFonts w:ascii="Arial" w:cs="Arial" w:eastAsia="Arial" w:hAnsi="Arial"/>
                <w:sz w:val="18"/>
                <w:szCs w:val="18"/>
                <w:color w:val="auto"/>
              </w:rPr>
              <w:t>7,321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Pretax Segment Operating Income Margin</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International</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19 .4%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8"/>
              <w:spacing w:after="0"/>
              <w:rPr>
                <w:sz w:val="20"/>
                <w:szCs w:val="20"/>
                <w:color w:val="auto"/>
              </w:rPr>
            </w:pPr>
            <w:r>
              <w:rPr>
                <w:rFonts w:ascii="Arial" w:cs="Arial" w:eastAsia="Arial" w:hAnsi="Arial"/>
                <w:sz w:val="18"/>
                <w:szCs w:val="18"/>
                <w:color w:val="auto"/>
              </w:rPr>
              <w:t>21.4%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-196 bps</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16 .2%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17.0%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 bps</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Other</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8"/>
                <w:szCs w:val="18"/>
                <w:color w:val="auto"/>
              </w:rPr>
              <w:t>n/m</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18 .4%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20.2%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-177 bps</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7,008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7,900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North America</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8"/>
                <w:szCs w:val="18"/>
                <w:color w:val="auto"/>
              </w:rPr>
              <w:t>1,592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146</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tcPr>
          <w:p>
            <w:pPr>
              <w:spacing w:after="0"/>
              <w:rPr>
                <w:sz w:val="19"/>
                <w:szCs w:val="19"/>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8,995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8"/>
              <w:spacing w:after="0"/>
              <w:rPr>
                <w:sz w:val="20"/>
                <w:szCs w:val="20"/>
                <w:color w:val="auto"/>
              </w:rPr>
            </w:pPr>
            <w:r>
              <w:rPr>
                <w:rFonts w:ascii="Arial" w:cs="Arial" w:eastAsia="Arial" w:hAnsi="Arial"/>
                <w:sz w:val="18"/>
                <w:szCs w:val="18"/>
                <w:color w:val="auto"/>
              </w:rPr>
              <w:t>9,638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(568)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tcPr>
          <w:p>
            <w:pPr>
              <w:spacing w:after="0"/>
              <w:rPr>
                <w:sz w:val="19"/>
                <w:szCs w:val="19"/>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8,463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8"/>
              <w:spacing w:after="0"/>
              <w:rPr>
                <w:sz w:val="20"/>
                <w:szCs w:val="20"/>
                <w:color w:val="auto"/>
              </w:rPr>
            </w:pPr>
            <w:r>
              <w:rPr>
                <w:rFonts w:ascii="Arial" w:cs="Arial" w:eastAsia="Arial" w:hAnsi="Arial"/>
                <w:sz w:val="18"/>
                <w:szCs w:val="18"/>
                <w:color w:val="auto"/>
              </w:rPr>
              <w:t>9,070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International</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25 .1%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8"/>
              <w:spacing w:after="0"/>
              <w:rPr>
                <w:sz w:val="20"/>
                <w:szCs w:val="20"/>
                <w:color w:val="auto"/>
              </w:rPr>
            </w:pPr>
            <w:r>
              <w:rPr>
                <w:rFonts w:ascii="Arial" w:cs="Arial" w:eastAsia="Arial" w:hAnsi="Arial"/>
                <w:sz w:val="18"/>
                <w:szCs w:val="18"/>
                <w:color w:val="auto"/>
              </w:rPr>
              <w:t>26.9%</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-178 bps</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23 .0%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23.8%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-81 bps</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Other</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8"/>
                <w:szCs w:val="18"/>
                <w:color w:val="auto"/>
              </w:rPr>
              <w:t>n/m</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25 .2%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26.6%</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-137 bps</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Corporate &amp; other</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8"/>
                <w:szCs w:val="18"/>
                <w:color w:val="auto"/>
              </w:rPr>
              <w:t>n/m</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23 .7%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25.0%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-129 bps</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Includes Russia and the Caspian region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020"/>
          </w:cols>
          <w:pgMar w:left="440" w:top="279"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Strong Fourth-Quarter Performance as Global Activity Stabilizes</w:t>
      </w:r>
    </w:p>
    <w:p>
      <w:pPr>
        <w:spacing w:after="0" w:line="10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“SLB concluded the year with very strong fourth-quarter results driven by Production Systems, Digital and Reservoir Performance,” said SLB Chief Executive Officer Olivier Le Peuch.</w:t>
      </w:r>
    </w:p>
    <w:p>
      <w:pPr>
        <w:spacing w:after="0" w:line="15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“Fourth-quarter revenue increased sequentially across all four geographies for the first time since the second quarter of 2024, reflecting stabilized global upstream activity. We saw revenue growth both in North America and international markets, further supported by an additional month of ChampionX revenue. Strong year-end product and digital sales in Latin America, the Middle East &amp; Asia, Sub-Saharan Africa and offshore North America also contributed to this performance.</w:t>
      </w:r>
    </w:p>
    <w:p>
      <w:pPr>
        <w:spacing w:after="0" w:line="174" w:lineRule="exact"/>
        <w:rPr>
          <w:sz w:val="20"/>
          <w:szCs w:val="20"/>
          <w:color w:val="auto"/>
        </w:rPr>
      </w:pPr>
    </w:p>
    <w:p>
      <w:pPr>
        <w:ind w:right="560"/>
        <w:spacing w:after="0" w:line="247" w:lineRule="auto"/>
        <w:rPr>
          <w:sz w:val="20"/>
          <w:szCs w:val="20"/>
          <w:color w:val="auto"/>
        </w:rPr>
      </w:pPr>
      <w:r>
        <w:rPr>
          <w:rFonts w:ascii="Arial" w:cs="Arial" w:eastAsia="Arial" w:hAnsi="Arial"/>
          <w:sz w:val="18"/>
          <w:szCs w:val="18"/>
          <w:color w:val="auto"/>
        </w:rPr>
        <w:t>“Although 2025 presented a challenging backdrop for the industry — with lower commodity prices, geopolitical uncertainty and an oversupplied oil market — we continued to build resilience across our portfolio by accelerating our strategy. This included a growing emphasis on production and recovery, increased deployment of AI solutions, and the rapid expansion of our Data Center Solutions business.</w:t>
      </w:r>
    </w:p>
    <w:p>
      <w:pPr>
        <w:spacing w:after="0" w:line="17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“For the full year, lower upstream spending resulted in modest declines in revenue and adjusted EBITDA margin. Nevertheless, we delivered strong cash flow performance, generating $6.5 billion of cash flow from operations and $4.1 billion of free cash flow, enabling us to return $4.0 billion to shareholders. The addition of ChampionX activity and growth in the Digital and Data Center Solutions businesses mostly offset notable revenue declines in Saudi Arabia, Mexico and across Sub-Saharan Africa.</w:t>
      </w:r>
    </w:p>
    <w:p>
      <w:pPr>
        <w:spacing w:after="0" w:line="17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“As we move into 2026, we believe that the headwinds we experienced in key regions in 2025 are behind us. In particular, we expect rig activity in the Middle East to increase compared to today’s level, and our footprint in the region puts us in a strong position to benefit from this recovery,” Le Peuch said.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is Prioritizing Production and Recovery</w:t>
      </w:r>
    </w:p>
    <w:p>
      <w:pPr>
        <w:spacing w:after="0" w:line="10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“As economics remain challenged, production and recovery activity is becoming a strategic priority for our customers in order to unlock incremental barrels at the lowest cost. This is translating into higher demand particularly for intervention services, artificial lift, production chemicals and SLB OneSubsea™.</w:t>
      </w:r>
    </w:p>
    <w:p>
      <w:pPr>
        <w:spacing w:after="0" w:line="169"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“We have already benefited from the strategic addition of ChampionX, which contributed $1.5 billion in revenue with accretive margins for the Production Systems Division and the Core since the closing of the acquisition in July 2025. We expect the positive impact of ChampionX to continue to accelerate in 2026 as we capture further synergies and extend its leading capabilities into additional international markets,” Le Peuch said.</w:t>
      </w:r>
    </w:p>
    <w:p>
      <w:pPr>
        <w:sectPr>
          <w:pgSz w:w="11900" w:h="16838" w:orient="portrait"/>
          <w:cols w:equalWidth="0" w:num="1">
            <w:col w:w="11000"/>
          </w:cols>
          <w:pgMar w:left="440" w:top="269"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Digital and Data Center Solutions Creating Pathways for Growth</w:t>
      </w:r>
    </w:p>
    <w:p>
      <w:pPr>
        <w:spacing w:after="0" w:line="10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“Digital revenue increased 9% on a full -year basis with an adjusted EBITDA margin of 35% driven by significant uptake in Digital Operations as well as steady growth in Platforms &amp; Applications as customers continued to invest in AI and automated solutions to improve performance and efficiency. As these solutions become increasingly intertwined with our customers’ operations, we were proud to see our Digital annualized recurring revenue (ARR) exceed $1 billion at the end of the fourth quarter which increased 15% year on year.</w:t>
      </w:r>
    </w:p>
    <w:p>
      <w:pPr>
        <w:spacing w:after="0" w:line="15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“Meanwhile, our Data Center Solutions business grew 121% year on year. This business is expanding rapidly as we strengthen strategic partnerships with hyperscalers to deliver modular data center manufacturing solutions.</w:t>
      </w:r>
    </w:p>
    <w:p>
      <w:pPr>
        <w:spacing w:after="0" w:line="15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“We expect that Data Center Solutions will be our fastest growing business for years to come, and Digital will continue to grow at highly accretive margins. Both present differentiated growth opportunities for SLB in 2026 and beyond,” said Le Peuch.</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Returns to Shareholders to Exceed $4 Billion in 2026</w:t>
      </w:r>
    </w:p>
    <w:p>
      <w:pPr>
        <w:spacing w:after="0" w:line="10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“SLB has consistently proven that the unique strengths of our portfolio enable us to create differentiated value and generate significant cash flow in varied market conditions.</w:t>
      </w:r>
    </w:p>
    <w:p>
      <w:pPr>
        <w:spacing w:after="0" w:line="154"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“As we move through the year, we anticipate that activity will gradually improve in the key markets where we operate, giving us the confidence that we will generate strong cash flows, once again, in 2026.</w:t>
      </w:r>
    </w:p>
    <w:p>
      <w:pPr>
        <w:spacing w:after="0" w:line="15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“Aligned with our clear priority to create value for investors, we are committed to returning more than $4 billion to shareholders in 2026 through dividends and share repurchases, and we are starting the year with an increase of 3.5% to our quarterly dividend as approved by our Board of Directors,” Le Peuch concluded.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2025, SLB repurchased a total of 60 million shares of its common stock for a total purchase price of $2.41 billion.</w:t>
      </w:r>
    </w:p>
    <w:p>
      <w:pPr>
        <w:spacing w:after="0" w:line="212"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On January 22, 2026, SLB’s Board of Directors approved a 3.5% increase in quarterly cash dividend from $0.285 per share of outstanding common stock to $0.295 per share, beginning with the dividend payable on April 2, 2026, to stockholders of record on February 11, 2026.</w:t>
      </w:r>
    </w:p>
    <w:p>
      <w:pPr>
        <w:sectPr>
          <w:pgSz w:w="11900" w:h="16838" w:orient="portrait"/>
          <w:cols w:equalWidth="0" w:num="1">
            <w:col w:w="10980"/>
          </w:cols>
          <w:pgMar w:left="440" w:top="269" w:right="47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Fourth-Quarter Revenue by Geographical Area</w:t>
      </w:r>
    </w:p>
    <w:p>
      <w:pPr>
        <w:spacing w:after="0" w:line="104" w:lineRule="exact"/>
        <w:rPr>
          <w:sz w:val="20"/>
          <w:szCs w:val="20"/>
          <w:color w:val="auto"/>
        </w:rPr>
      </w:pPr>
    </w:p>
    <w:p>
      <w:pPr>
        <w:ind w:left="4" w:right="60"/>
        <w:spacing w:after="0" w:line="244" w:lineRule="auto"/>
        <w:rPr>
          <w:sz w:val="20"/>
          <w:szCs w:val="20"/>
          <w:color w:val="auto"/>
        </w:rPr>
      </w:pPr>
      <w:r>
        <w:rPr>
          <w:rFonts w:ascii="Arial" w:cs="Arial" w:eastAsia="Arial" w:hAnsi="Arial"/>
          <w:sz w:val="18"/>
          <w:szCs w:val="18"/>
          <w:color w:val="auto"/>
        </w:rPr>
        <w:t>Fourth-quarter revenue of $9.75 billion increased 9% sequentially with international revenue increasing 8% and North America revenue increasing 15%. These results reflect a full quarter of activity from the acquired ChampionX businesses, which contributed $879 million of revenue, consisting of $583 million in North America and $266 million in the international markets. Third-quarter 2025 revenue reflects two months of activity from ChampionX, which contributed revenue of $579 million, consisting of $387 million in North America and $171 million in the international markets.</w:t>
      </w:r>
    </w:p>
    <w:p>
      <w:pPr>
        <w:spacing w:after="0" w:line="176" w:lineRule="exact"/>
        <w:rPr>
          <w:sz w:val="20"/>
          <w:szCs w:val="20"/>
          <w:color w:val="auto"/>
        </w:rPr>
      </w:pPr>
    </w:p>
    <w:p>
      <w:pPr>
        <w:ind w:left="4" w:right="20"/>
        <w:spacing w:after="0" w:line="244" w:lineRule="auto"/>
        <w:rPr>
          <w:sz w:val="20"/>
          <w:szCs w:val="20"/>
          <w:color w:val="auto"/>
        </w:rPr>
      </w:pPr>
      <w:r>
        <w:rPr>
          <w:rFonts w:ascii="Arial" w:cs="Arial" w:eastAsia="Arial" w:hAnsi="Arial"/>
          <w:sz w:val="18"/>
          <w:szCs w:val="18"/>
          <w:color w:val="auto"/>
        </w:rPr>
        <w:t>Excluding the impact of this acquisition, international fourth-quarter 2025 revenue increased 7% and North America fourth-quarter 2025 revenue increased 6% sequentially. Fourth-quarter revenue increased sequentially across all geographical areas for the first time since the second quarter of 2024 as global upstream markets have stabilized. Organic sequential revenue growth both in North America and in the international markets was driven by higher offshore activity and strong year-end product and digital sales, most notably in Latin America, the Middle East &amp; Asia, across Sub-Saharan Africa and in the Gulf of America.</w:t>
      </w:r>
    </w:p>
    <w:p>
      <w:pPr>
        <w:spacing w:after="0" w:line="213"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r>
      <w:tr>
        <w:trPr>
          <w:trHeight w:val="171"/>
        </w:trPr>
        <w:tc>
          <w:tcPr>
            <w:tcW w:w="3820" w:type="dxa"/>
            <w:vAlign w:val="bottom"/>
          </w:tcPr>
          <w:p>
            <w:pPr>
              <w:spacing w:after="0"/>
              <w:rPr>
                <w:sz w:val="20"/>
                <w:szCs w:val="20"/>
                <w:color w:val="auto"/>
              </w:rPr>
            </w:pPr>
            <w:r>
              <w:rPr>
                <w:rFonts w:ascii="Arial" w:cs="Arial" w:eastAsia="Arial" w:hAnsi="Arial"/>
                <w:sz w:val="14"/>
                <w:szCs w:val="14"/>
                <w:b w:val="1"/>
                <w:bCs w:val="1"/>
                <w:color w:val="auto"/>
              </w:rPr>
              <w:t>As reported</w:t>
            </w:r>
          </w:p>
        </w:tc>
        <w:tc>
          <w:tcPr>
            <w:tcW w:w="2220" w:type="dxa"/>
            <w:vAlign w:val="bottom"/>
          </w:tcPr>
          <w:p>
            <w:pPr>
              <w:spacing w:after="0"/>
              <w:rPr>
                <w:sz w:val="14"/>
                <w:szCs w:val="14"/>
                <w:color w:val="auto"/>
              </w:rPr>
            </w:pPr>
          </w:p>
        </w:tc>
        <w:tc>
          <w:tcPr>
            <w:tcW w:w="270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r>
      <w:tr>
        <w:trPr>
          <w:trHeight w:val="146"/>
        </w:trPr>
        <w:tc>
          <w:tcPr>
            <w:tcW w:w="38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tcBorders>
              <w:top w:val="single" w:sz="8" w:color="auto"/>
            </w:tcBorders>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Dec.31,</w:t>
            </w:r>
          </w:p>
        </w:tc>
        <w:tc>
          <w:tcPr>
            <w:tcW w:w="740" w:type="dxa"/>
            <w:vAlign w:val="bottom"/>
            <w:tcBorders>
              <w:top w:val="single" w:sz="8" w:color="auto"/>
            </w:tcBorders>
            <w:gridSpan w:val="2"/>
          </w:tcPr>
          <w:p>
            <w:pPr>
              <w:jc w:val="center"/>
              <w:ind w:right="180"/>
              <w:spacing w:after="0" w:line="147" w:lineRule="exact"/>
              <w:rPr>
                <w:sz w:val="20"/>
                <w:szCs w:val="20"/>
                <w:color w:val="auto"/>
              </w:rPr>
            </w:pPr>
            <w:r>
              <w:rPr>
                <w:rFonts w:ascii="Arial" w:cs="Arial" w:eastAsia="Arial" w:hAnsi="Arial"/>
                <w:sz w:val="14"/>
                <w:szCs w:val="14"/>
                <w:color w:val="auto"/>
                <w:w w:val="99"/>
              </w:rPr>
              <w:t>Sept.30,</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Dec.31,</w:t>
            </w: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382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2025</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Year-on-year</w:t>
            </w:r>
          </w:p>
        </w:tc>
        <w:tc>
          <w:tcPr>
            <w:tcW w:w="220" w:type="dxa"/>
            <w:vAlign w:val="bottom"/>
            <w:tcBorders>
              <w:bottom w:val="single" w:sz="8" w:color="CCEEFF"/>
            </w:tcBorders>
          </w:tcPr>
          <w:p>
            <w:pPr>
              <w:spacing w:after="0"/>
              <w:rPr>
                <w:sz w:val="14"/>
                <w:szCs w:val="14"/>
                <w:color w:val="auto"/>
              </w:rPr>
            </w:pPr>
          </w:p>
        </w:tc>
      </w:tr>
      <w:tr>
        <w:trPr>
          <w:trHeight w:val="196"/>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 America</w:t>
            </w:r>
          </w:p>
        </w:tc>
        <w:tc>
          <w:tcPr>
            <w:tcW w:w="2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$2,212</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$1,930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$1,752</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15%</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26%</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Latin America</w:t>
            </w:r>
          </w:p>
        </w:tc>
        <w:tc>
          <w:tcPr>
            <w:tcW w:w="31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1,684</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1,482</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1,634</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14%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Europe &amp; Africa*</w:t>
            </w:r>
          </w:p>
        </w:tc>
        <w:tc>
          <w:tcPr>
            <w:tcW w:w="3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2,534</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2,434</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2,472</w:t>
            </w:r>
          </w:p>
        </w:tc>
        <w:tc>
          <w:tcPr>
            <w:tcW w:w="12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b w:val="1"/>
                <w:bCs w:val="1"/>
                <w:color w:val="auto"/>
              </w:rPr>
              <w:t>4%</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Middle East &amp; Asia</w:t>
            </w:r>
          </w:p>
        </w:tc>
        <w:tc>
          <w:tcPr>
            <w:tcW w:w="31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3,234</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3,000</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3,376</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8%</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12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b w:val="1"/>
                <w:bCs w:val="1"/>
                <w:color w:val="auto"/>
              </w:rPr>
              <w:t>n/m</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0"/>
        </w:trPr>
        <w:tc>
          <w:tcPr>
            <w:tcW w:w="3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3820" w:type="dxa"/>
            <w:vAlign w:val="bottom"/>
          </w:tcPr>
          <w:p>
            <w:pPr>
              <w:spacing w:after="0"/>
              <w:rPr>
                <w:sz w:val="19"/>
                <w:szCs w:val="19"/>
                <w:color w:val="auto"/>
              </w:rPr>
            </w:pPr>
          </w:p>
        </w:tc>
        <w:tc>
          <w:tcPr>
            <w:tcW w:w="3120" w:type="dxa"/>
            <w:vAlign w:val="bottom"/>
            <w:gridSpan w:val="3"/>
          </w:tcPr>
          <w:p>
            <w:pPr>
              <w:jc w:val="right"/>
              <w:ind w:right="3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9,745</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8,928</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9,284</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0"/>
        </w:trPr>
        <w:tc>
          <w:tcPr>
            <w:tcW w:w="3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3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$7,453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$6,916</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$7,483</w:t>
            </w:r>
          </w:p>
        </w:tc>
        <w:tc>
          <w:tcPr>
            <w:tcW w:w="12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b w:val="1"/>
                <w:bCs w:val="1"/>
                <w:color w:val="auto"/>
              </w:rPr>
              <w:t>8%</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47"/>
        </w:trPr>
        <w:tc>
          <w:tcPr>
            <w:tcW w:w="3820" w:type="dxa"/>
            <w:vAlign w:val="bottom"/>
          </w:tcPr>
          <w:p>
            <w:pPr>
              <w:spacing w:after="0"/>
              <w:rPr>
                <w:sz w:val="20"/>
                <w:szCs w:val="20"/>
                <w:color w:val="auto"/>
              </w:rPr>
            </w:pPr>
            <w:r>
              <w:rPr>
                <w:rFonts w:ascii="Arial" w:cs="Arial" w:eastAsia="Arial" w:hAnsi="Arial"/>
                <w:sz w:val="18"/>
                <w:szCs w:val="18"/>
                <w:color w:val="auto"/>
              </w:rPr>
              <w:t>North America</w:t>
            </w:r>
          </w:p>
        </w:tc>
        <w:tc>
          <w:tcPr>
            <w:tcW w:w="31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$2,212</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$1,930</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$1,752</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15%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bl>
    <w:p>
      <w:pPr>
        <w:spacing w:after="0" w:line="193" w:lineRule="exact"/>
        <w:rPr>
          <w:sz w:val="20"/>
          <w:szCs w:val="20"/>
          <w:color w:val="auto"/>
        </w:rPr>
      </w:pPr>
    </w:p>
    <w:p>
      <w:pPr>
        <w:ind w:left="4" w:right="7620" w:hanging="4"/>
        <w:spacing w:after="0" w:line="271" w:lineRule="auto"/>
        <w:tabs>
          <w:tab w:leader="none" w:pos="216"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Russia and the Caspian region n/m = not meaningful</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and commentary are presented on a pro forma basis assuming that ChampionX was acquired on January 1, 2024.</w:t>
      </w:r>
    </w:p>
    <w:p>
      <w:pPr>
        <w:sectPr>
          <w:pgSz w:w="11900" w:h="16838" w:orient="portrait"/>
          <w:cols w:equalWidth="0" w:num="1">
            <w:col w:w="11024"/>
          </w:cols>
          <w:pgMar w:left="436" w:top="269" w:right="439" w:bottom="1440" w:gutter="0" w:footer="0" w:header="0"/>
        </w:sectPr>
      </w:pPr>
    </w:p>
    <w:bookmarkStart w:id="12" w:name="page13"/>
    <w:bookmarkEnd w:id="12"/>
    <w:p>
      <w:pPr>
        <w:spacing w:after="0" w:line="162"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Pro forma</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North America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Latin America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Europe &amp; Africa*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Middle East &amp; Asia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Eliminations &amp; other</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color w:val="auto"/>
        </w:rPr>
        <w:t>International</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North America</w:t>
      </w:r>
    </w:p>
    <w:p>
      <w:pPr>
        <w:spacing w:after="0" w:line="234" w:lineRule="exact"/>
        <w:rPr>
          <w:sz w:val="20"/>
          <w:szCs w:val="20"/>
          <w:color w:val="auto"/>
        </w:rPr>
      </w:pPr>
    </w:p>
    <w:p>
      <w:pPr>
        <w:ind w:left="4" w:right="1800" w:hanging="4"/>
        <w:spacing w:after="0" w:line="271"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Russia and the Caspian region n/m = not meaningful</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International</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Latin America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4"/>
                <w:szCs w:val="14"/>
                <w:color w:val="auto"/>
              </w:rPr>
              <w:t>(Stated in millions)</w:t>
            </w:r>
          </w:p>
        </w:tc>
      </w:tr>
      <w:tr>
        <w:trPr>
          <w:trHeight w:val="171"/>
        </w:trPr>
        <w:tc>
          <w:tcPr>
            <w:tcW w:w="20" w:type="dxa"/>
            <w:vAlign w:val="bottom"/>
          </w:tcPr>
          <w:p>
            <w:pPr>
              <w:spacing w:after="0"/>
              <w:rPr>
                <w:sz w:val="14"/>
                <w:szCs w:val="14"/>
                <w:color w:val="auto"/>
              </w:rPr>
            </w:pPr>
          </w:p>
        </w:tc>
        <w:tc>
          <w:tcPr>
            <w:tcW w:w="280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148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rPr>
              <w:t>Change</w:t>
            </w:r>
          </w:p>
        </w:tc>
      </w:tr>
      <w:tr>
        <w:trPr>
          <w:trHeight w:val="146"/>
        </w:trPr>
        <w:tc>
          <w:tcPr>
            <w:tcW w:w="20" w:type="dxa"/>
            <w:vAlign w:val="bottom"/>
          </w:tcPr>
          <w:p>
            <w:pPr>
              <w:spacing w:after="0"/>
              <w:rPr>
                <w:sz w:val="12"/>
                <w:szCs w:val="12"/>
                <w:color w:val="auto"/>
              </w:rPr>
            </w:pPr>
          </w:p>
        </w:tc>
        <w:tc>
          <w:tcPr>
            <w:tcW w:w="5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w w:val="98"/>
              </w:rPr>
              <w:t>Dec. 31,</w:t>
            </w: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340"/>
              <w:spacing w:after="0" w:line="147" w:lineRule="exact"/>
              <w:rPr>
                <w:sz w:val="20"/>
                <w:szCs w:val="20"/>
                <w:color w:val="auto"/>
              </w:rPr>
            </w:pPr>
            <w:r>
              <w:rPr>
                <w:rFonts w:ascii="Arial" w:cs="Arial" w:eastAsia="Arial" w:hAnsi="Arial"/>
                <w:sz w:val="14"/>
                <w:szCs w:val="14"/>
                <w:color w:val="auto"/>
              </w:rPr>
              <w:t>Sept. 30,</w:t>
            </w:r>
          </w:p>
        </w:tc>
        <w:tc>
          <w:tcPr>
            <w:tcW w:w="66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4"/>
                <w:szCs w:val="14"/>
                <w:color w:val="auto"/>
              </w:rPr>
              <w:t>Dec. 31,</w:t>
            </w: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5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2025</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2024</w:t>
            </w:r>
          </w:p>
        </w:tc>
        <w:tc>
          <w:tcPr>
            <w:tcW w:w="3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4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Year-on-year</w:t>
            </w:r>
          </w:p>
        </w:tc>
        <w:tc>
          <w:tcPr>
            <w:tcW w:w="16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5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4"/>
              </w:rPr>
              <w:t>$2,212</w:t>
            </w:r>
          </w:p>
        </w:tc>
        <w:tc>
          <w:tcPr>
            <w:tcW w:w="320" w:type="dxa"/>
            <w:vAlign w:val="bottom"/>
          </w:tcPr>
          <w:p>
            <w:pPr>
              <w:spacing w:after="0"/>
              <w:rPr>
                <w:sz w:val="16"/>
                <w:szCs w:val="16"/>
                <w:color w:val="auto"/>
              </w:rPr>
            </w:pPr>
          </w:p>
        </w:tc>
        <w:tc>
          <w:tcPr>
            <w:tcW w:w="580" w:type="dxa"/>
            <w:vAlign w:val="bottom"/>
          </w:tcPr>
          <w:p>
            <w:pPr>
              <w:jc w:val="center"/>
              <w:spacing w:after="0" w:line="191" w:lineRule="exact"/>
              <w:rPr>
                <w:sz w:val="20"/>
                <w:szCs w:val="20"/>
                <w:color w:val="auto"/>
              </w:rPr>
            </w:pPr>
            <w:r>
              <w:rPr>
                <w:rFonts w:ascii="Arial" w:cs="Arial" w:eastAsia="Arial" w:hAnsi="Arial"/>
                <w:sz w:val="18"/>
                <w:szCs w:val="18"/>
                <w:color w:val="auto"/>
                <w:w w:val="96"/>
              </w:rPr>
              <w:t>$ 2,134</w:t>
            </w:r>
          </w:p>
        </w:tc>
        <w:tc>
          <w:tcPr>
            <w:tcW w:w="34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91" w:lineRule="exact"/>
              <w:rPr>
                <w:sz w:val="20"/>
                <w:szCs w:val="20"/>
                <w:color w:val="auto"/>
              </w:rPr>
            </w:pPr>
            <w:r>
              <w:rPr>
                <w:rFonts w:ascii="Arial" w:cs="Arial" w:eastAsia="Arial" w:hAnsi="Arial"/>
                <w:sz w:val="18"/>
                <w:szCs w:val="18"/>
                <w:color w:val="auto"/>
              </w:rPr>
              <w:t>2,298</w:t>
            </w:r>
          </w:p>
        </w:tc>
        <w:tc>
          <w:tcPr>
            <w:tcW w:w="340" w:type="dxa"/>
            <w:vAlign w:val="bottom"/>
          </w:tcPr>
          <w:p>
            <w:pPr>
              <w:spacing w:after="0"/>
              <w:rPr>
                <w:sz w:val="16"/>
                <w:szCs w:val="16"/>
                <w:color w:val="auto"/>
              </w:rPr>
            </w:pPr>
          </w:p>
        </w:tc>
        <w:tc>
          <w:tcPr>
            <w:tcW w:w="1220" w:type="dxa"/>
            <w:vAlign w:val="bottom"/>
            <w:gridSpan w:val="2"/>
          </w:tcPr>
          <w:p>
            <w:pPr>
              <w:jc w:val="right"/>
              <w:ind w:right="248"/>
              <w:spacing w:after="0" w:line="191" w:lineRule="exact"/>
              <w:rPr>
                <w:sz w:val="20"/>
                <w:szCs w:val="20"/>
                <w:color w:val="auto"/>
              </w:rPr>
            </w:pPr>
            <w:r>
              <w:rPr>
                <w:rFonts w:ascii="Arial" w:cs="Arial" w:eastAsia="Arial" w:hAnsi="Arial"/>
                <w:sz w:val="18"/>
                <w:szCs w:val="18"/>
                <w:b w:val="1"/>
                <w:bCs w:val="1"/>
                <w:color w:val="auto"/>
              </w:rPr>
              <w:t>4%</w:t>
            </w:r>
          </w:p>
        </w:tc>
        <w:tc>
          <w:tcPr>
            <w:tcW w:w="100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-4%</w:t>
            </w:r>
          </w:p>
        </w:tc>
      </w:tr>
      <w:tr>
        <w:trPr>
          <w:trHeight w:val="216"/>
        </w:trPr>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1,684</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1,704</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12%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2,534</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2,462</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2,563</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3,234</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3,032</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3,490</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21"/>
        </w:trPr>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3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89</w:t>
            </w:r>
          </w:p>
        </w:tc>
        <w:tc>
          <w:tcPr>
            <w:tcW w:w="1220" w:type="dxa"/>
            <w:vAlign w:val="bottom"/>
            <w:gridSpan w:val="2"/>
          </w:tcPr>
          <w:p>
            <w:pPr>
              <w:jc w:val="right"/>
              <w:ind w:right="408"/>
              <w:spacing w:after="0"/>
              <w:rPr>
                <w:sz w:val="20"/>
                <w:szCs w:val="20"/>
                <w:color w:val="auto"/>
              </w:rPr>
            </w:pPr>
            <w:r>
              <w:rPr>
                <w:rFonts w:ascii="Arial" w:cs="Arial" w:eastAsia="Arial" w:hAnsi="Arial"/>
                <w:sz w:val="18"/>
                <w:szCs w:val="18"/>
                <w:b w:val="1"/>
                <w:bCs w:val="1"/>
                <w:color w:val="auto"/>
              </w:rPr>
              <w:t>n/m</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r>
      <w:tr>
        <w:trPr>
          <w:trHeight w:val="20"/>
        </w:trPr>
        <w:tc>
          <w:tcPr>
            <w:tcW w:w="2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58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9,745</w:t>
            </w:r>
          </w:p>
        </w:tc>
        <w:tc>
          <w:tcPr>
            <w:tcW w:w="3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$ 9,229</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10,144</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5"/>
        </w:trPr>
        <w:tc>
          <w:tcPr>
            <w:tcW w:w="58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8"/>
              </w:rPr>
              <w:t>$7,453</w:t>
            </w:r>
          </w:p>
        </w:tc>
        <w:tc>
          <w:tcPr>
            <w:tcW w:w="1240" w:type="dxa"/>
            <w:vAlign w:val="bottom"/>
            <w:gridSpan w:val="3"/>
          </w:tcPr>
          <w:p>
            <w:pPr>
              <w:jc w:val="right"/>
              <w:ind w:right="340"/>
              <w:spacing w:after="0" w:line="205" w:lineRule="exact"/>
              <w:rPr>
                <w:sz w:val="20"/>
                <w:szCs w:val="20"/>
                <w:color w:val="auto"/>
              </w:rPr>
            </w:pPr>
            <w:r>
              <w:rPr>
                <w:rFonts w:ascii="Arial" w:cs="Arial" w:eastAsia="Arial" w:hAnsi="Arial"/>
                <w:sz w:val="18"/>
                <w:szCs w:val="18"/>
                <w:color w:val="auto"/>
              </w:rPr>
              <w:t>$ 7,001</w:t>
            </w:r>
          </w:p>
        </w:tc>
        <w:tc>
          <w:tcPr>
            <w:tcW w:w="12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line="205" w:lineRule="exact"/>
              <w:rPr>
                <w:sz w:val="20"/>
                <w:szCs w:val="20"/>
                <w:color w:val="auto"/>
              </w:rPr>
            </w:pPr>
            <w:r>
              <w:rPr>
                <w:rFonts w:ascii="Arial" w:cs="Arial" w:eastAsia="Arial" w:hAnsi="Arial"/>
                <w:sz w:val="18"/>
                <w:szCs w:val="18"/>
                <w:color w:val="auto"/>
              </w:rPr>
              <w:t>7,757</w:t>
            </w:r>
          </w:p>
        </w:tc>
        <w:tc>
          <w:tcPr>
            <w:tcW w:w="1220" w:type="dxa"/>
            <w:vAlign w:val="bottom"/>
            <w:gridSpan w:val="2"/>
          </w:tcPr>
          <w:p>
            <w:pPr>
              <w:jc w:val="right"/>
              <w:ind w:right="248"/>
              <w:spacing w:after="0" w:line="205" w:lineRule="exact"/>
              <w:rPr>
                <w:sz w:val="20"/>
                <w:szCs w:val="20"/>
                <w:color w:val="auto"/>
              </w:rPr>
            </w:pPr>
            <w:r>
              <w:rPr>
                <w:rFonts w:ascii="Arial" w:cs="Arial" w:eastAsia="Arial" w:hAnsi="Arial"/>
                <w:sz w:val="18"/>
                <w:szCs w:val="18"/>
                <w:b w:val="1"/>
                <w:bCs w:val="1"/>
                <w:color w:val="auto"/>
              </w:rPr>
              <w:t>6%</w:t>
            </w:r>
          </w:p>
        </w:tc>
        <w:tc>
          <w:tcPr>
            <w:tcW w:w="10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-4%</w:t>
            </w:r>
          </w:p>
        </w:tc>
      </w:tr>
      <w:tr>
        <w:trPr>
          <w:trHeight w:val="247"/>
        </w:trPr>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$2,212</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$ 2,134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2,298</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-1678940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-1163955</wp:posOffset>
            </wp:positionV>
            <wp:extent cx="699516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-889635</wp:posOffset>
            </wp:positionV>
            <wp:extent cx="699516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-615315</wp:posOffset>
            </wp:positionV>
            <wp:extent cx="699516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-289560</wp:posOffset>
            </wp:positionV>
            <wp:extent cx="699516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549" w:lineRule="exact"/>
        <w:rPr>
          <w:sz w:val="20"/>
          <w:szCs w:val="20"/>
          <w:color w:val="auto"/>
        </w:rPr>
      </w:pPr>
    </w:p>
    <w:p>
      <w:pPr>
        <w:sectPr>
          <w:pgSz w:w="11900" w:h="16838" w:orient="portrait"/>
          <w:cols w:equalWidth="0" w:num="2">
            <w:col w:w="5204" w:space="720"/>
            <w:col w:w="5040"/>
          </w:cols>
          <w:pgMar w:left="436" w:top="279" w:right="499" w:bottom="1440" w:gutter="0" w:footer="0" w:header="0"/>
        </w:sectPr>
      </w:pPr>
    </w:p>
    <w:p>
      <w:pPr>
        <w:ind w:left="4" w:right="20"/>
        <w:spacing w:after="0" w:line="253" w:lineRule="auto"/>
        <w:rPr>
          <w:sz w:val="20"/>
          <w:szCs w:val="20"/>
          <w:color w:val="auto"/>
        </w:rPr>
      </w:pPr>
      <w:r>
        <w:rPr>
          <w:rFonts w:ascii="Arial" w:cs="Arial" w:eastAsia="Arial" w:hAnsi="Arial"/>
          <w:sz w:val="18"/>
          <w:szCs w:val="18"/>
          <w:color w:val="auto"/>
        </w:rPr>
        <w:t>Revenue in Latin America of $1.68 billion increased 12% sequentially, driven by increased sales of completions and subsea production systems in Brazil, as well as the resumption of production in the Asset Peformance Solutions (APS) projects in Ecuador following the prior quarter’s pipeline-related disruption.</w:t>
      </w:r>
    </w:p>
    <w:p>
      <w:pPr>
        <w:spacing w:after="0" w:line="169" w:lineRule="exact"/>
        <w:rPr>
          <w:sz w:val="20"/>
          <w:szCs w:val="20"/>
          <w:color w:val="auto"/>
        </w:rPr>
      </w:pPr>
    </w:p>
    <w:p>
      <w:pPr>
        <w:ind w:left="4" w:right="360"/>
        <w:spacing w:after="0" w:line="271" w:lineRule="auto"/>
        <w:rPr>
          <w:sz w:val="20"/>
          <w:szCs w:val="20"/>
          <w:color w:val="auto"/>
        </w:rPr>
      </w:pPr>
      <w:r>
        <w:rPr>
          <w:rFonts w:ascii="Arial" w:cs="Arial" w:eastAsia="Arial" w:hAnsi="Arial"/>
          <w:sz w:val="18"/>
          <w:szCs w:val="18"/>
          <w:color w:val="auto"/>
        </w:rPr>
        <w:t>Year over year, revenue declined 1%, primarily due to a significant reduction in land activity in Mexico, almost fully offset by increased offshore activity in Guyana and robust hydraulic fracturing activity in Argentina.</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Europe &amp; Africa</w:t>
      </w:r>
    </w:p>
    <w:p>
      <w:pPr>
        <w:spacing w:after="0" w:line="104" w:lineRule="exact"/>
        <w:rPr>
          <w:sz w:val="20"/>
          <w:szCs w:val="20"/>
          <w:color w:val="auto"/>
        </w:rPr>
      </w:pPr>
    </w:p>
    <w:p>
      <w:pPr>
        <w:ind w:left="4" w:right="300"/>
        <w:spacing w:after="0" w:line="271" w:lineRule="auto"/>
        <w:rPr>
          <w:sz w:val="20"/>
          <w:szCs w:val="20"/>
          <w:color w:val="auto"/>
        </w:rPr>
      </w:pPr>
      <w:r>
        <w:rPr>
          <w:rFonts w:ascii="Arial" w:cs="Arial" w:eastAsia="Arial" w:hAnsi="Arial"/>
          <w:sz w:val="18"/>
          <w:szCs w:val="18"/>
          <w:color w:val="auto"/>
        </w:rPr>
        <w:t>Revenue in Europe &amp; Africa of $2.53 billion increased 3% sequentially, supported by improved activity across deepwater Sub-Saharan Africa and Europe, partially offset by lower activity in North Africa and Scandinavia.</w:t>
      </w:r>
    </w:p>
    <w:p>
      <w:pPr>
        <w:spacing w:after="0" w:line="154" w:lineRule="exact"/>
        <w:rPr>
          <w:sz w:val="20"/>
          <w:szCs w:val="20"/>
          <w:color w:val="auto"/>
        </w:rPr>
      </w:pPr>
    </w:p>
    <w:p>
      <w:pPr>
        <w:ind w:left="4" w:right="260"/>
        <w:spacing w:after="0" w:line="271" w:lineRule="auto"/>
        <w:rPr>
          <w:sz w:val="20"/>
          <w:szCs w:val="20"/>
          <w:color w:val="auto"/>
        </w:rPr>
      </w:pPr>
      <w:r>
        <w:rPr>
          <w:rFonts w:ascii="Arial" w:cs="Arial" w:eastAsia="Arial" w:hAnsi="Arial"/>
          <w:sz w:val="18"/>
          <w:szCs w:val="18"/>
          <w:color w:val="auto"/>
        </w:rPr>
        <w:t>Year over year, revenue declined 1%, as strong activity in Nigeria and Azerbaijan was more than offset by lower activity in North Africa, Europe and Scandinavia.</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Middle East &amp; Asia</w:t>
      </w:r>
    </w:p>
    <w:p>
      <w:pPr>
        <w:spacing w:after="0" w:line="104" w:lineRule="exact"/>
        <w:rPr>
          <w:sz w:val="20"/>
          <w:szCs w:val="20"/>
          <w:color w:val="auto"/>
        </w:rPr>
      </w:pPr>
    </w:p>
    <w:p>
      <w:pPr>
        <w:ind w:left="4" w:right="440"/>
        <w:spacing w:after="0" w:line="271" w:lineRule="auto"/>
        <w:rPr>
          <w:sz w:val="20"/>
          <w:szCs w:val="20"/>
          <w:color w:val="auto"/>
        </w:rPr>
      </w:pPr>
      <w:r>
        <w:rPr>
          <w:rFonts w:ascii="Arial" w:cs="Arial" w:eastAsia="Arial" w:hAnsi="Arial"/>
          <w:sz w:val="18"/>
          <w:szCs w:val="18"/>
          <w:color w:val="auto"/>
        </w:rPr>
        <w:t>Revenue in the Middle East &amp; Asia of $3.23 billion increased 7% sequentially, driven by a rebound in Saudi Arabia, along with robust activity in East Asia, Egypt, Australia, United Arab Emirates and Indonesia.</w:t>
      </w:r>
    </w:p>
    <w:p>
      <w:pPr>
        <w:spacing w:after="0" w:line="154" w:lineRule="exact"/>
        <w:rPr>
          <w:sz w:val="20"/>
          <w:szCs w:val="20"/>
          <w:color w:val="auto"/>
        </w:rPr>
      </w:pPr>
    </w:p>
    <w:p>
      <w:pPr>
        <w:ind w:left="4" w:right="100"/>
        <w:spacing w:after="0" w:line="271" w:lineRule="auto"/>
        <w:rPr>
          <w:sz w:val="20"/>
          <w:szCs w:val="20"/>
          <w:color w:val="auto"/>
        </w:rPr>
      </w:pPr>
      <w:r>
        <w:rPr>
          <w:rFonts w:ascii="Arial" w:cs="Arial" w:eastAsia="Arial" w:hAnsi="Arial"/>
          <w:sz w:val="18"/>
          <w:szCs w:val="18"/>
          <w:color w:val="auto"/>
        </w:rPr>
        <w:t>Year over year, revenue decreased 7%, as higher activity in East Asia, Iraq, United Arab Emirates, Oman and India was more than offset by significantly reduced activity in Saudi Arabia.</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North America</w:t>
      </w:r>
    </w:p>
    <w:p>
      <w:pPr>
        <w:spacing w:after="0" w:line="104" w:lineRule="exact"/>
        <w:rPr>
          <w:sz w:val="20"/>
          <w:szCs w:val="20"/>
          <w:color w:val="auto"/>
        </w:rPr>
      </w:pPr>
    </w:p>
    <w:p>
      <w:pPr>
        <w:ind w:left="4"/>
        <w:spacing w:after="0" w:line="271" w:lineRule="auto"/>
        <w:rPr>
          <w:sz w:val="20"/>
          <w:szCs w:val="20"/>
          <w:color w:val="auto"/>
        </w:rPr>
      </w:pPr>
      <w:r>
        <w:rPr>
          <w:rFonts w:ascii="Arial" w:cs="Arial" w:eastAsia="Arial" w:hAnsi="Arial"/>
          <w:sz w:val="18"/>
          <w:szCs w:val="18"/>
          <w:color w:val="auto"/>
        </w:rPr>
        <w:t>Revenue in North America of $2.21 billion increased 4% sequentially, due to higher offshore activity driven by increased digital exploration sales, higher drilling activity and increased sales of production systems, while U.S. land revenue remained flat.</w:t>
      </w:r>
    </w:p>
    <w:p>
      <w:pPr>
        <w:spacing w:after="0" w:line="154" w:lineRule="exact"/>
        <w:rPr>
          <w:sz w:val="20"/>
          <w:szCs w:val="20"/>
          <w:color w:val="auto"/>
        </w:rPr>
      </w:pPr>
    </w:p>
    <w:p>
      <w:pPr>
        <w:ind w:left="4" w:right="260"/>
        <w:spacing w:after="0" w:line="271" w:lineRule="auto"/>
        <w:rPr>
          <w:sz w:val="20"/>
          <w:szCs w:val="20"/>
          <w:color w:val="auto"/>
        </w:rPr>
      </w:pPr>
      <w:r>
        <w:rPr>
          <w:rFonts w:ascii="Arial" w:cs="Arial" w:eastAsia="Arial" w:hAnsi="Arial"/>
          <w:sz w:val="18"/>
          <w:szCs w:val="18"/>
          <w:color w:val="auto"/>
        </w:rPr>
        <w:t>Year over year, revenue declined 4%, primarily due to the divestiture of the APS project in Canada in the second quarter of 2025 and a sharp reduction in U.S. land drilling activity, partially offset by growth in Data Center Solutions.</w:t>
      </w:r>
    </w:p>
    <w:p>
      <w:pPr>
        <w:sectPr>
          <w:pgSz w:w="11900" w:h="16838" w:orient="portrait"/>
          <w:cols w:equalWidth="0" w:num="1">
            <w:col w:w="10964"/>
          </w:cols>
          <w:pgMar w:left="436" w:top="279" w:right="499" w:bottom="1440" w:gutter="0" w:footer="0" w:header="0"/>
          <w:type w:val="continuous"/>
        </w:sectPr>
      </w:pPr>
    </w:p>
    <w:bookmarkStart w:id="13" w:name="page14"/>
    <w:bookmarkEnd w:id="1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Fourth-Quarter Results by Division</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Digital</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2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720" w:type="dxa"/>
            <w:vAlign w:val="bottom"/>
          </w:tcPr>
          <w:p>
            <w:pPr>
              <w:spacing w:after="0"/>
              <w:rPr>
                <w:sz w:val="12"/>
                <w:szCs w:val="12"/>
                <w:color w:val="auto"/>
              </w:rPr>
            </w:pPr>
          </w:p>
        </w:tc>
        <w:tc>
          <w:tcPr>
            <w:tcW w:w="8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Dec. 31,</w:t>
            </w: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Sept. 30,</w:t>
            </w:r>
          </w:p>
        </w:tc>
        <w:tc>
          <w:tcPr>
            <w:tcW w:w="54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w w:val="99"/>
              </w:rPr>
              <w:t>Dec. 31,</w:t>
            </w:r>
          </w:p>
        </w:tc>
        <w:tc>
          <w:tcPr>
            <w:tcW w:w="4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color w:val="auto"/>
              </w:rPr>
              <w:t>2025</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color w:val="auto"/>
                <w:w w:val="96"/>
              </w:rPr>
              <w:t>2024</w:t>
            </w:r>
          </w:p>
        </w:tc>
        <w:tc>
          <w:tcPr>
            <w:tcW w:w="460" w:type="dxa"/>
            <w:vAlign w:val="bottom"/>
          </w:tcPr>
          <w:p>
            <w:pPr>
              <w:spacing w:after="0"/>
              <w:rPr>
                <w:sz w:val="14"/>
                <w:szCs w:val="14"/>
                <w:color w:val="auto"/>
              </w:rPr>
            </w:pPr>
          </w:p>
        </w:tc>
        <w:tc>
          <w:tcPr>
            <w:tcW w:w="118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w w:val="98"/>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96"/>
        </w:trPr>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593</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503</w:t>
            </w:r>
          </w:p>
        </w:tc>
        <w:tc>
          <w:tcPr>
            <w:tcW w:w="118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19%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229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w:t>
            </w: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47%</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72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n/m</w:t>
            </w:r>
          </w:p>
        </w:tc>
        <w:tc>
          <w:tcPr>
            <w:tcW w:w="4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825</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705</w:t>
            </w: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25%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280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242</w:t>
            </w:r>
          </w:p>
        </w:tc>
        <w:tc>
          <w:tcPr>
            <w:tcW w:w="118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50%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34.0%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11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b w:val="1"/>
                <w:bCs w:val="1"/>
                <w:color w:val="auto"/>
              </w:rPr>
              <w:t>557 bps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 bps</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18"/>
                <w:szCs w:val="18"/>
                <w:color w:val="auto"/>
              </w:rPr>
            </w:pPr>
          </w:p>
        </w:tc>
        <w:tc>
          <w:tcPr>
            <w:tcW w:w="76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346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289</w:t>
            </w:r>
          </w:p>
        </w:tc>
        <w:tc>
          <w:tcPr>
            <w:tcW w:w="118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61%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42.0%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41.0%</w:t>
            </w:r>
          </w:p>
        </w:tc>
        <w:tc>
          <w:tcPr>
            <w:tcW w:w="11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b w:val="1"/>
                <w:bCs w:val="1"/>
                <w:color w:val="auto"/>
              </w:rPr>
              <w:t>929 bps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 bps</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 w:right="1700" w:hanging="4"/>
        <w:spacing w:after="0" w:line="271"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are non-GAAP financial measures. See reconciliation in the section “Supplementary Information” for details. n/m = not meaningful</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milions)</w:t>
            </w:r>
          </w:p>
        </w:tc>
      </w:tr>
      <w:tr>
        <w:trPr>
          <w:trHeight w:val="171"/>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7"/>
          </w:tcPr>
          <w:p>
            <w:pPr>
              <w:jc w:val="center"/>
              <w:ind w:left="25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Change</w:t>
            </w:r>
          </w:p>
        </w:tc>
      </w:tr>
      <w:tr>
        <w:trPr>
          <w:trHeight w:val="146"/>
        </w:trPr>
        <w:tc>
          <w:tcPr>
            <w:tcW w:w="5840" w:type="dxa"/>
            <w:vAlign w:val="bottom"/>
          </w:tcPr>
          <w:p>
            <w:pPr>
              <w:spacing w:after="0"/>
              <w:rPr>
                <w:sz w:val="12"/>
                <w:szCs w:val="12"/>
                <w:color w:val="auto"/>
              </w:rPr>
            </w:pPr>
          </w:p>
        </w:tc>
        <w:tc>
          <w:tcPr>
            <w:tcW w:w="56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4"/>
                <w:szCs w:val="14"/>
                <w:b w:val="1"/>
                <w:bCs w:val="1"/>
                <w:color w:val="auto"/>
              </w:rPr>
              <w:t>Dec. 31,</w:t>
            </w: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Sept. 30,</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w w:val="99"/>
              </w:rPr>
              <w:t>Dec. 31,</w:t>
            </w:r>
          </w:p>
        </w:tc>
        <w:tc>
          <w:tcPr>
            <w:tcW w:w="3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5"/>
              <w:spacing w:after="0"/>
              <w:rPr>
                <w:sz w:val="20"/>
                <w:szCs w:val="20"/>
                <w:color w:val="auto"/>
              </w:rPr>
            </w:pPr>
            <w:r>
              <w:rPr>
                <w:rFonts w:ascii="Arial" w:cs="Arial" w:eastAsia="Arial" w:hAnsi="Arial"/>
                <w:sz w:val="14"/>
                <w:szCs w:val="14"/>
                <w:b w:val="1"/>
                <w:bCs w:val="1"/>
                <w:color w:val="auto"/>
              </w:rPr>
              <w:t>2025</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color w:val="auto"/>
                <w:w w:val="96"/>
              </w:rPr>
              <w:t>2024</w:t>
            </w:r>
          </w:p>
        </w:tc>
        <w:tc>
          <w:tcPr>
            <w:tcW w:w="380" w:type="dxa"/>
            <w:vAlign w:val="bottom"/>
          </w:tcPr>
          <w:p>
            <w:pPr>
              <w:spacing w:after="0"/>
              <w:rPr>
                <w:sz w:val="14"/>
                <w:szCs w:val="14"/>
                <w:color w:val="auto"/>
              </w:rPr>
            </w:pPr>
          </w:p>
        </w:tc>
        <w:tc>
          <w:tcPr>
            <w:tcW w:w="9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Sequential</w:t>
            </w:r>
          </w:p>
        </w:tc>
        <w:tc>
          <w:tcPr>
            <w:tcW w:w="34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r>
      <w:tr>
        <w:trPr>
          <w:trHeight w:val="196"/>
        </w:trPr>
        <w:tc>
          <w:tcPr>
            <w:tcW w:w="5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Platforms &amp; Applications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291</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273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301</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Digital Operations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Digital Exploration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136</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129%</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0"/>
        </w:trPr>
        <w:tc>
          <w:tcPr>
            <w:tcW w:w="5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58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825</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658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705</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25%</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r>
      <w:tr>
        <w:trPr>
          <w:trHeight w:val="20"/>
        </w:trPr>
        <w:tc>
          <w:tcPr>
            <w:tcW w:w="5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460"/>
        <w:spacing w:after="0" w:line="271" w:lineRule="auto"/>
        <w:rPr>
          <w:sz w:val="20"/>
          <w:szCs w:val="20"/>
          <w:color w:val="auto"/>
        </w:rPr>
      </w:pPr>
      <w:r>
        <w:rPr>
          <w:rFonts w:ascii="Arial" w:cs="Arial" w:eastAsia="Arial" w:hAnsi="Arial"/>
          <w:sz w:val="18"/>
          <w:szCs w:val="18"/>
          <w:color w:val="auto"/>
        </w:rPr>
        <w:t>Digital fourth-quarter 2025 results include a fullquartero factivity from Champion X, which contributed $28 million of revenue while the third-quarter 2025 results include two months of activity from Champion X, which contributed $20 million of revenue.</w:t>
      </w:r>
    </w:p>
    <w:p>
      <w:pPr>
        <w:spacing w:after="0" w:line="154" w:lineRule="exact"/>
        <w:rPr>
          <w:sz w:val="20"/>
          <w:szCs w:val="20"/>
          <w:color w:val="auto"/>
        </w:rPr>
      </w:pPr>
    </w:p>
    <w:p>
      <w:pPr>
        <w:ind w:left="4" w:right="20"/>
        <w:spacing w:after="0" w:line="271" w:lineRule="auto"/>
        <w:rPr>
          <w:sz w:val="20"/>
          <w:szCs w:val="20"/>
          <w:color w:val="auto"/>
        </w:rPr>
      </w:pPr>
      <w:r>
        <w:rPr>
          <w:rFonts w:ascii="Arial" w:cs="Arial" w:eastAsia="Arial" w:hAnsi="Arial"/>
          <w:sz w:val="18"/>
          <w:szCs w:val="18"/>
          <w:color w:val="auto"/>
        </w:rPr>
        <w:t>Digital revenue of $825 million increased 25% sequentially, driven by strong growth in Digital Exploration from year-end sales in the Gulf of America, Brazil and Angola, as well as robust increases in Digital Operations and Platforms &amp; Applications.</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color w:val="auto"/>
        </w:rPr>
        <w:t>Year on year, Digital revenue grew 17%, supported by solid gains in Digital Operations and higher Digital Exploration revenue.</w:t>
      </w:r>
    </w:p>
    <w:p>
      <w:pPr>
        <w:spacing w:after="0" w:line="212" w:lineRule="exact"/>
        <w:rPr>
          <w:sz w:val="20"/>
          <w:szCs w:val="20"/>
          <w:color w:val="auto"/>
        </w:rPr>
      </w:pPr>
    </w:p>
    <w:p>
      <w:pPr>
        <w:ind w:left="4" w:right="660"/>
        <w:spacing w:after="0" w:line="271" w:lineRule="auto"/>
        <w:rPr>
          <w:sz w:val="20"/>
          <w:szCs w:val="20"/>
          <w:color w:val="auto"/>
        </w:rPr>
      </w:pPr>
      <w:r>
        <w:rPr>
          <w:rFonts w:ascii="Arial" w:cs="Arial" w:eastAsia="Arial" w:hAnsi="Arial"/>
          <w:sz w:val="18"/>
          <w:szCs w:val="18"/>
          <w:color w:val="auto"/>
        </w:rPr>
        <w:t>ARR for the Digital Division as of December 31, 2025, was $1.0 billion, compared to $876 million as of December 31, 2024, a 15% increase year over year.</w:t>
      </w:r>
    </w:p>
    <w:p>
      <w:pPr>
        <w:spacing w:after="0" w:line="154" w:lineRule="exact"/>
        <w:rPr>
          <w:sz w:val="20"/>
          <w:szCs w:val="20"/>
          <w:color w:val="auto"/>
        </w:rPr>
      </w:pPr>
    </w:p>
    <w:p>
      <w:pPr>
        <w:ind w:left="4" w:right="740"/>
        <w:spacing w:after="0" w:line="271" w:lineRule="auto"/>
        <w:rPr>
          <w:sz w:val="20"/>
          <w:szCs w:val="20"/>
          <w:color w:val="auto"/>
        </w:rPr>
      </w:pPr>
      <w:r>
        <w:rPr>
          <w:rFonts w:ascii="Arial" w:cs="Arial" w:eastAsia="Arial" w:hAnsi="Arial"/>
          <w:sz w:val="18"/>
          <w:szCs w:val="18"/>
          <w:color w:val="auto"/>
        </w:rPr>
        <w:t>Digital pretax operating margin expanded 557 basis points sequentially to 34%, reflecting improved profitability from strong Digital Exploration activity, robust growth in Digital Operations and higher Platforms &amp; Applications revenue.</w:t>
      </w:r>
    </w:p>
    <w:p>
      <w:pPr>
        <w:spacing w:after="0" w:line="154" w:lineRule="exact"/>
        <w:rPr>
          <w:sz w:val="20"/>
          <w:szCs w:val="20"/>
          <w:color w:val="auto"/>
        </w:rPr>
      </w:pPr>
    </w:p>
    <w:p>
      <w:pPr>
        <w:ind w:left="4" w:right="80"/>
        <w:spacing w:after="0" w:line="271" w:lineRule="auto"/>
        <w:rPr>
          <w:sz w:val="20"/>
          <w:szCs w:val="20"/>
          <w:color w:val="auto"/>
        </w:rPr>
      </w:pPr>
      <w:r>
        <w:rPr>
          <w:rFonts w:ascii="Arial" w:cs="Arial" w:eastAsia="Arial" w:hAnsi="Arial"/>
          <w:sz w:val="18"/>
          <w:szCs w:val="18"/>
          <w:color w:val="auto"/>
        </w:rPr>
        <w:t>Year on year, fourth-quarter pretax operating margin contracted slightly by 39 basis points due to an unfavorable mix in Digital Exploration sales.</w:t>
      </w:r>
    </w:p>
    <w:p>
      <w:pPr>
        <w:spacing w:after="0" w:line="154" w:lineRule="exact"/>
        <w:rPr>
          <w:sz w:val="20"/>
          <w:szCs w:val="20"/>
          <w:color w:val="auto"/>
        </w:rPr>
      </w:pPr>
    </w:p>
    <w:p>
      <w:pPr>
        <w:jc w:val="both"/>
        <w:ind w:left="4" w:right="160"/>
        <w:spacing w:after="0" w:line="253" w:lineRule="auto"/>
        <w:rPr>
          <w:sz w:val="20"/>
          <w:szCs w:val="20"/>
          <w:color w:val="auto"/>
        </w:rPr>
      </w:pPr>
      <w:r>
        <w:rPr>
          <w:rFonts w:ascii="Arial" w:cs="Arial" w:eastAsia="Arial" w:hAnsi="Arial"/>
          <w:sz w:val="18"/>
          <w:szCs w:val="18"/>
          <w:color w:val="auto"/>
        </w:rPr>
        <w:t>Please refer to “Supplementary Information” (Question 11) for a description of the revenue categories comprising the Digital Division. For revenue, pretax operating income and adjusted EBITDA for full-year 2025 and 2024, see Question 12. For the definition of ARR, please refer to Question 13.</w:t>
      </w:r>
    </w:p>
    <w:p>
      <w:pPr>
        <w:sectPr>
          <w:pgSz w:w="11900" w:h="16838" w:orient="portrait"/>
          <w:cols w:equalWidth="0" w:num="1">
            <w:col w:w="11024"/>
          </w:cols>
          <w:pgMar w:left="436" w:top="269" w:right="439" w:bottom="1440" w:gutter="0" w:footer="0" w:header="0"/>
        </w:sectPr>
      </w:pPr>
    </w:p>
    <w:bookmarkStart w:id="14" w:name="page15"/>
    <w:bookmarkEnd w:id="1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Reservoir Performance</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milions)</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center"/>
              <w:ind w:left="254"/>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Dec. 31,</w:t>
            </w:r>
          </w:p>
        </w:tc>
        <w:tc>
          <w:tcPr>
            <w:tcW w:w="9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Sept. 30,</w:t>
            </w: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Dec.31,</w:t>
            </w:r>
          </w:p>
        </w:tc>
        <w:tc>
          <w:tcPr>
            <w:tcW w:w="4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4"/>
              <w:spacing w:after="0"/>
              <w:rPr>
                <w:sz w:val="20"/>
                <w:szCs w:val="20"/>
                <w:color w:val="auto"/>
              </w:rPr>
            </w:pPr>
            <w:r>
              <w:rPr>
                <w:rFonts w:ascii="Arial" w:cs="Arial" w:eastAsia="Arial" w:hAnsi="Arial"/>
                <w:sz w:val="14"/>
                <w:szCs w:val="14"/>
                <w:b w:val="1"/>
                <w:bCs w:val="1"/>
                <w:color w:val="auto"/>
              </w:rPr>
              <w:t>2025</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2025</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2024</w:t>
            </w:r>
          </w:p>
        </w:tc>
        <w:tc>
          <w:tcPr>
            <w:tcW w:w="400" w:type="dxa"/>
            <w:vAlign w:val="bottom"/>
          </w:tcPr>
          <w:p>
            <w:pPr>
              <w:spacing w:after="0"/>
              <w:rPr>
                <w:sz w:val="14"/>
                <w:szCs w:val="14"/>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w w:val="98"/>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2060" w:type="dxa"/>
            <w:vAlign w:val="bottom"/>
            <w:gridSpan w:val="2"/>
          </w:tcPr>
          <w:p>
            <w:pPr>
              <w:ind w:left="1940"/>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1,596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1,536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1,669</w:t>
            </w:r>
          </w:p>
        </w:tc>
        <w:tc>
          <w:tcPr>
            <w:tcW w:w="112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146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w:t>
            </w:r>
          </w:p>
        </w:tc>
        <w:tc>
          <w:tcPr>
            <w:tcW w:w="11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1,748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1,682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1,810</w:t>
            </w:r>
          </w:p>
        </w:tc>
        <w:tc>
          <w:tcPr>
            <w:tcW w:w="11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4%</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2060" w:type="dxa"/>
            <w:vAlign w:val="bottom"/>
            <w:gridSpan w:val="2"/>
          </w:tcPr>
          <w:p>
            <w:pPr>
              <w:ind w:left="1940"/>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342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370</w:t>
            </w:r>
          </w:p>
        </w:tc>
        <w:tc>
          <w:tcPr>
            <w:tcW w:w="112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10%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w:t>
            </w: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105 bps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 bps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Adjusted EBITDA*</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456</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468</w:t>
            </w:r>
          </w:p>
        </w:tc>
        <w:tc>
          <w:tcPr>
            <w:tcW w:w="112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8%</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w:t>
            </w: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100 bps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 bps</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 w:right="1700" w:hanging="4"/>
        <w:spacing w:after="0" w:line="271"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are non-GAAP financial measures. See reconciliation in the section “Supplementary Information” for details. n/m = not meaningful</w:t>
      </w:r>
    </w:p>
    <w:p>
      <w:pPr>
        <w:spacing w:after="0" w:line="154" w:lineRule="exact"/>
        <w:rPr>
          <w:sz w:val="20"/>
          <w:szCs w:val="20"/>
          <w:color w:val="auto"/>
        </w:rPr>
      </w:pPr>
    </w:p>
    <w:p>
      <w:pPr>
        <w:ind w:left="4" w:right="160"/>
        <w:spacing w:after="0" w:line="253" w:lineRule="auto"/>
        <w:rPr>
          <w:sz w:val="20"/>
          <w:szCs w:val="20"/>
          <w:color w:val="auto"/>
        </w:rPr>
      </w:pPr>
      <w:r>
        <w:rPr>
          <w:rFonts w:ascii="Arial" w:cs="Arial" w:eastAsia="Arial" w:hAnsi="Arial"/>
          <w:sz w:val="18"/>
          <w:szCs w:val="18"/>
          <w:color w:val="auto"/>
        </w:rPr>
        <w:t>Reservoir Performance revenue of $1.75 billion increased 4% sequentially, driven by increased stimulation activity in the Middle East &amp; Asia, higher intervention activity in Europe &amp; Africa and increased evaluation activity in Latin America. Significant growth was recorded in Saudi Arabia, East Asia, Qatar, Indonesia and Guyana.</w:t>
      </w:r>
    </w:p>
    <w:p>
      <w:pPr>
        <w:spacing w:after="0" w:line="169" w:lineRule="exact"/>
        <w:rPr>
          <w:sz w:val="20"/>
          <w:szCs w:val="20"/>
          <w:color w:val="auto"/>
        </w:rPr>
      </w:pPr>
    </w:p>
    <w:p>
      <w:pPr>
        <w:ind w:left="4" w:right="820"/>
        <w:spacing w:after="0" w:line="271" w:lineRule="auto"/>
        <w:rPr>
          <w:sz w:val="20"/>
          <w:szCs w:val="20"/>
          <w:color w:val="auto"/>
        </w:rPr>
      </w:pPr>
      <w:r>
        <w:rPr>
          <w:rFonts w:ascii="Arial" w:cs="Arial" w:eastAsia="Arial" w:hAnsi="Arial"/>
          <w:sz w:val="18"/>
          <w:szCs w:val="18"/>
          <w:color w:val="auto"/>
        </w:rPr>
        <w:t>Year on year, revenue declined 3%, primarily due to reduced activity in Saudi Arabia, Mexico, Qatar, and Europe &amp; Africa. These decreases were partially offset by robust activity in Argentina, Guyana, Kuwait and East Asia.</w:t>
      </w:r>
    </w:p>
    <w:p>
      <w:pPr>
        <w:spacing w:after="0" w:line="154" w:lineRule="exact"/>
        <w:rPr>
          <w:sz w:val="20"/>
          <w:szCs w:val="20"/>
          <w:color w:val="auto"/>
        </w:rPr>
      </w:pPr>
    </w:p>
    <w:p>
      <w:pPr>
        <w:ind w:left="4" w:right="480"/>
        <w:spacing w:after="0" w:line="271" w:lineRule="auto"/>
        <w:rPr>
          <w:sz w:val="20"/>
          <w:szCs w:val="20"/>
          <w:color w:val="auto"/>
        </w:rPr>
      </w:pPr>
      <w:r>
        <w:rPr>
          <w:rFonts w:ascii="Arial" w:cs="Arial" w:eastAsia="Arial" w:hAnsi="Arial"/>
          <w:sz w:val="18"/>
          <w:szCs w:val="18"/>
          <w:color w:val="auto"/>
        </w:rPr>
        <w:t>Reservoir Performance pretax operating margin of 20% expanded by 105 basis points sequentially, reflecting improved profitability in evaluation and intervention services as a result of higher uptake of premium technologies.</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color w:val="auto"/>
        </w:rPr>
        <w:t>Year on year, pretax operating margin contracted by 89 basis points due to an unfavorable activity mix and pricing effects.</w:t>
      </w:r>
    </w:p>
    <w:p>
      <w:pPr>
        <w:sectPr>
          <w:pgSz w:w="11900" w:h="16838" w:orient="portrait"/>
          <w:cols w:equalWidth="0" w:num="1">
            <w:col w:w="11024"/>
          </w:cols>
          <w:pgMar w:left="436" w:top="269" w:right="439" w:bottom="1440" w:gutter="0" w:footer="0" w:header="0"/>
        </w:sectPr>
      </w:pPr>
    </w:p>
    <w:bookmarkStart w:id="15" w:name="page16"/>
    <w:bookmarkEnd w:id="15"/>
    <w:p>
      <w:pPr>
        <w:ind w:left="4"/>
        <w:spacing w:after="0"/>
        <w:rPr>
          <w:sz w:val="20"/>
          <w:szCs w:val="20"/>
          <w:color w:val="auto"/>
        </w:rPr>
      </w:pPr>
      <w:r>
        <w:rPr>
          <w:rFonts w:ascii="Arial" w:cs="Arial" w:eastAsia="Arial" w:hAnsi="Arial"/>
          <w:sz w:val="18"/>
          <w:szCs w:val="18"/>
          <w:b w:val="1"/>
          <w:bCs w:val="1"/>
          <w:color w:val="auto"/>
        </w:rPr>
        <w:t>Well Construction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
        <w:spacing w:after="0"/>
        <w:rPr>
          <w:sz w:val="20"/>
          <w:szCs w:val="20"/>
          <w:color w:val="auto"/>
        </w:rPr>
      </w:pPr>
      <w:r>
        <w:rPr>
          <w:rFonts w:ascii="Arial" w:cs="Arial" w:eastAsia="Arial" w:hAnsi="Arial"/>
          <w:sz w:val="18"/>
          <w:szCs w:val="18"/>
          <w:color w:val="auto"/>
        </w:rPr>
        <w:t>Revenue</w:t>
      </w:r>
    </w:p>
    <w:p>
      <w:pPr>
        <w:spacing w:after="0" w:line="27" w:lineRule="exact"/>
        <w:rPr>
          <w:sz w:val="20"/>
          <w:szCs w:val="20"/>
          <w:color w:val="auto"/>
        </w:rPr>
      </w:pPr>
    </w:p>
    <w:p>
      <w:pPr>
        <w:ind w:left="364"/>
        <w:spacing w:after="0"/>
        <w:rPr>
          <w:sz w:val="20"/>
          <w:szCs w:val="20"/>
          <w:color w:val="auto"/>
        </w:rPr>
      </w:pPr>
      <w:r>
        <w:rPr>
          <w:rFonts w:ascii="Arial" w:cs="Arial" w:eastAsia="Arial" w:hAnsi="Arial"/>
          <w:sz w:val="18"/>
          <w:szCs w:val="18"/>
          <w:color w:val="auto"/>
        </w:rPr>
        <w:t>International</w:t>
      </w:r>
    </w:p>
    <w:p>
      <w:pPr>
        <w:spacing w:after="0" w:line="9"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North America</w:t>
      </w:r>
    </w:p>
    <w:p>
      <w:pPr>
        <w:spacing w:after="0" w:line="9" w:lineRule="exact"/>
        <w:rPr>
          <w:sz w:val="20"/>
          <w:szCs w:val="20"/>
          <w:color w:val="auto"/>
        </w:rPr>
      </w:pPr>
    </w:p>
    <w:p>
      <w:pPr>
        <w:ind w:left="364"/>
        <w:spacing w:after="0"/>
        <w:rPr>
          <w:sz w:val="20"/>
          <w:szCs w:val="20"/>
          <w:color w:val="auto"/>
        </w:rPr>
      </w:pPr>
      <w:r>
        <w:rPr>
          <w:rFonts w:ascii="Arial" w:cs="Arial" w:eastAsia="Arial" w:hAnsi="Arial"/>
          <w:sz w:val="18"/>
          <w:szCs w:val="18"/>
          <w:color w:val="auto"/>
        </w:rPr>
        <w:t>Other</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color w:val="auto"/>
        </w:rPr>
        <w:t>Pretax operating income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Pretax operating margin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Adjusted EBITDA*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7"/>
          <w:szCs w:val="17"/>
          <w:color w:val="auto"/>
        </w:rPr>
        <w:t>Adjusted EBITDA 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4"/>
                <w:szCs w:val="14"/>
                <w:color w:val="auto"/>
              </w:rPr>
              <w:t>(Stated in milions)</w:t>
            </w:r>
          </w:p>
        </w:tc>
      </w:tr>
      <w:tr>
        <w:trPr>
          <w:trHeight w:val="171"/>
        </w:trPr>
        <w:tc>
          <w:tcPr>
            <w:tcW w:w="120" w:type="dxa"/>
            <w:vAlign w:val="bottom"/>
          </w:tcPr>
          <w:p>
            <w:pPr>
              <w:spacing w:after="0"/>
              <w:rPr>
                <w:sz w:val="14"/>
                <w:szCs w:val="14"/>
                <w:color w:val="auto"/>
              </w:rPr>
            </w:pPr>
          </w:p>
        </w:tc>
        <w:tc>
          <w:tcPr>
            <w:tcW w:w="194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4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Change</w:t>
            </w:r>
          </w:p>
        </w:tc>
      </w:tr>
      <w:tr>
        <w:trPr>
          <w:trHeight w:val="146"/>
        </w:trPr>
        <w:tc>
          <w:tcPr>
            <w:tcW w:w="980" w:type="dxa"/>
            <w:vAlign w:val="bottom"/>
            <w:tcBorders>
              <w:top w:val="single" w:sz="8" w:color="auto"/>
            </w:tcBorders>
            <w:gridSpan w:val="3"/>
          </w:tcPr>
          <w:p>
            <w:pPr>
              <w:jc w:val="center"/>
              <w:ind w:right="400"/>
              <w:spacing w:after="0" w:line="147" w:lineRule="exact"/>
              <w:rPr>
                <w:sz w:val="20"/>
                <w:szCs w:val="20"/>
                <w:color w:val="auto"/>
              </w:rPr>
            </w:pPr>
            <w:r>
              <w:rPr>
                <w:rFonts w:ascii="Arial" w:cs="Arial" w:eastAsia="Arial" w:hAnsi="Arial"/>
                <w:sz w:val="14"/>
                <w:szCs w:val="14"/>
                <w:b w:val="1"/>
                <w:bCs w:val="1"/>
                <w:color w:val="auto"/>
              </w:rPr>
              <w:t>Dec.31,</w:t>
            </w:r>
          </w:p>
        </w:tc>
        <w:tc>
          <w:tcPr>
            <w:tcW w:w="980" w:type="dxa"/>
            <w:vAlign w:val="bottom"/>
            <w:tcBorders>
              <w:top w:val="single" w:sz="8" w:color="auto"/>
            </w:tcBorders>
            <w:gridSpan w:val="3"/>
          </w:tcPr>
          <w:p>
            <w:pPr>
              <w:jc w:val="center"/>
              <w:ind w:right="400"/>
              <w:spacing w:after="0" w:line="147" w:lineRule="exact"/>
              <w:rPr>
                <w:sz w:val="20"/>
                <w:szCs w:val="20"/>
                <w:color w:val="auto"/>
              </w:rPr>
            </w:pPr>
            <w:r>
              <w:rPr>
                <w:rFonts w:ascii="Arial" w:cs="Arial" w:eastAsia="Arial" w:hAnsi="Arial"/>
                <w:sz w:val="14"/>
                <w:szCs w:val="14"/>
                <w:color w:val="auto"/>
              </w:rPr>
              <w:t>Sept.30,</w:t>
            </w: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Dec.31,</w:t>
            </w:r>
          </w:p>
        </w:tc>
        <w:tc>
          <w:tcPr>
            <w:tcW w:w="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2025</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2024</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40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Year-on-year</w:t>
            </w:r>
          </w:p>
        </w:tc>
        <w:tc>
          <w:tcPr>
            <w:tcW w:w="160" w:type="dxa"/>
            <w:vAlign w:val="bottom"/>
          </w:tcPr>
          <w:p>
            <w:pPr>
              <w:spacing w:after="0"/>
              <w:rPr>
                <w:sz w:val="14"/>
                <w:szCs w:val="14"/>
                <w:color w:val="auto"/>
              </w:rPr>
            </w:pPr>
          </w:p>
        </w:tc>
      </w:tr>
      <w:tr>
        <w:trPr>
          <w:trHeight w:val="407"/>
        </w:trPr>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2,329</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2,371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2,625</w:t>
            </w:r>
          </w:p>
        </w:tc>
        <w:tc>
          <w:tcPr>
            <w:tcW w:w="114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583</w:t>
            </w:r>
          </w:p>
        </w:tc>
        <w:tc>
          <w:tcPr>
            <w:tcW w:w="114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21"/>
        </w:trPr>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59</w:t>
            </w:r>
          </w:p>
        </w:tc>
        <w:tc>
          <w:tcPr>
            <w:tcW w:w="114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n/m</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r>
      <w:tr>
        <w:trPr>
          <w:trHeight w:val="20"/>
        </w:trPr>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12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2,949</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2,967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3,267</w:t>
            </w:r>
          </w:p>
        </w:tc>
        <w:tc>
          <w:tcPr>
            <w:tcW w:w="114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5"/>
        </w:trPr>
        <w:tc>
          <w:tcPr>
            <w:tcW w:w="120" w:type="dxa"/>
            <w:vAlign w:val="bottom"/>
          </w:tcPr>
          <w:p>
            <w:pPr>
              <w:jc w:val="right"/>
              <w:spacing w:after="0" w:line="205"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550</w:t>
            </w:r>
          </w:p>
        </w:tc>
        <w:tc>
          <w:tcPr>
            <w:tcW w:w="400" w:type="dxa"/>
            <w:vAlign w:val="bottom"/>
          </w:tcPr>
          <w:p>
            <w:pPr>
              <w:spacing w:after="0"/>
              <w:rPr>
                <w:sz w:val="17"/>
                <w:szCs w:val="17"/>
                <w:color w:val="auto"/>
              </w:rPr>
            </w:pPr>
          </w:p>
        </w:tc>
        <w:tc>
          <w:tcPr>
            <w:tcW w:w="10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20"/>
              <w:spacing w:after="0" w:line="205" w:lineRule="exact"/>
              <w:rPr>
                <w:sz w:val="20"/>
                <w:szCs w:val="20"/>
                <w:color w:val="auto"/>
              </w:rPr>
            </w:pPr>
            <w:r>
              <w:rPr>
                <w:rFonts w:ascii="Arial" w:cs="Arial" w:eastAsia="Arial" w:hAnsi="Arial"/>
                <w:sz w:val="18"/>
                <w:szCs w:val="18"/>
                <w:color w:val="auto"/>
              </w:rPr>
              <w:t>558</w:t>
            </w:r>
          </w:p>
        </w:tc>
        <w:tc>
          <w:tcPr>
            <w:tcW w:w="10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5" w:lineRule="exact"/>
              <w:rPr>
                <w:sz w:val="20"/>
                <w:szCs w:val="20"/>
                <w:color w:val="auto"/>
              </w:rPr>
            </w:pPr>
            <w:r>
              <w:rPr>
                <w:rFonts w:ascii="Arial" w:cs="Arial" w:eastAsia="Arial" w:hAnsi="Arial"/>
                <w:sz w:val="18"/>
                <w:szCs w:val="18"/>
                <w:color w:val="auto"/>
              </w:rPr>
              <w:t>681</w:t>
            </w:r>
          </w:p>
        </w:tc>
        <w:tc>
          <w:tcPr>
            <w:tcW w:w="1140" w:type="dxa"/>
            <w:vAlign w:val="bottom"/>
            <w:gridSpan w:val="2"/>
          </w:tcPr>
          <w:p>
            <w:pPr>
              <w:jc w:val="right"/>
              <w:ind w:right="168"/>
              <w:spacing w:after="0" w:line="205" w:lineRule="exact"/>
              <w:rPr>
                <w:sz w:val="20"/>
                <w:szCs w:val="20"/>
                <w:color w:val="auto"/>
              </w:rPr>
            </w:pPr>
            <w:r>
              <w:rPr>
                <w:rFonts w:ascii="Arial" w:cs="Arial" w:eastAsia="Arial" w:hAnsi="Arial"/>
                <w:sz w:val="18"/>
                <w:szCs w:val="18"/>
                <w:b w:val="1"/>
                <w:bCs w:val="1"/>
                <w:color w:val="auto"/>
              </w:rPr>
              <w:t>-1%</w:t>
            </w:r>
          </w:p>
        </w:tc>
        <w:tc>
          <w:tcPr>
            <w:tcW w:w="10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-19%</w:t>
            </w:r>
          </w:p>
        </w:tc>
      </w:tr>
      <w:tr>
        <w:trPr>
          <w:trHeight w:val="216"/>
        </w:trPr>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18.7%</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20.8%</w:t>
            </w:r>
          </w:p>
        </w:tc>
        <w:tc>
          <w:tcPr>
            <w:tcW w:w="114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-16 bps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-219 bps</w:t>
            </w:r>
          </w:p>
        </w:tc>
      </w:tr>
      <w:tr>
        <w:trPr>
          <w:trHeight w:val="216"/>
        </w:trPr>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841</w:t>
            </w:r>
          </w:p>
        </w:tc>
        <w:tc>
          <w:tcPr>
            <w:tcW w:w="114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47"/>
        </w:trPr>
        <w:tc>
          <w:tcPr>
            <w:tcW w:w="12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24.4%</w:t>
            </w:r>
          </w:p>
        </w:tc>
        <w:tc>
          <w:tcPr>
            <w:tcW w:w="10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25.8%</w:t>
            </w:r>
          </w:p>
        </w:tc>
        <w:tc>
          <w:tcPr>
            <w:tcW w:w="114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-14 bps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-136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-2098675</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-1301115</wp:posOffset>
            </wp:positionV>
            <wp:extent cx="699516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-1026795</wp:posOffset>
            </wp:positionV>
            <wp:extent cx="699516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-735330</wp:posOffset>
            </wp:positionV>
            <wp:extent cx="699516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-426720</wp:posOffset>
            </wp:positionV>
            <wp:extent cx="699516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-152400</wp:posOffset>
            </wp:positionV>
            <wp:extent cx="699516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5184" w:space="720"/>
            <w:col w:w="5060"/>
          </w:cols>
          <w:pgMar w:left="436" w:top="269" w:right="499" w:bottom="1440" w:gutter="0" w:footer="0" w:header="0"/>
        </w:sectPr>
      </w:pPr>
    </w:p>
    <w:p>
      <w:pPr>
        <w:ind w:left="4" w:right="1680" w:hanging="4"/>
        <w:spacing w:after="0" w:line="271"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are non-GAAP financial measures. See reconciliation in the section “Supplementary Information“for details. n/m = not meaningful</w:t>
      </w:r>
    </w:p>
    <w:p>
      <w:pPr>
        <w:spacing w:after="0" w:line="154" w:lineRule="exact"/>
        <w:rPr>
          <w:sz w:val="20"/>
          <w:szCs w:val="20"/>
          <w:color w:val="auto"/>
        </w:rPr>
      </w:pPr>
    </w:p>
    <w:p>
      <w:pPr>
        <w:ind w:left="4" w:right="240"/>
        <w:spacing w:after="0" w:line="271" w:lineRule="auto"/>
        <w:rPr>
          <w:sz w:val="20"/>
          <w:szCs w:val="20"/>
          <w:color w:val="auto"/>
        </w:rPr>
      </w:pPr>
      <w:r>
        <w:rPr>
          <w:rFonts w:ascii="Arial" w:cs="Arial" w:eastAsia="Arial" w:hAnsi="Arial"/>
          <w:sz w:val="18"/>
          <w:szCs w:val="18"/>
          <w:color w:val="auto"/>
        </w:rPr>
        <w:t>Well Construction revenue of $2.95 billion decreased 1% sequentially as higher offshore drilling activity in North America and Europe &amp; Africa was offset by declines in certain land markets.</w:t>
      </w:r>
    </w:p>
    <w:p>
      <w:pPr>
        <w:spacing w:after="0" w:line="154" w:lineRule="exact"/>
        <w:rPr>
          <w:sz w:val="20"/>
          <w:szCs w:val="20"/>
          <w:color w:val="auto"/>
        </w:rPr>
      </w:pPr>
    </w:p>
    <w:p>
      <w:pPr>
        <w:ind w:left="4" w:right="220"/>
        <w:spacing w:after="0" w:line="271" w:lineRule="auto"/>
        <w:rPr>
          <w:sz w:val="20"/>
          <w:szCs w:val="20"/>
          <w:color w:val="auto"/>
        </w:rPr>
      </w:pPr>
      <w:r>
        <w:rPr>
          <w:rFonts w:ascii="Arial" w:cs="Arial" w:eastAsia="Arial" w:hAnsi="Arial"/>
          <w:sz w:val="18"/>
          <w:szCs w:val="18"/>
          <w:color w:val="auto"/>
        </w:rPr>
        <w:t>Year on year, revenue decreased 10%, driven by a broad reduction in drilling activity across Mexico, Saudi Arabia, Sub-Saharan Africa, North America and Asia. These decreases were partially offset by stronger performance in Guyana, Iraq and Kuwait.</w:t>
      </w:r>
    </w:p>
    <w:p>
      <w:pPr>
        <w:spacing w:after="0" w:line="154" w:lineRule="exact"/>
        <w:rPr>
          <w:sz w:val="20"/>
          <w:szCs w:val="20"/>
          <w:color w:val="auto"/>
        </w:rPr>
      </w:pPr>
    </w:p>
    <w:p>
      <w:pPr>
        <w:ind w:left="4" w:right="40"/>
        <w:spacing w:after="0" w:line="253" w:lineRule="auto"/>
        <w:rPr>
          <w:sz w:val="20"/>
          <w:szCs w:val="20"/>
          <w:color w:val="auto"/>
        </w:rPr>
      </w:pPr>
      <w:r>
        <w:rPr>
          <w:rFonts w:ascii="Arial" w:cs="Arial" w:eastAsia="Arial" w:hAnsi="Arial"/>
          <w:sz w:val="18"/>
          <w:szCs w:val="18"/>
          <w:color w:val="auto"/>
        </w:rPr>
        <w:t>Well Construction pretax operating margin of 19% contracted slightly sequentially and 219 basis points year on year. The margin compression was primarily due to widespread drilling activity reductions and pricing headwinds in North America and several international markets.</w:t>
      </w:r>
    </w:p>
    <w:p>
      <w:pPr>
        <w:sectPr>
          <w:pgSz w:w="11900" w:h="16838" w:orient="portrait"/>
          <w:cols w:equalWidth="0" w:num="1">
            <w:col w:w="10964"/>
          </w:cols>
          <w:pgMar w:left="436" w:top="269" w:right="499" w:bottom="1440" w:gutter="0" w:footer="0" w:header="0"/>
          <w:type w:val="continuous"/>
        </w:sectPr>
      </w:pPr>
    </w:p>
    <w:bookmarkStart w:id="16" w:name="page17"/>
    <w:bookmarkEnd w:id="1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Production Systems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milions)</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20"/>
                <w:szCs w:val="20"/>
                <w:color w:val="auto"/>
              </w:rPr>
            </w:pPr>
            <w:r>
              <w:rPr>
                <w:rFonts w:ascii="Arial" w:cs="Arial" w:eastAsia="Arial" w:hAnsi="Arial"/>
                <w:sz w:val="14"/>
                <w:szCs w:val="14"/>
                <w:b w:val="1"/>
                <w:bCs w:val="1"/>
                <w:color w:val="auto"/>
              </w:rPr>
              <w:t>Asreported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4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880" w:type="dxa"/>
            <w:vAlign w:val="bottom"/>
            <w:tcBorders>
              <w:top w:val="single" w:sz="8" w:color="auto"/>
            </w:tcBorders>
            <w:gridSpan w:val="3"/>
          </w:tcPr>
          <w:p>
            <w:pPr>
              <w:jc w:val="center"/>
              <w:ind w:right="228"/>
              <w:spacing w:after="0" w:line="147" w:lineRule="exact"/>
              <w:rPr>
                <w:sz w:val="20"/>
                <w:szCs w:val="20"/>
                <w:color w:val="auto"/>
              </w:rPr>
            </w:pPr>
            <w:r>
              <w:rPr>
                <w:rFonts w:ascii="Arial" w:cs="Arial" w:eastAsia="Arial" w:hAnsi="Arial"/>
                <w:sz w:val="14"/>
                <w:szCs w:val="14"/>
                <w:b w:val="1"/>
                <w:bCs w:val="1"/>
                <w:color w:val="auto"/>
              </w:rPr>
              <w:t>Dec.31,</w:t>
            </w: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center"/>
              <w:ind w:right="460"/>
              <w:spacing w:after="0" w:line="147" w:lineRule="exact"/>
              <w:rPr>
                <w:sz w:val="20"/>
                <w:szCs w:val="20"/>
                <w:color w:val="auto"/>
              </w:rPr>
            </w:pPr>
            <w:r>
              <w:rPr>
                <w:rFonts w:ascii="Arial" w:cs="Arial" w:eastAsia="Arial" w:hAnsi="Arial"/>
                <w:sz w:val="14"/>
                <w:szCs w:val="14"/>
                <w:color w:val="auto"/>
              </w:rPr>
              <w:t>Sept.30,</w:t>
            </w: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w w:val="99"/>
              </w:rPr>
              <w:t>Dec.31,</w:t>
            </w:r>
          </w:p>
        </w:tc>
        <w:tc>
          <w:tcPr>
            <w:tcW w:w="4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2025</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2025</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2024</w:t>
            </w:r>
          </w:p>
        </w:tc>
        <w:tc>
          <w:tcPr>
            <w:tcW w:w="480" w:type="dxa"/>
            <w:vAlign w:val="bottom"/>
          </w:tcPr>
          <w:p>
            <w:pPr>
              <w:spacing w:after="0"/>
              <w:rPr>
                <w:sz w:val="14"/>
                <w:szCs w:val="14"/>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w w:val="98"/>
              </w:rPr>
              <w:t>Sequential</w:t>
            </w:r>
          </w:p>
        </w:tc>
        <w:tc>
          <w:tcPr>
            <w:tcW w:w="3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w w:val="97"/>
              </w:rPr>
              <w:t>2,853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2,440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2,471</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b w:val="1"/>
                <w:bCs w:val="1"/>
                <w:color w:val="auto"/>
                <w:w w:val="97"/>
              </w:rPr>
              <w:t>1,200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8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10</w:t>
            </w:r>
          </w:p>
        </w:tc>
        <w:tc>
          <w:tcPr>
            <w:tcW w:w="88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n/m</w:t>
            </w: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b w:val="1"/>
                <w:bCs w:val="1"/>
                <w:color w:val="auto"/>
                <w:w w:val="97"/>
              </w:rPr>
              <w:t>4,078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3,474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3,127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664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559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509</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16.3%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w:t>
            </w:r>
          </w:p>
        </w:tc>
        <w:tc>
          <w:tcPr>
            <w:tcW w:w="8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20 bps</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 bps</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18"/>
                <w:szCs w:val="18"/>
                <w:color w:val="auto"/>
              </w:rPr>
            </w:pPr>
          </w:p>
        </w:tc>
        <w:tc>
          <w:tcPr>
            <w:tcW w:w="78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815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598</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18%</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20.0%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w:t>
            </w:r>
          </w:p>
        </w:tc>
        <w:tc>
          <w:tcPr>
            <w:tcW w:w="8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13 bps</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 bps</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 w:right="1700" w:hanging="4"/>
        <w:spacing w:after="0" w:line="271"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are non-GAAP financial measures. See reconciliation in the section “Supplementary Information “for details. n/m = not meaningful</w:t>
      </w:r>
    </w:p>
    <w:p>
      <w:pPr>
        <w:spacing w:after="0" w:line="154" w:lineRule="exact"/>
        <w:rPr>
          <w:sz w:val="20"/>
          <w:szCs w:val="20"/>
          <w:color w:val="auto"/>
        </w:rPr>
      </w:pPr>
    </w:p>
    <w:p>
      <w:pPr>
        <w:ind w:left="4" w:right="220"/>
        <w:spacing w:after="0" w:line="247" w:lineRule="auto"/>
        <w:rPr>
          <w:sz w:val="20"/>
          <w:szCs w:val="20"/>
          <w:color w:val="auto"/>
        </w:rPr>
      </w:pPr>
      <w:r>
        <w:rPr>
          <w:rFonts w:ascii="Arial" w:cs="Arial" w:eastAsia="Arial" w:hAnsi="Arial"/>
          <w:sz w:val="18"/>
          <w:szCs w:val="18"/>
          <w:color w:val="auto"/>
        </w:rPr>
        <w:t>Production Systems as-reported revenue of $4.08 billion increased 17% sequentially and 30% year on year, reflecting a full quarter of activity from the acquired ChampionX production chemicals and artificial lift businesses. ChampionX contributed $874 million in revenue and $153 million in pretax operating income during the fourth quarter. Third-quarter 2025 results included two months of ChampionX activity, which contributed $575 million in revenue and $106 million in pretax operating income.</w:t>
      </w:r>
    </w:p>
    <w:p>
      <w:pPr>
        <w:spacing w:after="0" w:line="174" w:lineRule="exact"/>
        <w:rPr>
          <w:sz w:val="20"/>
          <w:szCs w:val="20"/>
          <w:color w:val="auto"/>
        </w:rPr>
      </w:pPr>
    </w:p>
    <w:p>
      <w:pPr>
        <w:ind w:left="4" w:right="440"/>
        <w:spacing w:after="0" w:line="271" w:lineRule="auto"/>
        <w:rPr>
          <w:sz w:val="20"/>
          <w:szCs w:val="20"/>
          <w:color w:val="auto"/>
        </w:rPr>
      </w:pPr>
      <w:r>
        <w:rPr>
          <w:rFonts w:ascii="Arial" w:cs="Arial" w:eastAsia="Arial" w:hAnsi="Arial"/>
          <w:sz w:val="18"/>
          <w:szCs w:val="18"/>
          <w:color w:val="auto"/>
        </w:rPr>
        <w:t>Excluding the impact of the acquisition, Production Systems fourth-quarter 2025 revenue increased 11% sequentially and 2% year on year.</w:t>
      </w:r>
    </w:p>
    <w:p>
      <w:pPr>
        <w:spacing w:after="0" w:line="154" w:lineRule="exact"/>
        <w:rPr>
          <w:sz w:val="20"/>
          <w:szCs w:val="20"/>
          <w:color w:val="auto"/>
        </w:rPr>
      </w:pPr>
    </w:p>
    <w:p>
      <w:pPr>
        <w:ind w:left="4" w:right="300"/>
        <w:spacing w:after="0" w:line="271" w:lineRule="auto"/>
        <w:rPr>
          <w:sz w:val="20"/>
          <w:szCs w:val="20"/>
          <w:color w:val="auto"/>
        </w:rPr>
      </w:pPr>
      <w:r>
        <w:rPr>
          <w:rFonts w:ascii="Arial" w:cs="Arial" w:eastAsia="Arial" w:hAnsi="Arial"/>
          <w:sz w:val="18"/>
          <w:szCs w:val="18"/>
          <w:color w:val="auto"/>
        </w:rPr>
        <w:t>Production Systems pretax operating margin of 16% expanded by 20 basis points sequentially. The margin improvement was driven by stronger profitability in completions and production chemicals.</w:t>
      </w:r>
    </w:p>
    <w:p>
      <w:pPr>
        <w:spacing w:after="0" w:line="154" w:lineRule="exact"/>
        <w:rPr>
          <w:sz w:val="20"/>
          <w:szCs w:val="20"/>
          <w:color w:val="auto"/>
        </w:rPr>
      </w:pPr>
    </w:p>
    <w:p>
      <w:pPr>
        <w:ind w:left="4" w:right="580"/>
        <w:spacing w:after="0" w:line="253" w:lineRule="auto"/>
        <w:rPr>
          <w:sz w:val="20"/>
          <w:szCs w:val="20"/>
          <w:color w:val="auto"/>
        </w:rPr>
      </w:pPr>
      <w:r>
        <w:rPr>
          <w:rFonts w:ascii="Arial" w:cs="Arial" w:eastAsia="Arial" w:hAnsi="Arial"/>
          <w:sz w:val="18"/>
          <w:szCs w:val="18"/>
          <w:color w:val="auto"/>
        </w:rPr>
        <w:t>Year on year, margin was unchanged as improved profitability in SLB OneSubsea, valves and completions, along with the accretive contribution from ChampionX production chemicals, was offset by lower margins in artificial lift, process technologies and surface production systems.</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and commentary are presented on a pro forma basis assuming that ChampionX was acquired on January 1, 2024.</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milions)</w:t>
            </w:r>
          </w:p>
        </w:tc>
      </w:tr>
      <w:tr>
        <w:trPr>
          <w:trHeight w:val="171"/>
        </w:trPr>
        <w:tc>
          <w:tcPr>
            <w:tcW w:w="3780" w:type="dxa"/>
            <w:vAlign w:val="bottom"/>
          </w:tcPr>
          <w:p>
            <w:pPr>
              <w:spacing w:after="0"/>
              <w:rPr>
                <w:sz w:val="20"/>
                <w:szCs w:val="20"/>
                <w:color w:val="auto"/>
              </w:rPr>
            </w:pPr>
            <w:r>
              <w:rPr>
                <w:rFonts w:ascii="Arial" w:cs="Arial" w:eastAsia="Arial" w:hAnsi="Arial"/>
                <w:sz w:val="14"/>
                <w:szCs w:val="14"/>
                <w:b w:val="1"/>
                <w:bCs w:val="1"/>
                <w:color w:val="auto"/>
              </w:rPr>
              <w:t>Pro forma</w:t>
            </w:r>
          </w:p>
        </w:tc>
        <w:tc>
          <w:tcPr>
            <w:tcW w:w="2280" w:type="dxa"/>
            <w:vAlign w:val="bottom"/>
          </w:tcPr>
          <w:p>
            <w:pPr>
              <w:spacing w:after="0"/>
              <w:rPr>
                <w:sz w:val="14"/>
                <w:szCs w:val="14"/>
                <w:color w:val="auto"/>
              </w:rPr>
            </w:pPr>
          </w:p>
        </w:tc>
        <w:tc>
          <w:tcPr>
            <w:tcW w:w="268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154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Change</w:t>
            </w:r>
          </w:p>
        </w:tc>
      </w:tr>
      <w:tr>
        <w:trPr>
          <w:trHeight w:val="146"/>
        </w:trPr>
        <w:tc>
          <w:tcPr>
            <w:tcW w:w="37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tcBorders>
              <w:top w:val="single" w:sz="8" w:color="auto"/>
            </w:tcBorders>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rPr>
              <w:t>Dec.31,</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center"/>
              <w:ind w:right="160"/>
              <w:spacing w:after="0" w:line="147" w:lineRule="exact"/>
              <w:rPr>
                <w:sz w:val="20"/>
                <w:szCs w:val="20"/>
                <w:color w:val="auto"/>
              </w:rPr>
            </w:pPr>
            <w:r>
              <w:rPr>
                <w:rFonts w:ascii="Arial" w:cs="Arial" w:eastAsia="Arial" w:hAnsi="Arial"/>
                <w:sz w:val="14"/>
                <w:szCs w:val="14"/>
                <w:color w:val="auto"/>
              </w:rPr>
              <w:t>Sept.30,</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Dec.31,</w:t>
            </w: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3780" w:type="dxa"/>
            <w:vAlign w:val="bottom"/>
          </w:tcPr>
          <w:p>
            <w:pPr>
              <w:spacing w:after="0"/>
              <w:rPr>
                <w:sz w:val="14"/>
                <w:szCs w:val="14"/>
                <w:color w:val="auto"/>
              </w:rPr>
            </w:pPr>
          </w:p>
        </w:tc>
        <w:tc>
          <w:tcPr>
            <w:tcW w:w="284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2025</w:t>
            </w:r>
          </w:p>
        </w:tc>
        <w:tc>
          <w:tcPr>
            <w:tcW w:w="160" w:type="dxa"/>
            <w:vAlign w:val="bottom"/>
          </w:tcPr>
          <w:p>
            <w:pPr>
              <w:spacing w:after="0"/>
              <w:rPr>
                <w:sz w:val="14"/>
                <w:szCs w:val="14"/>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4"/>
                <w:szCs w:val="14"/>
                <w:color w:val="auto"/>
              </w:rPr>
              <w:t>2024</w:t>
            </w:r>
          </w:p>
        </w:tc>
        <w:tc>
          <w:tcPr>
            <w:tcW w:w="34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Sequential</w:t>
            </w:r>
          </w:p>
        </w:tc>
        <w:tc>
          <w:tcPr>
            <w:tcW w:w="3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30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$2,853</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$2,527</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$2,746</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3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1,200</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1,211</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Other</w:t>
            </w:r>
          </w:p>
        </w:tc>
        <w:tc>
          <w:tcPr>
            <w:tcW w:w="22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36</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11</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n/m</w:t>
            </w: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r>
      <w:tr>
        <w:trPr>
          <w:trHeight w:val="27"/>
        </w:trPr>
        <w:tc>
          <w:tcPr>
            <w:tcW w:w="37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3780" w:type="dxa"/>
            <w:vAlign w:val="bottom"/>
            <w:shd w:val="clear" w:color="auto" w:fill="CCEEFF"/>
          </w:tcPr>
          <w:p>
            <w:pPr>
              <w:spacing w:after="0"/>
              <w:rPr>
                <w:sz w:val="18"/>
                <w:szCs w:val="18"/>
                <w:color w:val="auto"/>
              </w:rPr>
            </w:pPr>
          </w:p>
        </w:tc>
        <w:tc>
          <w:tcPr>
            <w:tcW w:w="3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4,078</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3,774</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3,983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0"/>
        </w:trPr>
        <w:tc>
          <w:tcPr>
            <w:tcW w:w="37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220"/>
        <w:spacing w:after="0" w:line="271" w:lineRule="auto"/>
        <w:rPr>
          <w:sz w:val="20"/>
          <w:szCs w:val="20"/>
          <w:color w:val="auto"/>
        </w:rPr>
      </w:pPr>
      <w:r>
        <w:rPr>
          <w:rFonts w:ascii="Arial" w:cs="Arial" w:eastAsia="Arial" w:hAnsi="Arial"/>
          <w:sz w:val="18"/>
          <w:szCs w:val="18"/>
          <w:color w:val="auto"/>
        </w:rPr>
        <w:t>Production Systems pro forma revenue of $4.08 billion increased 8% sequentially, driven by strong sales of completions, artificial lift and production chemicals.</w:t>
      </w:r>
    </w:p>
    <w:p>
      <w:pPr>
        <w:spacing w:after="0" w:line="154" w:lineRule="exact"/>
        <w:rPr>
          <w:sz w:val="20"/>
          <w:szCs w:val="20"/>
          <w:color w:val="auto"/>
        </w:rPr>
      </w:pPr>
    </w:p>
    <w:p>
      <w:pPr>
        <w:ind w:left="4" w:right="420"/>
        <w:spacing w:after="0" w:line="271" w:lineRule="auto"/>
        <w:rPr>
          <w:sz w:val="20"/>
          <w:szCs w:val="20"/>
          <w:color w:val="auto"/>
        </w:rPr>
      </w:pPr>
      <w:r>
        <w:rPr>
          <w:rFonts w:ascii="Arial" w:cs="Arial" w:eastAsia="Arial" w:hAnsi="Arial"/>
          <w:sz w:val="18"/>
          <w:szCs w:val="18"/>
          <w:color w:val="auto"/>
        </w:rPr>
        <w:t>Year on year, pro forma revenue increased 2%, supported by higher sales of artificial lift, valves, process technologies and production chemicals, partially offset by lower sales of surface production systems.</w:t>
      </w:r>
    </w:p>
    <w:p>
      <w:pPr>
        <w:sectPr>
          <w:pgSz w:w="11900" w:h="16838" w:orient="portrait"/>
          <w:cols w:equalWidth="0" w:num="1">
            <w:col w:w="11024"/>
          </w:cols>
          <w:pgMar w:left="436" w:top="269"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Other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All Other is comprised of APS, Data Center Solutions and SLB Capturi™.</w:t>
      </w:r>
    </w:p>
    <w:p>
      <w:pPr>
        <w:spacing w:after="0" w:line="10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Revenue increased $48 million sequentially, reflecting higher APS revenue following the resumption of production at the APS projects in Ecuador. This increase was partially offset by a decline in SLB Capturi revenue, while Data Center Solutions was steady.</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Year on year, revenue declined $ 136 million primarily due to lower APS revenue following the divestiture of the Palliser asset in Canada in the second quarter of 2025. This decline was partially offset by a $58 million year-on-year increase in Data Center Solutions revenue.</w:t>
      </w:r>
    </w:p>
    <w:p>
      <w:pPr>
        <w:spacing w:after="0" w:line="15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Pretax operating income declined by $11 million sequentially, as improved profitability in APS projects in Ecuador was more than offset by a significant loss on a project in SLB Capturi.</w:t>
      </w:r>
    </w:p>
    <w:p>
      <w:pPr>
        <w:spacing w:after="0" w:line="15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Year on year, pretax operating income declined by $102 million as a result of lower APS contribution following the Canadian divestiture and the previously mentioned operating loss in the SLB Capturi project.</w:t>
      </w:r>
    </w:p>
    <w:p>
      <w:pPr>
        <w:sectPr>
          <w:pgSz w:w="11900" w:h="16838" w:orient="portrait"/>
          <w:cols w:equalWidth="0" w:num="1">
            <w:col w:w="10960"/>
          </w:cols>
          <w:pgMar w:left="440" w:top="269" w:right="4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Quarterly Highlights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Awards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SLB continues to win new contract awards that align with SLB’s strengths in the Core. Notable highlights include the following:</w:t>
      </w:r>
    </w:p>
    <w:p>
      <w:pPr>
        <w:spacing w:after="0" w:line="117" w:lineRule="exact"/>
        <w:rPr>
          <w:sz w:val="20"/>
          <w:szCs w:val="20"/>
          <w:color w:val="auto"/>
        </w:rPr>
      </w:pPr>
    </w:p>
    <w:p>
      <w:pPr>
        <w:ind w:left="960" w:right="100" w:hanging="424"/>
        <w:spacing w:after="0" w:line="261" w:lineRule="auto"/>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the Kingdom of Saudi Arabia, Aramco awarded SLB a five-year contract to provide stimulation services for its unconventional gas fields. This award is part of a broader multi-billion dollar contract, supporting one of the largest unconventional gas development programs globally. The contract encompasses advanced stimulation, well intervention, frac automation and digital solutions, which are important to unlocking the potential of Saudi Arabia’s unconventional gas resources — a cornerstone of the Kingdom’s strategy to diversify its energy portfolio and support the global energy transition.</w:t>
      </w:r>
    </w:p>
    <w:p>
      <w:pPr>
        <w:spacing w:after="0" w:line="71" w:lineRule="exact"/>
        <w:rPr>
          <w:rFonts w:ascii="Arial" w:cs="Arial" w:eastAsia="Arial" w:hAnsi="Arial"/>
          <w:sz w:val="17"/>
          <w:szCs w:val="17"/>
          <w:color w:val="auto"/>
        </w:rPr>
      </w:pPr>
    </w:p>
    <w:p>
      <w:pPr>
        <w:ind w:left="960" w:right="40" w:hanging="424"/>
        <w:spacing w:after="0" w:line="255" w:lineRule="auto"/>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the Gulf of America, bp awarded the SLB OneSubsea joint venture a contract for a subsea boosting system in the deepwater greenfield development of the Tiber project. This engineering, procurement and construction (EPC) contract for Tiber comes in close succession to the award of a sister subsea boosting system for bp’s Kaskida development. Both projects</w:t>
      </w:r>
    </w:p>
    <w:p>
      <w:pPr>
        <w:spacing w:after="0" w:line="2" w:lineRule="exact"/>
        <w:rPr>
          <w:rFonts w:ascii="Arial" w:cs="Arial" w:eastAsia="Arial" w:hAnsi="Arial"/>
          <w:sz w:val="17"/>
          <w:szCs w:val="17"/>
          <w:color w:val="auto"/>
        </w:rPr>
      </w:pPr>
    </w:p>
    <w:p>
      <w:pPr>
        <w:ind w:left="960" w:right="460"/>
        <w:spacing w:after="0" w:line="250" w:lineRule="auto"/>
        <w:rPr>
          <w:rFonts w:ascii="Arial" w:cs="Arial" w:eastAsia="Arial" w:hAnsi="Arial"/>
          <w:sz w:val="17"/>
          <w:szCs w:val="17"/>
          <w:color w:val="auto"/>
        </w:rPr>
      </w:pPr>
      <w:r>
        <w:rPr>
          <w:rFonts w:ascii="Arial" w:cs="Arial" w:eastAsia="Arial" w:hAnsi="Arial"/>
          <w:sz w:val="18"/>
          <w:szCs w:val="18"/>
          <w:color w:val="auto"/>
        </w:rPr>
        <w:t>— which target prolific Paleogene reserves — leverage the same supplier-led, standardized high-pressure subsea pump system solution.</w:t>
      </w:r>
    </w:p>
    <w:p>
      <w:pPr>
        <w:spacing w:after="0" w:line="77" w:lineRule="exact"/>
        <w:rPr>
          <w:rFonts w:ascii="Arial" w:cs="Arial" w:eastAsia="Arial" w:hAnsi="Arial"/>
          <w:sz w:val="17"/>
          <w:szCs w:val="17"/>
          <w:color w:val="auto"/>
        </w:rPr>
      </w:pPr>
    </w:p>
    <w:p>
      <w:pPr>
        <w:ind w:left="960" w:hanging="424"/>
        <w:spacing w:after="0" w:line="24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Ghana, Tullow Ghana Ltd awarded SLB a three-year offshore drilling services contract, which includes an option for a two-year extension. SLB is delivering the full scope of drilling services, with operations underway since the fourth quarter of 2025. This agreement reinforces the companies’ collaboration and shared commitment to driving continuous improvements in drilling performance and unlocking greater value from Tullow Ghana Ltd’s deepwater assets.</w:t>
      </w:r>
    </w:p>
    <w:p>
      <w:pPr>
        <w:spacing w:after="0" w:line="79" w:lineRule="exact"/>
        <w:rPr>
          <w:rFonts w:ascii="Arial" w:cs="Arial" w:eastAsia="Arial" w:hAnsi="Arial"/>
          <w:sz w:val="18"/>
          <w:szCs w:val="18"/>
          <w:color w:val="auto"/>
        </w:rPr>
      </w:pPr>
    </w:p>
    <w:p>
      <w:pPr>
        <w:ind w:left="960" w:hanging="424"/>
        <w:spacing w:after="0" w:line="253"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Kuwait, Kuwait Oil Company (KOC) awarded SLB its first managed pressure drilling (MPD) contract in the country. SLB was selected for its fit-for-basin MPD solutions, which are tailored to address Kuwait’s complex subsurface conditions, and SLB’s proven track record of global MPD services.</w:t>
      </w:r>
    </w:p>
    <w:p>
      <w:pPr>
        <w:spacing w:after="0" w:line="74" w:lineRule="exact"/>
        <w:rPr>
          <w:rFonts w:ascii="Arial" w:cs="Arial" w:eastAsia="Arial" w:hAnsi="Arial"/>
          <w:sz w:val="18"/>
          <w:szCs w:val="18"/>
          <w:color w:val="auto"/>
        </w:rPr>
      </w:pPr>
    </w:p>
    <w:p>
      <w:pPr>
        <w:ind w:left="960" w:right="20" w:hanging="424"/>
        <w:spacing w:after="0" w:line="244"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Offshore Malaysia, PTT Exploration and Production Public Company Limited (PTTEP) awarded the SLB OneSubsea joint venture two sizeable EPC contracts. The contracts build on a 20-year collaboration between the two companies and cover the expansion of two fields. As part of the EPC contracts, SLB OneSubsea will deliver comprehensive subsea production systems for the Alum, Bemban and Permai deepwater gas fields located in Block H and the Kikeh field, Malaysia’s first deepwater oil project. The scope includes horizontal subsea trees, umbilicals, control systems and associated services.</w:t>
      </w:r>
    </w:p>
    <w:p>
      <w:pPr>
        <w:spacing w:after="0" w:line="81" w:lineRule="exact"/>
        <w:rPr>
          <w:rFonts w:ascii="Arial" w:cs="Arial" w:eastAsia="Arial" w:hAnsi="Arial"/>
          <w:sz w:val="18"/>
          <w:szCs w:val="18"/>
          <w:color w:val="auto"/>
        </w:rPr>
      </w:pPr>
    </w:p>
    <w:p>
      <w:pPr>
        <w:ind w:left="960" w:right="220" w:hanging="424"/>
        <w:spacing w:after="0" w:line="24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Offshore East Timor, Finder Energy and SLB entered a strategic alliance to fast-track the development of the Kuda Tasi and Jahal oil fields. With the immediate mobilization of SLB technical and project management teams, integrated front-end engineering and design delivery aims to accelerate project delivery by about 12 months, which is a major milestone toward first oil.</w:t>
      </w:r>
    </w:p>
    <w:p>
      <w:pPr>
        <w:sectPr>
          <w:pgSz w:w="11900" w:h="16838" w:orient="portrait"/>
          <w:cols w:equalWidth="0" w:num="1">
            <w:col w:w="11000"/>
          </w:cols>
          <w:pgMar w:left="440" w:top="269"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Technology Highlights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Notable technology introductions and deployments in the quarter include the following:</w:t>
      </w:r>
    </w:p>
    <w:p>
      <w:pPr>
        <w:spacing w:after="0" w:line="117" w:lineRule="exact"/>
        <w:rPr>
          <w:sz w:val="20"/>
          <w:szCs w:val="20"/>
          <w:color w:val="auto"/>
        </w:rPr>
      </w:pPr>
    </w:p>
    <w:p>
      <w:pPr>
        <w:ind w:left="960" w:hanging="424"/>
        <w:spacing w:after="0" w:line="242"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Italy, SLB and Eni successfully deployed the OnWave™ autonomous logging platform in a deep horizontal well across a complex carbonate reservoir. The OnWave platform offered efficient and effective data acquisition with the tools’ conveyance only taking a few minutes to reach the open-hole interval while enhancing the drillers’ well control throughout the operations. It delivered high-quality resistivity borehole images, advanced sonic measurements and 3D far-field measurements for improved fracture characterization up to 40 meters away from the wellbore. The integrated solution empowered Eni’s decisions about the well completion to boost recovery and mitigate water production risk.</w:t>
      </w:r>
    </w:p>
    <w:p>
      <w:pPr>
        <w:spacing w:after="0" w:line="84" w:lineRule="exact"/>
        <w:rPr>
          <w:rFonts w:ascii="Arial" w:cs="Arial" w:eastAsia="Arial" w:hAnsi="Arial"/>
          <w:sz w:val="18"/>
          <w:szCs w:val="18"/>
          <w:color w:val="auto"/>
        </w:rPr>
      </w:pPr>
    </w:p>
    <w:p>
      <w:pPr>
        <w:ind w:left="960" w:right="20" w:hanging="424"/>
        <w:spacing w:after="0" w:line="25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Libya, SLB successfully installed its first Reda Agile™ compact wide-range electric submersible pump system in Sarir Field. Initial flow rate was approximately 2,000 barrels of fluid per day at 135 hertz. This new technology delivers a cost-effective solution and establishes a key performance differentiator in the industry.</w:t>
      </w:r>
    </w:p>
    <w:p>
      <w:pPr>
        <w:spacing w:after="0" w:line="74" w:lineRule="exact"/>
        <w:rPr>
          <w:rFonts w:ascii="Arial" w:cs="Arial" w:eastAsia="Arial" w:hAnsi="Arial"/>
          <w:sz w:val="18"/>
          <w:szCs w:val="18"/>
          <w:color w:val="auto"/>
        </w:rPr>
      </w:pPr>
    </w:p>
    <w:p>
      <w:pPr>
        <w:ind w:left="960" w:right="80" w:hanging="424"/>
        <w:spacing w:after="0" w:line="259" w:lineRule="auto"/>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Nigeria, SLB and FIRST Exploration and Petroleum Development Company (FIRST E&amp;P) deployed SLB Automated Lithology technology to deliver real-time formation evaluation without conventional mud logging. This digital solution reduced both personnel exposure and operational costs, leveraging dual-core acquisition for lag depth tracking and sample timing, alongside cloud-based data transmission and storage. The deployment confirmed reservoir sand lenses critical for net-to-gross estimation and informed completion design. Building on these results, FIRST E&amp;P plans to apply the technology across future wells and to evaluate archived cuttings, extending its utility in improving geological insights and operational efficiency.</w:t>
      </w:r>
    </w:p>
    <w:p>
      <w:pPr>
        <w:spacing w:after="0" w:line="70" w:lineRule="exact"/>
        <w:rPr>
          <w:rFonts w:ascii="Arial" w:cs="Arial" w:eastAsia="Arial" w:hAnsi="Arial"/>
          <w:sz w:val="17"/>
          <w:szCs w:val="17"/>
          <w:color w:val="auto"/>
        </w:rPr>
      </w:pPr>
    </w:p>
    <w:p>
      <w:pPr>
        <w:ind w:left="960" w:right="120" w:hanging="424"/>
        <w:spacing w:after="0" w:line="242"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Oman, SLB and Daleel Petroleum enhanced production from mature wells by carefully selecting and prioritizing the best wells for treatment in a reservoir-centric approach. The large-volume acidizing campaign delivered targeted stimulation using the OpenPath Flex™ customizable acid stimulation service for effective fluid retardation, OpenPath Sequence™ diversion stimulation service and acid live diversion with real-time high-frequency pressure monitoring. As a result of producer and injector well stimulation, cumulative incremental oil recovery has exceeded 580,000 barrels spanning 33 jobs within 7 years. Daleel Petroleum plans to expand the campaign to include marginal reservoirs in the future.</w:t>
      </w:r>
    </w:p>
    <w:p>
      <w:pPr>
        <w:sectPr>
          <w:pgSz w:w="11900" w:h="16838" w:orient="portrait"/>
          <w:cols w:equalWidth="0" w:num="1">
            <w:col w:w="11000"/>
          </w:cols>
          <w:pgMar w:left="440" w:top="26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Digital</w:t>
      </w:r>
    </w:p>
    <w:p>
      <w:pPr>
        <w:spacing w:after="0" w:line="104" w:lineRule="exact"/>
        <w:rPr>
          <w:sz w:val="20"/>
          <w:szCs w:val="20"/>
          <w:color w:val="auto"/>
        </w:rPr>
      </w:pPr>
    </w:p>
    <w:p>
      <w:pPr>
        <w:ind w:right="520"/>
        <w:spacing w:after="0" w:line="301" w:lineRule="auto"/>
        <w:rPr>
          <w:sz w:val="20"/>
          <w:szCs w:val="20"/>
          <w:color w:val="auto"/>
        </w:rPr>
      </w:pPr>
      <w:r>
        <w:rPr>
          <w:rFonts w:ascii="Arial" w:cs="Arial" w:eastAsia="Arial" w:hAnsi="Arial"/>
          <w:sz w:val="17"/>
          <w:szCs w:val="17"/>
          <w:color w:val="auto"/>
        </w:rPr>
        <w:t>SLB is deploying digital technology at scale, partnering with customers to migrate their technology and workflows into the cloud, to embrace new AI-enabled capabilities, and to leverage insights to elevate their performance. Notable highlights include the following:</w:t>
      </w:r>
    </w:p>
    <w:p>
      <w:pPr>
        <w:spacing w:after="0" w:line="36" w:lineRule="exact"/>
        <w:rPr>
          <w:sz w:val="20"/>
          <w:szCs w:val="20"/>
          <w:color w:val="auto"/>
        </w:rPr>
      </w:pPr>
    </w:p>
    <w:p>
      <w:pPr>
        <w:ind w:left="960" w:right="40" w:hanging="424"/>
        <w:spacing w:after="0" w:line="244"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SLB launched the Tela™ agentic-AI assistant, purpose-built to transform the upstream energy sector. The Tela assistant leverages agentic AI to not only automate processes but transform workflows and drive better business outcomes. Embedded in SLB’s portfolio of applications and platforms, users will interact through a simple conversational interface. This approach enables agentic AI to act as a proactive collaborator — augmenting the workforce to achieve greater productivity and efficiency at scale.</w:t>
      </w:r>
    </w:p>
    <w:p>
      <w:pPr>
        <w:spacing w:after="0" w:line="81" w:lineRule="exact"/>
        <w:rPr>
          <w:rFonts w:ascii="Arial" w:cs="Arial" w:eastAsia="Arial" w:hAnsi="Arial"/>
          <w:sz w:val="18"/>
          <w:szCs w:val="18"/>
          <w:color w:val="auto"/>
        </w:rPr>
      </w:pPr>
    </w:p>
    <w:p>
      <w:pPr>
        <w:ind w:left="960" w:right="120" w:hanging="424"/>
        <w:spacing w:after="0" w:line="244"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Shell and SLB signed a strategic collaboration agreement to develop digital and AI solutions that drive measurable performance and efficiency gains across upstream operations for the company and the wider industry. The collaboration has the ambition to develop agentic AI-powered solutions that will accelerate and amplify the capabilities of technical experts and decision makers. The aim is to develop and deploy an open data and AI infrastructure that unifies data and workflows across subsurface, well construction and production in a secure digital environment, using the SLB Lumi™ data and AI platform.</w:t>
      </w:r>
    </w:p>
    <w:p>
      <w:pPr>
        <w:spacing w:after="0" w:line="81" w:lineRule="exact"/>
        <w:rPr>
          <w:rFonts w:ascii="Arial" w:cs="Arial" w:eastAsia="Arial" w:hAnsi="Arial"/>
          <w:sz w:val="18"/>
          <w:szCs w:val="18"/>
          <w:color w:val="auto"/>
        </w:rPr>
      </w:pPr>
    </w:p>
    <w:p>
      <w:pPr>
        <w:ind w:left="960" w:right="100" w:hanging="424"/>
        <w:spacing w:after="0" w:line="239"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ADNOC and SLB launched the AI-powered production system optimization (AiPSO) platform with initial deployment across eight fields. The launch positions ADNOC as an industry pioneer in implementing AI-driven production system optimization at scale across all fields, enabling the company to take a significant step towards becoming the world’s most AI-enabled energy company. Powered by the SLB Lumi data and AI platform and leveraging Cognite Data Fusion, AiPSO uses millions of real-time data points, AI and ADNOC’s proprietary machine learning to proactively monitor and optimize the entire production system, comprising thousands of hydrocarbon wells and hundreds of processing facilities. The platform enables smart workflows that connect office and field operations in real time enabling engineers to diagnose issues and optimize wells in minutes instead of days, enhancing the productivity of ADNOC’s workforce and increasing production capacity from the company’s wells.</w:t>
      </w:r>
    </w:p>
    <w:p>
      <w:pPr>
        <w:spacing w:after="0" w:line="88" w:lineRule="exact"/>
        <w:rPr>
          <w:rFonts w:ascii="Arial" w:cs="Arial" w:eastAsia="Arial" w:hAnsi="Arial"/>
          <w:sz w:val="18"/>
          <w:szCs w:val="18"/>
          <w:color w:val="auto"/>
        </w:rPr>
      </w:pPr>
    </w:p>
    <w:p>
      <w:pPr>
        <w:ind w:left="960" w:hanging="424"/>
        <w:spacing w:after="0" w:line="242"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Azerbaijan, bp partnered with SLB to implement advanced digital solutions on various rigs through the Performance Live™ center, enabling remote operations for its offshore platforms. Supported by DrillOps™ advisory and Neuro™ autonomous directional drilling technologies, the initiative optimized decision making, enhanced performance and minimized drilling dynamics — all while reducing the offshore well placement crew size by 66% and saving over 1,500 personnel-on-board days. By leveraging AI-powered automation, most monitoring was executed remotely, allowing technology to drive faster, more accurate decisions, improving tool life, performance, efficiency and safety.</w:t>
      </w:r>
    </w:p>
    <w:p>
      <w:pPr>
        <w:spacing w:after="0" w:line="84" w:lineRule="exact"/>
        <w:rPr>
          <w:rFonts w:ascii="Arial" w:cs="Arial" w:eastAsia="Arial" w:hAnsi="Arial"/>
          <w:sz w:val="18"/>
          <w:szCs w:val="18"/>
          <w:color w:val="auto"/>
        </w:rPr>
      </w:pPr>
    </w:p>
    <w:p>
      <w:pPr>
        <w:ind w:left="960" w:right="30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Oman, SLB and OQ Exploration &amp; Production SAOG advanced well construction using Neuro autonomous solutions to boost drilling efficiency and improve well economics. On three wells, the PowerDrive™ rotary steerable system (RSS) increased rate of penetration (ROP) by up to 50% through AI optimization. On another well, the high-powered PowerDrive One™ RSS — integrated with measurement-while-drilling capabilities — improved ROP by 40% and reduced both tripping and casing time. The bottomhole assembly featured the Retina™ at-bit imaging system, which captured high-resolution formation details to inform future well planning. These advancements represent a step toward fully autonomous drilling, integrating rig automation with directional and on-bottom operations.</w:t>
      </w:r>
    </w:p>
    <w:p>
      <w:pPr>
        <w:spacing w:after="0" w:line="90" w:lineRule="exact"/>
        <w:rPr>
          <w:rFonts w:ascii="Arial" w:cs="Arial" w:eastAsia="Arial" w:hAnsi="Arial"/>
          <w:sz w:val="18"/>
          <w:szCs w:val="18"/>
          <w:color w:val="auto"/>
        </w:rPr>
      </w:pPr>
    </w:p>
    <w:p>
      <w:pPr>
        <w:ind w:left="960" w:right="180" w:hanging="424"/>
        <w:spacing w:after="0" w:line="24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Kuwait, KOC awarded SLB a five-year contract to deliver seismic data processing and reprocessing services. The scope includes a broad range of 2D, 3C, 3D and 4D seismic data types across diverse environments, including offshore, onshore, transition zones and urban areas. The processing services will incorporate AI workflows to accelerate interpretation insights, enabling KOC to make more informed exploration and development decisions.</w:t>
      </w:r>
    </w:p>
    <w:p>
      <w:pPr>
        <w:spacing w:after="0" w:line="79" w:lineRule="exact"/>
        <w:rPr>
          <w:rFonts w:ascii="Arial" w:cs="Arial" w:eastAsia="Arial" w:hAnsi="Arial"/>
          <w:sz w:val="18"/>
          <w:szCs w:val="18"/>
          <w:color w:val="auto"/>
        </w:rPr>
      </w:pPr>
    </w:p>
    <w:p>
      <w:pPr>
        <w:ind w:left="960" w:right="600" w:hanging="424"/>
        <w:spacing w:after="0" w:line="25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PETRONAS SURINAME E&amp;P B.V. (PSEPBV) awarded SLB a contract to deliver marine seismic data processing and reprocessing for offshore Suriname Blocks 63 and 48. The scope includes advanced imaging technologies, such as Q-compensated and elastic full-waveform inversion.</w:t>
      </w:r>
    </w:p>
    <w:p>
      <w:pPr>
        <w:sectPr>
          <w:pgSz w:w="11900" w:h="16838" w:orient="portrait"/>
          <w:cols w:equalWidth="0" w:num="1">
            <w:col w:w="11000"/>
          </w:cols>
          <w:pgMar w:left="440" w:top="269"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Horizons of Growth</w:t>
      </w:r>
    </w:p>
    <w:p>
      <w:pPr>
        <w:spacing w:after="0" w:line="104"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SLB is participating at scale in high-growth markets, including Data Center Solutions and New Energy through strategic innovative technology and partnerships, including the following:</w:t>
      </w:r>
    </w:p>
    <w:p>
      <w:pPr>
        <w:spacing w:after="0" w:line="59" w:lineRule="exact"/>
        <w:rPr>
          <w:sz w:val="20"/>
          <w:szCs w:val="20"/>
          <w:color w:val="auto"/>
        </w:rPr>
      </w:pPr>
    </w:p>
    <w:p>
      <w:pPr>
        <w:ind w:left="960" w:right="340" w:hanging="424"/>
        <w:spacing w:after="0" w:line="24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United States, SLB expanded its operations in Shreveport, Louisiana, to support growing demand for data center infrastructure. The expansion nearly doubled the facility’s footprint and increased manufacturing capacity for data center equipment, strengthening SLB’s ability to support hyperscalers and data center supply chains as digital and AI workloads continue to scale.</w:t>
      </w:r>
    </w:p>
    <w:p>
      <w:pPr>
        <w:spacing w:after="0" w:line="79" w:lineRule="exact"/>
        <w:rPr>
          <w:rFonts w:ascii="Arial" w:cs="Arial" w:eastAsia="Arial" w:hAnsi="Arial"/>
          <w:sz w:val="18"/>
          <w:szCs w:val="18"/>
          <w:color w:val="auto"/>
        </w:rPr>
      </w:pPr>
    </w:p>
    <w:p>
      <w:pPr>
        <w:ind w:left="960" w:hanging="424"/>
        <w:spacing w:after="0" w:line="242"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SLB and leading geothermal and renewable energy company Ormat Technologies announced an agreement to fast-track the development and commercialization of integrated geothermal assets, including enhanced geothermal systems (EGS). EGS is the next generation of geothermal technology, meant to unlock geothermal energy in regions beyond where conventional geothermal resources exist. Together, SLB and Ormat intend to streamline project deployment, from concept to power generation. As part of this effort, they will develop, pilot and scale EGS solutions to enable wide-scale EGS adoption. This collaboration will include the design and construction of an EGS pilot at an Ormat site.</w:t>
      </w:r>
    </w:p>
    <w:p>
      <w:pPr>
        <w:sectPr>
          <w:pgSz w:w="11900" w:h="16838" w:orient="portrait"/>
          <w:cols w:equalWidth="0" w:num="1">
            <w:col w:w="10920"/>
          </w:cols>
          <w:pgMar w:left="440" w:top="269" w:right="539" w:bottom="1440" w:gutter="0" w:footer="0" w:header="0"/>
        </w:sectPr>
      </w:pPr>
    </w:p>
    <w:bookmarkStart w:id="22" w:name="page23"/>
    <w:bookmarkEnd w:id="2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TABLES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18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4720" w:type="dxa"/>
            <w:vAlign w:val="bottom"/>
            <w:gridSpan w:val="14"/>
          </w:tcPr>
          <w:p>
            <w:pPr>
              <w:ind w:left="1640"/>
              <w:spacing w:after="0"/>
              <w:rPr>
                <w:sz w:val="20"/>
                <w:szCs w:val="20"/>
                <w:color w:val="auto"/>
              </w:rPr>
            </w:pPr>
            <w:r>
              <w:rPr>
                <w:rFonts w:ascii="Arial" w:cs="Arial" w:eastAsia="Arial" w:hAnsi="Arial"/>
                <w:sz w:val="14"/>
                <w:szCs w:val="14"/>
                <w:color w:val="auto"/>
              </w:rPr>
              <w:t>(Stated in milions, exceptpershare amounts)</w:t>
            </w:r>
          </w:p>
        </w:tc>
        <w:tc>
          <w:tcPr>
            <w:tcW w:w="0" w:type="dxa"/>
            <w:vAlign w:val="bottom"/>
          </w:tcPr>
          <w:p>
            <w:pPr>
              <w:spacing w:after="0"/>
              <w:rPr>
                <w:sz w:val="1"/>
                <w:szCs w:val="1"/>
                <w:color w:val="auto"/>
              </w:rPr>
            </w:pPr>
          </w:p>
        </w:tc>
      </w:tr>
      <w:tr>
        <w:trPr>
          <w:trHeight w:val="251"/>
        </w:trPr>
        <w:tc>
          <w:tcPr>
            <w:tcW w:w="6300" w:type="dxa"/>
            <w:vAlign w:val="bottom"/>
            <w:gridSpan w:val="2"/>
            <w:vMerge w:val="restart"/>
          </w:tcPr>
          <w:p>
            <w:pPr>
              <w:spacing w:after="0"/>
              <w:rPr>
                <w:sz w:val="20"/>
                <w:szCs w:val="20"/>
                <w:color w:val="auto"/>
              </w:rPr>
            </w:pPr>
            <w:r>
              <w:rPr>
                <w:rFonts w:ascii="Arial" w:cs="Arial" w:eastAsia="Arial" w:hAnsi="Arial"/>
                <w:sz w:val="14"/>
                <w:szCs w:val="14"/>
                <w:color w:val="auto"/>
              </w:rPr>
              <w:t>Periods Ended December 31,</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5"/>
          </w:tcPr>
          <w:p>
            <w:pPr>
              <w:ind w:left="100"/>
              <w:spacing w:after="0"/>
              <w:rPr>
                <w:sz w:val="20"/>
                <w:szCs w:val="20"/>
                <w:color w:val="auto"/>
              </w:rPr>
            </w:pPr>
            <w:r>
              <w:rPr>
                <w:rFonts w:ascii="Arial" w:cs="Arial" w:eastAsia="Arial" w:hAnsi="Arial"/>
                <w:sz w:val="14"/>
                <w:szCs w:val="14"/>
                <w:color w:val="auto"/>
              </w:rPr>
              <w:t>Fourth Quarter</w:t>
            </w:r>
          </w:p>
        </w:tc>
        <w:tc>
          <w:tcPr>
            <w:tcW w:w="100" w:type="dxa"/>
            <w:vAlign w:val="bottom"/>
          </w:tcPr>
          <w:p>
            <w:pPr>
              <w:spacing w:after="0"/>
              <w:rPr>
                <w:sz w:val="21"/>
                <w:szCs w:val="21"/>
                <w:color w:val="auto"/>
              </w:rPr>
            </w:pPr>
          </w:p>
        </w:tc>
        <w:tc>
          <w:tcPr>
            <w:tcW w:w="1440" w:type="dxa"/>
            <w:vAlign w:val="bottom"/>
            <w:gridSpan w:val="6"/>
          </w:tcPr>
          <w:p>
            <w:pPr>
              <w:ind w:left="160"/>
              <w:spacing w:after="0"/>
              <w:rPr>
                <w:sz w:val="20"/>
                <w:szCs w:val="20"/>
                <w:color w:val="auto"/>
              </w:rPr>
            </w:pPr>
            <w:r>
              <w:rPr>
                <w:rFonts w:ascii="Arial" w:cs="Arial" w:eastAsia="Arial" w:hAnsi="Arial"/>
                <w:sz w:val="14"/>
                <w:szCs w:val="14"/>
                <w:color w:val="auto"/>
              </w:rPr>
              <w:t>Twelve Months</w:t>
            </w:r>
          </w:p>
        </w:tc>
        <w:tc>
          <w:tcPr>
            <w:tcW w:w="0" w:type="dxa"/>
            <w:vAlign w:val="bottom"/>
          </w:tcPr>
          <w:p>
            <w:pPr>
              <w:spacing w:after="0"/>
              <w:rPr>
                <w:sz w:val="1"/>
                <w:szCs w:val="1"/>
                <w:color w:val="auto"/>
              </w:rPr>
            </w:pPr>
          </w:p>
        </w:tc>
      </w:tr>
      <w:tr>
        <w:trPr>
          <w:trHeight w:val="162"/>
        </w:trPr>
        <w:tc>
          <w:tcPr>
            <w:tcW w:w="6300" w:type="dxa"/>
            <w:vAlign w:val="bottom"/>
            <w:gridSpan w:val="2"/>
            <w:vMerge w:val="continue"/>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color w:val="auto"/>
                <w:w w:val="96"/>
              </w:rPr>
              <w:t>2024</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442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7"/>
              </w:rPr>
              <w:t>9,745</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9,284</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8"/>
              </w:rPr>
              <w:t>35,708</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36,289</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Interest &amp; other income </w:t>
            </w:r>
            <w:r>
              <w:rPr>
                <w:rFonts w:ascii="Arial" w:cs="Arial" w:eastAsia="Arial" w:hAnsi="Arial"/>
                <w:sz w:val="25"/>
                <w:szCs w:val="25"/>
                <w:color w:val="auto"/>
                <w:vertAlign w:val="superscript"/>
              </w:rPr>
              <w:t>(1)</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73</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 xml:space="preserve">Cost of revenue </w:t>
            </w:r>
            <w:r>
              <w:rPr>
                <w:rFonts w:ascii="Arial" w:cs="Arial" w:eastAsia="Arial" w:hAnsi="Arial"/>
                <w:sz w:val="25"/>
                <w:szCs w:val="25"/>
                <w:color w:val="auto"/>
                <w:vertAlign w:val="superscript"/>
              </w:rPr>
              <w:t>(1)</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8,017</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7,322</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8"/>
              </w:rPr>
              <w:t>29,201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28,829</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engineering</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187</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Gereral &amp; administrative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7"/>
                <w:szCs w:val="17"/>
                <w:color w:val="auto"/>
              </w:rPr>
              <w:t xml:space="preserve">Merger &amp; integration </w:t>
            </w:r>
            <w:r>
              <w:rPr>
                <w:rFonts w:ascii="Arial" w:cs="Arial" w:eastAsia="Arial" w:hAnsi="Arial"/>
                <w:sz w:val="25"/>
                <w:szCs w:val="25"/>
                <w:color w:val="auto"/>
                <w:vertAlign w:val="superscript"/>
              </w:rPr>
              <w:t>(1)</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 xml:space="preserve">Restructuring &amp; other </w:t>
            </w:r>
            <w:r>
              <w:rPr>
                <w:rFonts w:ascii="Arial" w:cs="Arial" w:eastAsia="Arial" w:hAnsi="Arial"/>
                <w:sz w:val="25"/>
                <w:szCs w:val="25"/>
                <w:color w:val="auto"/>
                <w:vertAlign w:val="superscript"/>
              </w:rPr>
              <w:t>(1)</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176</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7"/>
                <w:szCs w:val="17"/>
                <w:color w:val="auto"/>
              </w:rPr>
              <w:t xml:space="preserve">Impairments </w:t>
            </w:r>
            <w:r>
              <w:rPr>
                <w:rFonts w:ascii="Arial" w:cs="Arial" w:eastAsia="Arial" w:hAnsi="Arial"/>
                <w:sz w:val="25"/>
                <w:szCs w:val="25"/>
                <w:color w:val="auto"/>
                <w:vertAlign w:val="superscript"/>
              </w:rPr>
              <w:t>(1)</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Interest</w:t>
            </w:r>
          </w:p>
        </w:tc>
        <w:tc>
          <w:tcPr>
            <w:tcW w:w="1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Income before taxes </w:t>
            </w:r>
            <w:r>
              <w:rPr>
                <w:rFonts w:ascii="Arial" w:cs="Arial" w:eastAsia="Arial" w:hAnsi="Arial"/>
                <w:sz w:val="25"/>
                <w:szCs w:val="25"/>
                <w:color w:val="auto"/>
                <w:vertAlign w:val="superscript"/>
              </w:rPr>
              <w:t>(1)</w:t>
            </w:r>
          </w:p>
        </w:tc>
        <w:tc>
          <w:tcPr>
            <w:tcW w:w="1760" w:type="dxa"/>
            <w:vAlign w:val="bottom"/>
            <w:gridSpan w:val="2"/>
            <w:shd w:val="clear" w:color="auto" w:fill="CCEEFF"/>
          </w:tcPr>
          <w:p>
            <w:pPr>
              <w:ind w:left="1640"/>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1,387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4,291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Tax expense </w:t>
            </w:r>
            <w:r>
              <w:rPr>
                <w:rFonts w:ascii="Arial" w:cs="Arial" w:eastAsia="Arial" w:hAnsi="Arial"/>
                <w:sz w:val="25"/>
                <w:szCs w:val="25"/>
                <w:color w:val="auto"/>
                <w:vertAlign w:val="superscript"/>
              </w:rPr>
              <w:t>(1)</w:t>
            </w:r>
          </w:p>
        </w:tc>
        <w:tc>
          <w:tcPr>
            <w:tcW w:w="1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Net income </w:t>
            </w:r>
            <w:r>
              <w:rPr>
                <w:rFonts w:ascii="Arial" w:cs="Arial" w:eastAsia="Arial" w:hAnsi="Arial"/>
                <w:sz w:val="25"/>
                <w:szCs w:val="25"/>
                <w:color w:val="auto"/>
                <w:vertAlign w:val="superscript"/>
              </w:rPr>
              <w:t>(1)</w:t>
            </w:r>
          </w:p>
        </w:tc>
        <w:tc>
          <w:tcPr>
            <w:tcW w:w="1760" w:type="dxa"/>
            <w:vAlign w:val="bottom"/>
            <w:gridSpan w:val="2"/>
            <w:shd w:val="clear" w:color="auto" w:fill="CCEEFF"/>
          </w:tcPr>
          <w:p>
            <w:pPr>
              <w:ind w:left="1640"/>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3,451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Net income (loss) attributable to noncontrolling interests </w:t>
            </w:r>
            <w:r>
              <w:rPr>
                <w:rFonts w:ascii="Arial" w:cs="Arial" w:eastAsia="Arial" w:hAnsi="Arial"/>
                <w:sz w:val="25"/>
                <w:szCs w:val="25"/>
                <w:color w:val="auto"/>
                <w:vertAlign w:val="superscript"/>
              </w:rPr>
              <w:t>(1)</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Net income attributable to SLB </w:t>
            </w:r>
            <w:r>
              <w:rPr>
                <w:rFonts w:ascii="Arial" w:cs="Arial" w:eastAsia="Arial" w:hAnsi="Arial"/>
                <w:sz w:val="25"/>
                <w:szCs w:val="25"/>
                <w:color w:val="auto"/>
                <w:vertAlign w:val="superscript"/>
              </w:rPr>
              <w:t>(1)</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3,374</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line="243" w:lineRule="exact"/>
              <w:rPr>
                <w:sz w:val="20"/>
                <w:szCs w:val="20"/>
                <w:color w:val="auto"/>
              </w:rPr>
            </w:pPr>
            <w:r>
              <w:rPr>
                <w:rFonts w:ascii="Arial" w:cs="Arial" w:eastAsia="Arial" w:hAnsi="Arial"/>
                <w:sz w:val="18"/>
                <w:szCs w:val="18"/>
                <w:color w:val="auto"/>
              </w:rPr>
              <w:t xml:space="preserve">Diluted earnings pershare of SLB </w:t>
            </w:r>
            <w:r>
              <w:rPr>
                <w:rFonts w:ascii="Arial" w:cs="Arial" w:eastAsia="Arial" w:hAnsi="Arial"/>
                <w:sz w:val="26"/>
                <w:szCs w:val="26"/>
                <w:color w:val="auto"/>
                <w:vertAlign w:val="superscript"/>
              </w:rPr>
              <w:t>(1)</w:t>
            </w: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gridSpan w:val="2"/>
            <w:vMerge w:val="continue"/>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0 .55</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0.77</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2 .35</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11</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1,495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1,406</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1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1,511</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1,420</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Depreciation &amp; amortization included in expenses </w:t>
            </w:r>
            <w:r>
              <w:rPr>
                <w:rFonts w:ascii="Arial" w:cs="Arial" w:eastAsia="Arial" w:hAnsi="Arial"/>
                <w:sz w:val="25"/>
                <w:szCs w:val="25"/>
                <w:color w:val="auto"/>
                <w:vertAlign w:val="superscript"/>
              </w:rPr>
              <w:t>(2)</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2,643</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27"/>
          <w:szCs w:val="27"/>
          <w:color w:val="auto"/>
          <w:vertAlign w:val="superscript"/>
        </w:rPr>
      </w:pPr>
      <w:r>
        <w:rPr>
          <w:rFonts w:ascii="Arial" w:cs="Arial" w:eastAsia="Arial" w:hAnsi="Arial"/>
          <w:sz w:val="18"/>
          <w:szCs w:val="18"/>
          <w:color w:val="auto"/>
        </w:rPr>
        <w:t>See section entitled “Charges &amp; Credits” for details.</w:t>
      </w:r>
    </w:p>
    <w:p>
      <w:pPr>
        <w:ind w:left="424" w:hanging="424"/>
        <w:spacing w:after="0" w:line="184" w:lineRule="auto"/>
        <w:tabs>
          <w:tab w:leader="none" w:pos="424" w:val="left"/>
        </w:tabs>
        <w:numPr>
          <w:ilvl w:val="0"/>
          <w:numId w:val="17"/>
        </w:numPr>
        <w:rPr>
          <w:rFonts w:ascii="Arial" w:cs="Arial" w:eastAsia="Arial" w:hAnsi="Arial"/>
          <w:sz w:val="25"/>
          <w:szCs w:val="25"/>
          <w:color w:val="auto"/>
          <w:vertAlign w:val="superscript"/>
        </w:rPr>
      </w:pPr>
      <w:r>
        <w:rPr>
          <w:rFonts w:ascii="Arial" w:cs="Arial" w:eastAsia="Arial" w:hAnsi="Arial"/>
          <w:sz w:val="17"/>
          <w:szCs w:val="17"/>
          <w:color w:val="auto"/>
        </w:rPr>
        <w:t>Includes depreciation of fixed assets and amortization of intangible assets, exploration data costs and APS investments.</w:t>
      </w:r>
    </w:p>
    <w:p>
      <w:pPr>
        <w:sectPr>
          <w:pgSz w:w="11900" w:h="16838" w:orient="portrait"/>
          <w:cols w:equalWidth="0" w:num="1">
            <w:col w:w="11024"/>
          </w:cols>
          <w:pgMar w:left="436" w:top="269" w:right="4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Consolidated Balance Sheet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6"/>
          </w:tcPr>
          <w:p>
            <w:pPr>
              <w:ind w:left="4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42"/>
        </w:trPr>
        <w:tc>
          <w:tcPr>
            <w:tcW w:w="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620" w:type="dxa"/>
            <w:vAlign w:val="bottom"/>
          </w:tcPr>
          <w:p>
            <w:pPr>
              <w:spacing w:after="0"/>
              <w:rPr>
                <w:sz w:val="21"/>
                <w:szCs w:val="21"/>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 31,</w:t>
            </w:r>
          </w:p>
        </w:tc>
        <w:tc>
          <w:tcPr>
            <w:tcW w:w="140" w:type="dxa"/>
            <w:vAlign w:val="bottom"/>
          </w:tcPr>
          <w:p>
            <w:pPr>
              <w:spacing w:after="0"/>
              <w:rPr>
                <w:sz w:val="21"/>
                <w:szCs w:val="21"/>
                <w:color w:val="auto"/>
              </w:rPr>
            </w:pPr>
          </w:p>
        </w:tc>
        <w:tc>
          <w:tcPr>
            <w:tcW w:w="780" w:type="dxa"/>
            <w:vAlign w:val="bottom"/>
            <w:gridSpan w:val="3"/>
          </w:tcPr>
          <w:p>
            <w:pPr>
              <w:ind w:left="10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1"/>
        </w:trPr>
        <w:tc>
          <w:tcPr>
            <w:tcW w:w="54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7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2024</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8720" w:type="dxa"/>
            <w:vAlign w:val="bottom"/>
            <w:tcBorders>
              <w:bottom w:val="single" w:sz="8" w:color="CCEEFF"/>
            </w:tcBorders>
            <w:gridSpan w:val="2"/>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short-term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16"/>
        </w:trPr>
        <w:tc>
          <w:tcPr>
            <w:tcW w:w="9260" w:type="dxa"/>
            <w:vAlign w:val="bottom"/>
            <w:gridSpan w:val="3"/>
          </w:tcPr>
          <w:p>
            <w:pPr>
              <w:ind w:left="360"/>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8,689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8,011</w:t>
            </w:r>
          </w:p>
        </w:tc>
        <w:tc>
          <w:tcPr>
            <w:tcW w:w="0" w:type="dxa"/>
            <w:vAlign w:val="bottom"/>
          </w:tcPr>
          <w:p>
            <w:pPr>
              <w:spacing w:after="0"/>
              <w:rPr>
                <w:sz w:val="1"/>
                <w:szCs w:val="1"/>
                <w:color w:val="auto"/>
              </w:rPr>
            </w:pPr>
          </w:p>
        </w:tc>
      </w:tr>
      <w:tr>
        <w:trPr>
          <w:trHeight w:val="216"/>
        </w:trPr>
        <w:tc>
          <w:tcPr>
            <w:tcW w:w="9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23"/>
        </w:trPr>
        <w:tc>
          <w:tcPr>
            <w:tcW w:w="9260" w:type="dxa"/>
            <w:vAlign w:val="bottom"/>
            <w:gridSpan w:val="3"/>
          </w:tcPr>
          <w:p>
            <w:pPr>
              <w:ind w:left="36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19,513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18,570</w:t>
            </w:r>
          </w:p>
        </w:tc>
        <w:tc>
          <w:tcPr>
            <w:tcW w:w="0" w:type="dxa"/>
            <w:vAlign w:val="bottom"/>
          </w:tcPr>
          <w:p>
            <w:pPr>
              <w:spacing w:after="0"/>
              <w:rPr>
                <w:sz w:val="1"/>
                <w:szCs w:val="1"/>
                <w:color w:val="auto"/>
              </w:rPr>
            </w:pPr>
          </w:p>
        </w:tc>
      </w:tr>
      <w:tr>
        <w:trPr>
          <w:trHeight w:val="216"/>
        </w:trPr>
        <w:tc>
          <w:tcPr>
            <w:tcW w:w="9260" w:type="dxa"/>
            <w:vAlign w:val="bottom"/>
            <w:gridSpan w:val="3"/>
          </w:tcPr>
          <w:p>
            <w:pPr>
              <w:spacing w:after="0"/>
              <w:rPr>
                <w:sz w:val="20"/>
                <w:szCs w:val="20"/>
                <w:color w:val="auto"/>
              </w:rPr>
            </w:pPr>
            <w:r>
              <w:rPr>
                <w:rFonts w:ascii="Arial" w:cs="Arial" w:eastAsia="Arial" w:hAnsi="Arial"/>
                <w:sz w:val="18"/>
                <w:szCs w:val="18"/>
                <w:color w:val="auto"/>
              </w:rPr>
              <w:t>Investment in affiliated companies</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16"/>
        </w:trPr>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assets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7,894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7,359</w:t>
            </w:r>
          </w:p>
        </w:tc>
        <w:tc>
          <w:tcPr>
            <w:tcW w:w="0" w:type="dxa"/>
            <w:vAlign w:val="bottom"/>
          </w:tcPr>
          <w:p>
            <w:pPr>
              <w:spacing w:after="0"/>
              <w:rPr>
                <w:sz w:val="1"/>
                <w:szCs w:val="1"/>
                <w:color w:val="auto"/>
              </w:rPr>
            </w:pPr>
          </w:p>
        </w:tc>
      </w:tr>
      <w:tr>
        <w:trPr>
          <w:trHeight w:val="216"/>
        </w:trPr>
        <w:tc>
          <w:tcPr>
            <w:tcW w:w="926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16,794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14,593</w:t>
            </w:r>
          </w:p>
        </w:tc>
        <w:tc>
          <w:tcPr>
            <w:tcW w:w="0" w:type="dxa"/>
            <w:vAlign w:val="bottom"/>
          </w:tcPr>
          <w:p>
            <w:pPr>
              <w:spacing w:after="0"/>
              <w:rPr>
                <w:sz w:val="1"/>
                <w:szCs w:val="1"/>
                <w:color w:val="auto"/>
              </w:rPr>
            </w:pPr>
          </w:p>
        </w:tc>
      </w:tr>
      <w:tr>
        <w:trPr>
          <w:trHeight w:val="216"/>
        </w:trPr>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4,988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23"/>
        </w:trPr>
        <w:tc>
          <w:tcPr>
            <w:tcW w:w="926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54,868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48,935</w:t>
            </w:r>
          </w:p>
        </w:tc>
        <w:tc>
          <w:tcPr>
            <w:tcW w:w="0" w:type="dxa"/>
            <w:vAlign w:val="bottom"/>
          </w:tcPr>
          <w:p>
            <w:pPr>
              <w:spacing w:after="0"/>
              <w:rPr>
                <w:sz w:val="1"/>
                <w:szCs w:val="1"/>
                <w:color w:val="auto"/>
              </w:rPr>
            </w:pPr>
          </w:p>
        </w:tc>
      </w:tr>
      <w:tr>
        <w:trPr>
          <w:trHeight w:val="20"/>
        </w:trPr>
        <w:tc>
          <w:tcPr>
            <w:tcW w:w="9260" w:type="dxa"/>
            <w:vAlign w:val="bottom"/>
            <w:gridSpan w:val="3"/>
            <w:vMerge w:val="restart"/>
          </w:tcPr>
          <w:p>
            <w:pPr>
              <w:spacing w:after="0"/>
              <w:rPr>
                <w:sz w:val="20"/>
                <w:szCs w:val="20"/>
                <w:color w:val="auto"/>
              </w:rPr>
            </w:pPr>
            <w:r>
              <w:rPr>
                <w:rFonts w:ascii="Arial" w:cs="Arial" w:eastAsia="Arial" w:hAnsi="Arial"/>
                <w:sz w:val="18"/>
                <w:szCs w:val="18"/>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2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3"/>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11,490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16"/>
        </w:trPr>
        <w:tc>
          <w:tcPr>
            <w:tcW w:w="9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Estimated liability for taxes on income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9260" w:type="dxa"/>
            <w:vAlign w:val="bottom"/>
            <w:gridSpan w:val="3"/>
          </w:tcPr>
          <w:p>
            <w:pPr>
              <w:ind w:left="360"/>
              <w:spacing w:after="0"/>
              <w:rPr>
                <w:sz w:val="20"/>
                <w:szCs w:val="20"/>
                <w:color w:val="auto"/>
              </w:rPr>
            </w:pPr>
            <w:r>
              <w:rPr>
                <w:rFonts w:ascii="Arial" w:cs="Arial" w:eastAsia="Arial" w:hAnsi="Arial"/>
                <w:sz w:val="18"/>
                <w:szCs w:val="18"/>
                <w:color w:val="auto"/>
              </w:rPr>
              <w:t>Short-term borrowings and current portion of long-term debt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9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Dividends payable</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14,721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12,811</w:t>
            </w:r>
          </w:p>
        </w:tc>
        <w:tc>
          <w:tcPr>
            <w:tcW w:w="0" w:type="dxa"/>
            <w:vAlign w:val="bottom"/>
          </w:tcPr>
          <w:p>
            <w:pPr>
              <w:spacing w:after="0"/>
              <w:rPr>
                <w:sz w:val="1"/>
                <w:szCs w:val="1"/>
                <w:color w:val="auto"/>
              </w:rPr>
            </w:pPr>
          </w:p>
        </w:tc>
      </w:tr>
      <w:tr>
        <w:trPr>
          <w:trHeight w:val="216"/>
        </w:trPr>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9,742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11,023</w:t>
            </w:r>
          </w:p>
        </w:tc>
        <w:tc>
          <w:tcPr>
            <w:tcW w:w="0" w:type="dxa"/>
            <w:vAlign w:val="bottom"/>
          </w:tcPr>
          <w:p>
            <w:pPr>
              <w:spacing w:after="0"/>
              <w:rPr>
                <w:sz w:val="1"/>
                <w:szCs w:val="1"/>
                <w:color w:val="auto"/>
              </w:rPr>
            </w:pPr>
          </w:p>
        </w:tc>
      </w:tr>
      <w:tr>
        <w:trPr>
          <w:trHeight w:val="223"/>
        </w:trPr>
        <w:tc>
          <w:tcPr>
            <w:tcW w:w="92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27,577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26,585</w:t>
            </w:r>
          </w:p>
        </w:tc>
        <w:tc>
          <w:tcPr>
            <w:tcW w:w="0" w:type="dxa"/>
            <w:vAlign w:val="bottom"/>
          </w:tcPr>
          <w:p>
            <w:pPr>
              <w:spacing w:after="0"/>
              <w:rPr>
                <w:sz w:val="1"/>
                <w:szCs w:val="1"/>
                <w:color w:val="auto"/>
              </w:rPr>
            </w:pPr>
          </w:p>
        </w:tc>
      </w:tr>
      <w:tr>
        <w:trPr>
          <w:trHeight w:val="223"/>
        </w:trPr>
        <w:tc>
          <w:tcPr>
            <w:tcW w:w="9260" w:type="dxa"/>
            <w:vAlign w:val="bottom"/>
            <w:gridSpan w:val="3"/>
          </w:tcPr>
          <w:p>
            <w:pPr>
              <w:spacing w:after="0"/>
              <w:rPr>
                <w:sz w:val="20"/>
                <w:szCs w:val="20"/>
                <w:color w:val="auto"/>
              </w:rPr>
            </w:pPr>
            <w:r>
              <w:rPr>
                <w:rFonts w:ascii="Arial" w:cs="Arial" w:eastAsia="Arial" w:hAnsi="Arial"/>
                <w:sz w:val="18"/>
                <w:szCs w:val="18"/>
                <w:color w:val="auto"/>
              </w:rPr>
              <w:t>Equity</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54,868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48,935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9" w:right="439" w:bottom="1440" w:gutter="0" w:footer="0" w:header="0"/>
        </w:sectPr>
      </w:pPr>
    </w:p>
    <w:bookmarkStart w:id="24" w:name="page25"/>
    <w:bookmarkEnd w:id="24"/>
    <w:p>
      <w:pPr>
        <w:ind w:left="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Liquidity</w:t>
      </w:r>
    </w:p>
    <w:p>
      <w:pPr>
        <w:sectPr>
          <w:pgSz w:w="11900" w:h="16838" w:orient="portrait"/>
          <w:cols w:equalWidth="0" w:num="1">
            <w:col w:w="11024"/>
          </w:cols>
          <w:pgMar w:left="436" w:top="26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
        <w:spacing w:after="0"/>
        <w:rPr>
          <w:sz w:val="20"/>
          <w:szCs w:val="20"/>
          <w:color w:val="auto"/>
        </w:rPr>
      </w:pPr>
      <w:r>
        <w:rPr>
          <w:rFonts w:ascii="Arial" w:cs="Arial" w:eastAsia="Arial" w:hAnsi="Arial"/>
          <w:sz w:val="14"/>
          <w:szCs w:val="14"/>
          <w:u w:val="single" w:color="auto"/>
          <w:color w:val="auto"/>
        </w:rPr>
        <w:t>Components of Liquidity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Cash and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9516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
        <w:spacing w:after="0"/>
        <w:rPr>
          <w:sz w:val="20"/>
          <w:szCs w:val="20"/>
          <w:color w:val="auto"/>
        </w:rPr>
      </w:pPr>
      <w:r>
        <w:rPr>
          <w:rFonts w:ascii="Arial" w:cs="Arial" w:eastAsia="Arial" w:hAnsi="Arial"/>
          <w:sz w:val="17"/>
          <w:szCs w:val="17"/>
          <w:color w:val="auto"/>
        </w:rPr>
        <w:t>Short-term borrowings and current portion of long-term debt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9516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26"/>
          <w:szCs w:val="26"/>
          <w:color w:val="auto"/>
          <w:vertAlign w:val="superscript"/>
        </w:rPr>
        <w:t>(1)</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Details of changes in liquidity follow:</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(Stated in millions)</w:t>
      </w:r>
    </w:p>
    <w:p>
      <w:pPr>
        <w:spacing w:after="0" w:line="109" w:lineRule="exact"/>
        <w:rPr>
          <w:sz w:val="20"/>
          <w:szCs w:val="20"/>
          <w:color w:val="auto"/>
        </w:rPr>
      </w:pPr>
    </w:p>
    <w:p>
      <w:pPr>
        <w:ind w:left="40"/>
        <w:spacing w:after="0"/>
        <w:tabs>
          <w:tab w:leader="none" w:pos="920" w:val="left"/>
          <w:tab w:leader="none" w:pos="1880" w:val="left"/>
        </w:tabs>
        <w:rPr>
          <w:sz w:val="20"/>
          <w:szCs w:val="20"/>
          <w:color w:val="auto"/>
        </w:rPr>
      </w:pPr>
      <w:r>
        <w:rPr>
          <w:rFonts w:ascii="Arial" w:cs="Arial" w:eastAsia="Arial" w:hAnsi="Arial"/>
          <w:sz w:val="14"/>
          <w:szCs w:val="14"/>
          <w:color w:val="auto"/>
        </w:rPr>
        <w:t>Dec. 31,</w:t>
      </w:r>
      <w:r>
        <w:rPr>
          <w:sz w:val="20"/>
          <w:szCs w:val="20"/>
          <w:color w:val="auto"/>
        </w:rPr>
        <w:tab/>
      </w:r>
      <w:r>
        <w:rPr>
          <w:rFonts w:ascii="Arial" w:cs="Arial" w:eastAsia="Arial" w:hAnsi="Arial"/>
          <w:sz w:val="14"/>
          <w:szCs w:val="14"/>
          <w:color w:val="auto"/>
        </w:rPr>
        <w:t>Sept. 30,</w:t>
      </w:r>
      <w:r>
        <w:rPr>
          <w:sz w:val="20"/>
          <w:szCs w:val="20"/>
          <w:color w:val="auto"/>
        </w:rPr>
        <w:tab/>
      </w:r>
      <w:r>
        <w:rPr>
          <w:rFonts w:ascii="Arial" w:cs="Arial" w:eastAsia="Arial" w:hAnsi="Arial"/>
          <w:sz w:val="14"/>
          <w:szCs w:val="14"/>
          <w:color w:val="auto"/>
        </w:rPr>
        <w:t>Dec. 31,</w:t>
      </w:r>
    </w:p>
    <w:p>
      <w:pPr>
        <w:spacing w:after="0" w:line="15" w:lineRule="exact"/>
        <w:rPr>
          <w:sz w:val="20"/>
          <w:szCs w:val="20"/>
          <w:color w:val="auto"/>
        </w:rPr>
      </w:pPr>
    </w:p>
    <w:p>
      <w:pPr>
        <w:ind w:left="160"/>
        <w:spacing w:after="0"/>
        <w:tabs>
          <w:tab w:leader="none" w:pos="1040" w:val="left"/>
          <w:tab w:leader="none" w:pos="2000" w:val="left"/>
        </w:tabs>
        <w:rPr>
          <w:sz w:val="20"/>
          <w:szCs w:val="20"/>
          <w:color w:val="auto"/>
        </w:rPr>
      </w:pPr>
      <w:r>
        <w:rPr>
          <w:rFonts w:ascii="Arial" w:cs="Arial" w:eastAsia="Arial" w:hAnsi="Arial"/>
          <w:sz w:val="14"/>
          <w:szCs w:val="14"/>
          <w:color w:val="auto"/>
        </w:rPr>
        <w:t>2025</w:t>
      </w:r>
      <w:r>
        <w:rPr>
          <w:sz w:val="20"/>
          <w:szCs w:val="20"/>
          <w:color w:val="auto"/>
        </w:rPr>
        <w:tab/>
      </w:r>
      <w:r>
        <w:rPr>
          <w:rFonts w:ascii="Arial" w:cs="Arial" w:eastAsia="Arial" w:hAnsi="Arial"/>
          <w:sz w:val="14"/>
          <w:szCs w:val="14"/>
          <w:color w:val="auto"/>
        </w:rPr>
        <w:t>2025</w:t>
      </w:r>
      <w:r>
        <w:rPr>
          <w:sz w:val="20"/>
          <w:szCs w:val="20"/>
          <w:color w:val="auto"/>
        </w:rPr>
        <w:tab/>
      </w:r>
      <w:r>
        <w:rPr>
          <w:rFonts w:ascii="Arial" w:cs="Arial" w:eastAsia="Arial" w:hAnsi="Arial"/>
          <w:sz w:val="14"/>
          <w:szCs w:val="14"/>
          <w:color w:val="auto"/>
        </w:rPr>
        <w:t>2024</w:t>
      </w:r>
    </w:p>
    <w:p>
      <w:pPr>
        <w:spacing w:after="0" w:line="9" w:lineRule="exact"/>
        <w:rPr>
          <w:sz w:val="20"/>
          <w:szCs w:val="20"/>
          <w:color w:val="auto"/>
        </w:rPr>
      </w:pPr>
    </w:p>
    <w:p>
      <w:pPr>
        <w:ind w:left="180" w:hanging="174"/>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4,212   $  3,585   $  4,669</w:t>
      </w:r>
    </w:p>
    <w:p>
      <w:pPr>
        <w:spacing w:after="0" w:line="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(1,894)(1,923)(1,051)</w:t>
      </w:r>
    </w:p>
    <w:p>
      <w:pPr>
        <w:spacing w:after="0" w:line="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(9,742)   (10,843)   (11,023)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16033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tabs>
          <w:tab w:leader="none" w:pos="840" w:val="left"/>
          <w:tab w:leader="none" w:pos="1800" w:val="left"/>
        </w:tabs>
        <w:rPr>
          <w:sz w:val="20"/>
          <w:szCs w:val="20"/>
          <w:color w:val="auto"/>
        </w:rPr>
      </w:pPr>
      <w:r>
        <w:rPr>
          <w:rFonts w:ascii="Arial" w:cs="Arial" w:eastAsia="Arial" w:hAnsi="Arial"/>
          <w:sz w:val="18"/>
          <w:szCs w:val="18"/>
          <w:u w:val="single" w:color="auto"/>
          <w:color w:val="auto"/>
        </w:rPr>
        <w:t>$(7,424</w:t>
      </w:r>
      <w:r>
        <w:rPr>
          <w:rFonts w:ascii="Arial" w:cs="Arial" w:eastAsia="Arial" w:hAnsi="Arial"/>
          <w:sz w:val="18"/>
          <w:szCs w:val="18"/>
          <w:color w:val="auto"/>
        </w:rPr>
        <w:t>)</w:t>
      </w:r>
      <w:r>
        <w:rPr>
          <w:sz w:val="20"/>
          <w:szCs w:val="20"/>
          <w:color w:val="auto"/>
        </w:rPr>
        <w:tab/>
      </w:r>
      <w:r>
        <w:rPr>
          <w:rFonts w:ascii="Arial" w:cs="Arial" w:eastAsia="Arial" w:hAnsi="Arial"/>
          <w:sz w:val="18"/>
          <w:szCs w:val="18"/>
          <w:u w:val="single" w:color="auto"/>
          <w:color w:val="auto"/>
        </w:rPr>
        <w:t>$ (9,181</w:t>
      </w:r>
      <w:r>
        <w:rPr>
          <w:rFonts w:ascii="Arial" w:cs="Arial" w:eastAsia="Arial" w:hAnsi="Arial"/>
          <w:sz w:val="18"/>
          <w:szCs w:val="18"/>
          <w:color w:val="auto"/>
        </w:rPr>
        <w:t>)</w:t>
      </w:r>
      <w:r>
        <w:rPr>
          <w:rFonts w:ascii="Arial" w:cs="Arial" w:eastAsia="Arial" w:hAnsi="Arial"/>
          <w:sz w:val="18"/>
          <w:szCs w:val="18"/>
          <w:u w:val="single" w:color="auto"/>
          <w:color w:val="auto"/>
        </w:rPr>
        <w:tab/>
        <w:t>$ (7,405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16033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7644" w:space="720"/>
            <w:col w:w="2660"/>
          </w:cols>
          <w:pgMar w:left="436" w:top="269" w:right="439" w:bottom="1440" w:gutter="0" w:footer="0" w:header="0"/>
          <w:type w:val="continuous"/>
        </w:sectPr>
      </w:pPr>
    </w:p>
    <w:p>
      <w:pPr>
        <w:spacing w:after="0" w:line="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Twelve</w:t>
            </w: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Fourth</w:t>
            </w:r>
          </w:p>
        </w:tc>
        <w:tc>
          <w:tcPr>
            <w:tcW w:w="8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Twelve</w:t>
            </w:r>
          </w:p>
        </w:tc>
        <w:tc>
          <w:tcPr>
            <w:tcW w:w="0" w:type="dxa"/>
            <w:vAlign w:val="bottom"/>
          </w:tcPr>
          <w:p>
            <w:pPr>
              <w:spacing w:after="0"/>
              <w:rPr>
                <w:sz w:val="1"/>
                <w:szCs w:val="1"/>
                <w:color w:val="auto"/>
              </w:rPr>
            </w:pPr>
          </w:p>
        </w:tc>
      </w:tr>
      <w:tr>
        <w:trPr>
          <w:trHeight w:val="162"/>
        </w:trPr>
        <w:tc>
          <w:tcPr>
            <w:tcW w:w="7700" w:type="dxa"/>
            <w:vAlign w:val="bottom"/>
            <w:gridSpan w:val="2"/>
            <w:vMerge w:val="restart"/>
          </w:tcPr>
          <w:p>
            <w:pPr>
              <w:spacing w:after="0"/>
              <w:rPr>
                <w:sz w:val="20"/>
                <w:szCs w:val="20"/>
                <w:color w:val="auto"/>
              </w:rPr>
            </w:pPr>
            <w:r>
              <w:rPr>
                <w:rFonts w:ascii="Arial" w:cs="Arial" w:eastAsia="Arial" w:hAnsi="Arial"/>
                <w:sz w:val="14"/>
                <w:szCs w:val="14"/>
                <w:color w:val="auto"/>
              </w:rPr>
              <w:t>Periods Ended December 31,</w:t>
            </w:r>
          </w:p>
        </w:tc>
        <w:tc>
          <w:tcPr>
            <w:tcW w:w="86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Months</w:t>
            </w:r>
          </w:p>
        </w:tc>
        <w:tc>
          <w:tcPr>
            <w:tcW w:w="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rPr>
              <w:t>Months</w:t>
            </w:r>
          </w:p>
        </w:tc>
        <w:tc>
          <w:tcPr>
            <w:tcW w:w="0" w:type="dxa"/>
            <w:vAlign w:val="bottom"/>
          </w:tcPr>
          <w:p>
            <w:pPr>
              <w:spacing w:after="0"/>
              <w:rPr>
                <w:sz w:val="1"/>
                <w:szCs w:val="1"/>
                <w:color w:val="auto"/>
              </w:rPr>
            </w:pPr>
          </w:p>
        </w:tc>
      </w:tr>
      <w:tr>
        <w:trPr>
          <w:trHeight w:val="178"/>
        </w:trPr>
        <w:tc>
          <w:tcPr>
            <w:tcW w:w="7700" w:type="dxa"/>
            <w:vAlign w:val="bottom"/>
            <w:gridSpan w:val="2"/>
            <w:vMerge w:val="continue"/>
          </w:tcPr>
          <w:p>
            <w:pPr>
              <w:spacing w:after="0"/>
              <w:rPr>
                <w:sz w:val="15"/>
                <w:szCs w:val="15"/>
                <w:color w:val="auto"/>
              </w:rPr>
            </w:pPr>
          </w:p>
        </w:tc>
        <w:tc>
          <w:tcPr>
            <w:tcW w:w="1480" w:type="dxa"/>
            <w:vAlign w:val="bottom"/>
            <w:gridSpan w:val="2"/>
          </w:tcPr>
          <w:p>
            <w:pPr>
              <w:jc w:val="center"/>
              <w:ind w:left="791"/>
              <w:spacing w:after="0" w:line="158" w:lineRule="exact"/>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31"/>
              <w:spacing w:after="0" w:line="158"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5"/>
                <w:szCs w:val="15"/>
                <w:color w:val="auto"/>
              </w:rPr>
            </w:pPr>
          </w:p>
        </w:tc>
        <w:tc>
          <w:tcPr>
            <w:tcW w:w="720" w:type="dxa"/>
            <w:vAlign w:val="bottom"/>
            <w:gridSpan w:val="2"/>
          </w:tcPr>
          <w:p>
            <w:pPr>
              <w:jc w:val="center"/>
              <w:spacing w:after="0" w:line="158"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58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b w:val="1"/>
                <w:bCs w:val="1"/>
                <w:color w:val="auto"/>
              </w:rPr>
              <w:t>$ 3,451</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800</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$ 4,579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Amortization of inventory purchase accounting fair value adjustment</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166</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APS project</w:t>
            </w:r>
          </w:p>
        </w:tc>
        <w:tc>
          <w:tcPr>
            <w:tcW w:w="1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Impairments</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331</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210</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investment</w:t>
            </w:r>
          </w:p>
        </w:tc>
        <w:tc>
          <w:tcPr>
            <w:tcW w:w="8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— </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Depreciation and amortization </w:t>
            </w:r>
            <w:r>
              <w:rPr>
                <w:rFonts w:ascii="Arial" w:cs="Arial" w:eastAsia="Arial" w:hAnsi="Arial"/>
                <w:sz w:val="25"/>
                <w:szCs w:val="25"/>
                <w:color w:val="auto"/>
                <w:vertAlign w:val="superscript"/>
              </w:rPr>
              <w:t>(2)</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2,643</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732</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(278)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(189)</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332</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75</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working capital</w:t>
            </w:r>
          </w:p>
        </w:tc>
        <w:tc>
          <w:tcPr>
            <w:tcW w:w="1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1,213</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64</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from operations</w:t>
            </w:r>
          </w:p>
        </w:tc>
        <w:tc>
          <w:tcPr>
            <w:tcW w:w="8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$ 6,489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3,005</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$ 6,602</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Capital expenditures</w:t>
            </w:r>
          </w:p>
        </w:tc>
        <w:tc>
          <w:tcPr>
            <w:tcW w:w="8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(1,694)</w:t>
            </w: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(516)</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APS investments</w:t>
            </w:r>
          </w:p>
        </w:tc>
        <w:tc>
          <w:tcPr>
            <w:tcW w:w="1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(428)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(116)</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Exploration data capitalized</w:t>
            </w:r>
          </w:p>
        </w:tc>
        <w:tc>
          <w:tcPr>
            <w:tcW w:w="8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(252)</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(84)</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 xml:space="preserve">Free cash flow </w:t>
            </w:r>
            <w:r>
              <w:rPr>
                <w:rFonts w:ascii="Arial" w:cs="Arial" w:eastAsia="Arial" w:hAnsi="Arial"/>
                <w:sz w:val="25"/>
                <w:szCs w:val="25"/>
                <w:color w:val="auto"/>
                <w:vertAlign w:val="superscript"/>
              </w:rPr>
              <w:t>(3)</w:t>
            </w:r>
          </w:p>
        </w:tc>
        <w:tc>
          <w:tcPr>
            <w:tcW w:w="8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4,115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2,289</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Dividends paid</w:t>
            </w:r>
          </w:p>
        </w:tc>
        <w:tc>
          <w:tcPr>
            <w:tcW w:w="8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(1,602)</w:t>
            </w: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(426)</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1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(2,414)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Proceeds from employee stock plans</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229</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— </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APS project</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338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Proceeds from sale of ChampionX Drilling Technologies business</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286</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— </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business acquisitions and investments, net of cash acquired plus debt assumed</w:t>
            </w:r>
          </w:p>
        </w:tc>
        <w:tc>
          <w:tcPr>
            <w:tcW w:w="1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(187)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(43)</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Net debt assumed in connection with ChampionX acquisition</w:t>
            </w:r>
          </w:p>
        </w:tc>
        <w:tc>
          <w:tcPr>
            <w:tcW w:w="17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(133)</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— </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Blue Chip Swap securities</w:t>
            </w:r>
          </w:p>
        </w:tc>
        <w:tc>
          <w:tcPr>
            <w:tcW w:w="1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(57)</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Proceeds from sale of Blue Chip Swap securities</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194</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paid on net settled stock-based compensation awards</w:t>
            </w:r>
          </w:p>
        </w:tc>
        <w:tc>
          <w:tcPr>
            <w:tcW w:w="1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Decrease in Net Debt before impact of changes in foreign exchange rates</w:t>
            </w:r>
          </w:p>
        </w:tc>
        <w:tc>
          <w:tcPr>
            <w:tcW w:w="8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490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1,795</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Impact of changes in foreign exchange rates on net debt</w:t>
            </w:r>
          </w:p>
        </w:tc>
        <w:tc>
          <w:tcPr>
            <w:tcW w:w="8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(509)</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(38)</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(Increase) decrease in Net Debt</w:t>
            </w:r>
          </w:p>
        </w:tc>
        <w:tc>
          <w:tcPr>
            <w:tcW w:w="8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1,757</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Net Debt, beginning of period</w:t>
            </w:r>
          </w:p>
        </w:tc>
        <w:tc>
          <w:tcPr>
            <w:tcW w:w="8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(7,405)</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8"/>
              </w:rPr>
              <w:t>(9,181)</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Debt, end of period</w:t>
            </w:r>
          </w:p>
        </w:tc>
        <w:tc>
          <w:tcPr>
            <w:tcW w:w="8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(7,424)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8"/>
              </w:rPr>
              <w:t>(7,424)</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20" w:hanging="424"/>
        <w:spacing w:after="0" w:line="213" w:lineRule="auto"/>
        <w:tabs>
          <w:tab w:leader="none" w:pos="424" w:val="left"/>
        </w:tabs>
        <w:numPr>
          <w:ilvl w:val="0"/>
          <w:numId w:val="19"/>
        </w:numPr>
        <w:rPr>
          <w:rFonts w:ascii="Arial" w:cs="Arial" w:eastAsia="Arial" w:hAnsi="Arial"/>
          <w:sz w:val="27"/>
          <w:szCs w:val="27"/>
          <w:color w:val="auto"/>
          <w:vertAlign w:val="superscript"/>
        </w:rPr>
      </w:pPr>
      <w:r>
        <w:rPr>
          <w:rFonts w:ascii="Arial" w:cs="Arial" w:eastAsia="Arial" w:hAnsi="Arial"/>
          <w:sz w:val="18"/>
          <w:szCs w:val="18"/>
          <w:color w:val="auto"/>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Arial" w:cs="Arial" w:eastAsia="Arial" w:hAnsi="Arial"/>
          <w:sz w:val="27"/>
          <w:szCs w:val="27"/>
          <w:color w:val="auto"/>
          <w:vertAlign w:val="superscript"/>
        </w:rPr>
      </w:pPr>
    </w:p>
    <w:p>
      <w:pPr>
        <w:ind w:left="424" w:hanging="424"/>
        <w:spacing w:after="0" w:line="183" w:lineRule="auto"/>
        <w:tabs>
          <w:tab w:leader="none" w:pos="424" w:val="left"/>
        </w:tabs>
        <w:numPr>
          <w:ilvl w:val="0"/>
          <w:numId w:val="19"/>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exploration data costs, and APS investments.</w:t>
      </w:r>
    </w:p>
    <w:p>
      <w:pPr>
        <w:ind w:left="424" w:right="100" w:hanging="424"/>
        <w:spacing w:after="0" w:line="221" w:lineRule="auto"/>
        <w:tabs>
          <w:tab w:leader="none" w:pos="424" w:val="left"/>
        </w:tabs>
        <w:numPr>
          <w:ilvl w:val="0"/>
          <w:numId w:val="19"/>
        </w:numPr>
        <w:rPr>
          <w:rFonts w:ascii="Arial" w:cs="Arial" w:eastAsia="Arial" w:hAnsi="Arial"/>
          <w:sz w:val="27"/>
          <w:szCs w:val="27"/>
          <w:color w:val="auto"/>
          <w:vertAlign w:val="superscript"/>
        </w:rPr>
      </w:pPr>
      <w:r>
        <w:rPr>
          <w:rFonts w:ascii="Arial" w:cs="Arial" w:eastAsia="Arial" w:hAnsi="Arial"/>
          <w:sz w:val="18"/>
          <w:szCs w:val="18"/>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ectPr>
          <w:pgSz w:w="11900" w:h="16838" w:orient="portrait"/>
          <w:cols w:equalWidth="0" w:num="1">
            <w:col w:w="11024"/>
          </w:cols>
          <w:pgMar w:left="436" w:top="269" w:right="4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Charges &amp; Credits</w:t>
      </w:r>
    </w:p>
    <w:p>
      <w:pPr>
        <w:spacing w:after="0" w:line="1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fourth-quarter 2025 earnings release also includes non-GAAP financial measures (as defined under the SEC’s Regulation G). In addition to the non-GAAP financial measures discussed under “Liquidity”, SLB net income, excluding charges &amp; credits, as well as measures derived from it (including diluted EPS, excluding charges &amp; credits; effective tax rate, excluding charges &amp; credits; adjusted EBITDA and adjusted EBITDA margin) are non-GAAP financial measures. Management believes that the exclusion of charges &amp; credits from these financial measures provide useful perspective on SLB’s underlying business results and operating trends, and a means to evaluate SLB’s operations period over period.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“Supplementary Information” (Question 9).</w:t>
      </w:r>
    </w:p>
    <w:p>
      <w:pPr>
        <w:sectPr>
          <w:pgSz w:w="11900" w:h="16838" w:orient="portrait"/>
          <w:cols w:equalWidth="0" w:num="1">
            <w:col w:w="10960"/>
          </w:cols>
          <w:pgMar w:left="440" w:top="26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SLB (GAAP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699516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0"/>
        <w:spacing w:after="0" w:line="195" w:lineRule="auto"/>
        <w:rPr>
          <w:sz w:val="20"/>
          <w:szCs w:val="20"/>
          <w:color w:val="auto"/>
        </w:rPr>
      </w:pPr>
      <w:r>
        <w:rPr>
          <w:rFonts w:ascii="Arial" w:cs="Arial" w:eastAsia="Arial" w:hAnsi="Arial"/>
          <w:sz w:val="18"/>
          <w:szCs w:val="18"/>
          <w:color w:val="auto"/>
        </w:rPr>
        <w:t xml:space="preserve">Goodwill impairment </w:t>
      </w:r>
      <w:r>
        <w:rPr>
          <w:rFonts w:ascii="Arial" w:cs="Arial" w:eastAsia="Arial" w:hAnsi="Arial"/>
          <w:sz w:val="26"/>
          <w:szCs w:val="26"/>
          <w:color w:val="auto"/>
          <w:vertAlign w:val="superscript"/>
        </w:rPr>
        <w:t>(1)</w:t>
      </w:r>
    </w:p>
    <w:p>
      <w:pPr>
        <w:ind w:left="360"/>
        <w:spacing w:after="0" w:line="180" w:lineRule="auto"/>
        <w:rPr>
          <w:sz w:val="20"/>
          <w:szCs w:val="20"/>
          <w:color w:val="auto"/>
        </w:rPr>
      </w:pPr>
      <w:r>
        <w:rPr>
          <w:rFonts w:ascii="Arial" w:cs="Arial" w:eastAsia="Arial" w:hAnsi="Arial"/>
          <w:sz w:val="17"/>
          <w:szCs w:val="17"/>
          <w:color w:val="auto"/>
        </w:rPr>
        <w:t xml:space="preserve">Workforce reductions </w:t>
      </w:r>
      <w:r>
        <w:rPr>
          <w:rFonts w:ascii="Arial" w:cs="Arial" w:eastAsia="Arial" w:hAnsi="Arial"/>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-135890</wp:posOffset>
            </wp:positionV>
            <wp:extent cx="699516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0"/>
        <w:spacing w:after="0" w:line="180" w:lineRule="auto"/>
        <w:rPr>
          <w:sz w:val="20"/>
          <w:szCs w:val="20"/>
          <w:color w:val="auto"/>
        </w:rPr>
      </w:pPr>
      <w:r>
        <w:rPr>
          <w:rFonts w:ascii="Arial" w:cs="Arial" w:eastAsia="Arial" w:hAnsi="Arial"/>
          <w:sz w:val="17"/>
          <w:szCs w:val="17"/>
          <w:color w:val="auto"/>
        </w:rPr>
        <w:t xml:space="preserve">Amortization of inventory purchase accounting fair value adjustment </w:t>
      </w:r>
      <w:r>
        <w:rPr>
          <w:rFonts w:ascii="Arial" w:cs="Arial" w:eastAsia="Arial" w:hAnsi="Arial"/>
          <w:sz w:val="25"/>
          <w:szCs w:val="25"/>
          <w:color w:val="auto"/>
          <w:vertAlign w:val="superscript"/>
        </w:rPr>
        <w:t>(2)</w:t>
      </w:r>
    </w:p>
    <w:p>
      <w:pPr>
        <w:ind w:left="360"/>
        <w:spacing w:after="0" w:line="181" w:lineRule="auto"/>
        <w:rPr>
          <w:sz w:val="20"/>
          <w:szCs w:val="20"/>
          <w:color w:val="auto"/>
        </w:rPr>
      </w:pPr>
      <w:r>
        <w:rPr>
          <w:rFonts w:ascii="Arial" w:cs="Arial" w:eastAsia="Arial" w:hAnsi="Arial"/>
          <w:sz w:val="17"/>
          <w:szCs w:val="17"/>
          <w:color w:val="auto"/>
        </w:rPr>
        <w:t xml:space="preserve">Merger and integration </w:t>
      </w:r>
      <w:r>
        <w:rPr>
          <w:rFonts w:ascii="Arial" w:cs="Arial" w:eastAsia="Arial" w:hAnsi="Arial"/>
          <w:sz w:val="25"/>
          <w:szCs w:val="2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-135890</wp:posOffset>
            </wp:positionV>
            <wp:extent cx="699516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0"/>
        <w:spacing w:after="0" w:line="180" w:lineRule="auto"/>
        <w:rPr>
          <w:sz w:val="20"/>
          <w:szCs w:val="20"/>
          <w:color w:val="auto"/>
        </w:rPr>
      </w:pPr>
      <w:r>
        <w:rPr>
          <w:rFonts w:ascii="Arial" w:cs="Arial" w:eastAsia="Arial" w:hAnsi="Arial"/>
          <w:sz w:val="17"/>
          <w:szCs w:val="17"/>
          <w:color w:val="auto"/>
        </w:rPr>
        <w:t xml:space="preserve">Restructuring </w:t>
      </w:r>
      <w:r>
        <w:rPr>
          <w:rFonts w:ascii="Arial" w:cs="Arial" w:eastAsia="Arial" w:hAnsi="Arial"/>
          <w:sz w:val="25"/>
          <w:szCs w:val="25"/>
          <w:color w:val="auto"/>
          <w:vertAlign w:val="superscript"/>
        </w:rPr>
        <w:t>(3)</w:t>
      </w:r>
    </w:p>
    <w:p>
      <w:pPr>
        <w:ind w:left="360"/>
        <w:spacing w:after="0"/>
        <w:rPr>
          <w:sz w:val="20"/>
          <w:szCs w:val="20"/>
          <w:color w:val="auto"/>
        </w:rPr>
      </w:pPr>
      <w:r>
        <w:rPr>
          <w:rFonts w:ascii="Arial" w:cs="Arial" w:eastAsia="Arial" w:hAnsi="Arial"/>
          <w:sz w:val="18"/>
          <w:szCs w:val="18"/>
          <w:color w:val="auto"/>
        </w:rPr>
        <w:t>Reversal of valuation allowance relating to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income attributable to SLB, excluding charges &amp;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SLB (GAAP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699516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0"/>
        <w:spacing w:after="0" w:line="202" w:lineRule="auto"/>
        <w:rPr>
          <w:sz w:val="20"/>
          <w:szCs w:val="20"/>
          <w:color w:val="auto"/>
        </w:rPr>
      </w:pPr>
      <w:r>
        <w:rPr>
          <w:rFonts w:ascii="Arial" w:cs="Arial" w:eastAsia="Arial" w:hAnsi="Arial"/>
          <w:sz w:val="17"/>
          <w:szCs w:val="17"/>
          <w:color w:val="auto"/>
        </w:rPr>
        <w:t xml:space="preserve">Amortization of inventory purchase accounting fair value adjustment </w:t>
      </w:r>
      <w:r>
        <w:rPr>
          <w:rFonts w:ascii="Arial" w:cs="Arial" w:eastAsia="Arial" w:hAnsi="Arial"/>
          <w:sz w:val="25"/>
          <w:szCs w:val="25"/>
          <w:color w:val="auto"/>
          <w:vertAlign w:val="superscript"/>
        </w:rPr>
        <w:t>(2)</w:t>
      </w:r>
    </w:p>
    <w:p>
      <w:pPr>
        <w:ind w:left="360"/>
        <w:spacing w:after="0" w:line="181" w:lineRule="auto"/>
        <w:rPr>
          <w:sz w:val="20"/>
          <w:szCs w:val="20"/>
          <w:color w:val="auto"/>
        </w:rPr>
      </w:pPr>
      <w:r>
        <w:rPr>
          <w:rFonts w:ascii="Arial" w:cs="Arial" w:eastAsia="Arial" w:hAnsi="Arial"/>
          <w:sz w:val="17"/>
          <w:szCs w:val="17"/>
          <w:color w:val="auto"/>
        </w:rPr>
        <w:t xml:space="preserve">Acquisition-related professional fees </w:t>
      </w:r>
      <w:r>
        <w:rPr>
          <w:rFonts w:ascii="Arial" w:cs="Arial" w:eastAsia="Arial" w:hAnsi="Arial"/>
          <w:sz w:val="25"/>
          <w:szCs w:val="2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-135890</wp:posOffset>
            </wp:positionV>
            <wp:extent cx="699516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0"/>
        <w:spacing w:after="0" w:line="180" w:lineRule="auto"/>
        <w:rPr>
          <w:sz w:val="20"/>
          <w:szCs w:val="20"/>
          <w:color w:val="auto"/>
        </w:rPr>
      </w:pPr>
      <w:r>
        <w:rPr>
          <w:rFonts w:ascii="Arial" w:cs="Arial" w:eastAsia="Arial" w:hAnsi="Arial"/>
          <w:sz w:val="17"/>
          <w:szCs w:val="17"/>
          <w:color w:val="auto"/>
        </w:rPr>
        <w:t xml:space="preserve">Workforce reductions </w:t>
      </w:r>
      <w:r>
        <w:rPr>
          <w:rFonts w:ascii="Arial" w:cs="Arial" w:eastAsia="Arial" w:hAnsi="Arial"/>
          <w:sz w:val="25"/>
          <w:szCs w:val="25"/>
          <w:color w:val="auto"/>
          <w:vertAlign w:val="superscript"/>
        </w:rPr>
        <w:t>(3)</w:t>
      </w:r>
    </w:p>
    <w:p>
      <w:pPr>
        <w:ind w:left="360"/>
        <w:spacing w:after="0" w:line="180" w:lineRule="auto"/>
        <w:rPr>
          <w:sz w:val="20"/>
          <w:szCs w:val="20"/>
          <w:color w:val="auto"/>
        </w:rPr>
      </w:pPr>
      <w:r>
        <w:rPr>
          <w:rFonts w:ascii="Arial" w:cs="Arial" w:eastAsia="Arial" w:hAnsi="Arial"/>
          <w:sz w:val="17"/>
          <w:szCs w:val="17"/>
          <w:color w:val="auto"/>
        </w:rPr>
        <w:t xml:space="preserve">Acquisition-related employee benefits </w:t>
      </w:r>
      <w:r>
        <w:rPr>
          <w:rFonts w:ascii="Arial" w:cs="Arial" w:eastAsia="Arial" w:hAnsi="Arial"/>
          <w:sz w:val="25"/>
          <w:szCs w:val="2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699516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0"/>
        <w:spacing w:after="0" w:line="181" w:lineRule="auto"/>
        <w:rPr>
          <w:sz w:val="20"/>
          <w:szCs w:val="20"/>
          <w:color w:val="auto"/>
        </w:rPr>
      </w:pPr>
      <w:r>
        <w:rPr>
          <w:rFonts w:ascii="Arial" w:cs="Arial" w:eastAsia="Arial" w:hAnsi="Arial"/>
          <w:sz w:val="17"/>
          <w:szCs w:val="17"/>
          <w:color w:val="auto"/>
        </w:rPr>
        <w:t xml:space="preserve">Impairment of equity-method investment </w:t>
      </w:r>
      <w:r>
        <w:rPr>
          <w:rFonts w:ascii="Arial" w:cs="Arial" w:eastAsia="Arial" w:hAnsi="Arial"/>
          <w:sz w:val="25"/>
          <w:szCs w:val="25"/>
          <w:color w:val="auto"/>
          <w:vertAlign w:val="superscript"/>
        </w:rPr>
        <w:t>(3)</w:t>
      </w:r>
    </w:p>
    <w:p>
      <w:pPr>
        <w:ind w:left="360"/>
        <w:spacing w:after="0" w:line="195" w:lineRule="auto"/>
        <w:rPr>
          <w:sz w:val="20"/>
          <w:szCs w:val="20"/>
          <w:color w:val="auto"/>
        </w:rPr>
      </w:pPr>
      <w:r>
        <w:rPr>
          <w:rFonts w:ascii="Arial" w:cs="Arial" w:eastAsia="Arial" w:hAnsi="Arial"/>
          <w:sz w:val="18"/>
          <w:szCs w:val="18"/>
          <w:color w:val="auto"/>
        </w:rPr>
        <w:t xml:space="preserve">Other merger and integration </w:t>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699516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income attributable to SLB, excluding charges &amp; credits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(Stated in millions, except per share amounts)</w:t>
      </w:r>
    </w:p>
    <w:p>
      <w:pPr>
        <w:spacing w:after="0" w:line="10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Fourth Quarter 2025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5"/>
          </w:tcPr>
          <w:p>
            <w:pPr>
              <w:spacing w:after="0" w:line="147" w:lineRule="exact"/>
              <w:rPr>
                <w:sz w:val="20"/>
                <w:szCs w:val="20"/>
                <w:color w:val="auto"/>
              </w:rPr>
            </w:pPr>
            <w:r>
              <w:rPr>
                <w:rFonts w:ascii="Arial" w:cs="Arial" w:eastAsia="Arial" w:hAnsi="Arial"/>
                <w:sz w:val="14"/>
                <w:szCs w:val="14"/>
                <w:color w:val="auto"/>
              </w:rPr>
              <w:t>Noncont.</w:t>
            </w: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4"/>
                <w:szCs w:val="14"/>
                <w:color w:val="auto"/>
              </w:rPr>
              <w:t>Diluted</w:t>
            </w:r>
          </w:p>
        </w:tc>
        <w:tc>
          <w:tcPr>
            <w:tcW w:w="80" w:type="dxa"/>
            <w:vAlign w:val="bottom"/>
            <w:gridSpan w:val="2"/>
          </w:tcPr>
          <w:p>
            <w:pPr>
              <w:spacing w:after="0"/>
              <w:rPr>
                <w:sz w:val="12"/>
                <w:szCs w:val="12"/>
                <w:color w:val="auto"/>
              </w:rPr>
            </w:pPr>
          </w:p>
        </w:tc>
      </w:tr>
      <w:tr>
        <w:trPr>
          <w:trHeight w:val="171"/>
        </w:trPr>
        <w:tc>
          <w:tcPr>
            <w:tcW w:w="840" w:type="dxa"/>
            <w:vAlign w:val="bottom"/>
            <w:gridSpan w:val="3"/>
          </w:tcPr>
          <w:p>
            <w:pPr>
              <w:jc w:val="right"/>
              <w:ind w:right="340"/>
              <w:spacing w:after="0"/>
              <w:rPr>
                <w:sz w:val="20"/>
                <w:szCs w:val="20"/>
                <w:color w:val="auto"/>
              </w:rPr>
            </w:pPr>
            <w:r>
              <w:rPr>
                <w:rFonts w:ascii="Arial" w:cs="Arial" w:eastAsia="Arial" w:hAnsi="Arial"/>
                <w:sz w:val="14"/>
                <w:szCs w:val="14"/>
                <w:color w:val="auto"/>
              </w:rPr>
              <w:t>Pretax</w:t>
            </w:r>
          </w:p>
        </w:tc>
        <w:tc>
          <w:tcPr>
            <w:tcW w:w="20" w:type="dxa"/>
            <w:vAlign w:val="bottom"/>
          </w:tcPr>
          <w:p>
            <w:pPr>
              <w:spacing w:after="0"/>
              <w:rPr>
                <w:sz w:val="14"/>
                <w:szCs w:val="14"/>
                <w:color w:val="auto"/>
              </w:rPr>
            </w:pPr>
          </w:p>
        </w:tc>
        <w:tc>
          <w:tcPr>
            <w:tcW w:w="640" w:type="dxa"/>
            <w:vAlign w:val="bottom"/>
            <w:gridSpan w:val="3"/>
          </w:tcPr>
          <w:p>
            <w:pPr>
              <w:jc w:val="right"/>
              <w:ind w:right="268"/>
              <w:spacing w:after="0"/>
              <w:rPr>
                <w:sz w:val="20"/>
                <w:szCs w:val="20"/>
                <w:color w:val="auto"/>
              </w:rPr>
            </w:pPr>
            <w:r>
              <w:rPr>
                <w:rFonts w:ascii="Arial" w:cs="Arial" w:eastAsia="Arial" w:hAnsi="Arial"/>
                <w:sz w:val="14"/>
                <w:szCs w:val="14"/>
                <w:color w:val="auto"/>
              </w:rPr>
              <w:t>Tax</w:t>
            </w:r>
          </w:p>
        </w:tc>
        <w:tc>
          <w:tcPr>
            <w:tcW w:w="2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color w:val="auto"/>
              </w:rPr>
              <w:t>Interests</w:t>
            </w:r>
          </w:p>
        </w:tc>
        <w:tc>
          <w:tcPr>
            <w:tcW w:w="880" w:type="dxa"/>
            <w:vAlign w:val="bottom"/>
            <w:gridSpan w:val="4"/>
          </w:tcPr>
          <w:p>
            <w:pPr>
              <w:jc w:val="right"/>
              <w:ind w:right="500"/>
              <w:spacing w:after="0"/>
              <w:rPr>
                <w:sz w:val="20"/>
                <w:szCs w:val="20"/>
                <w:color w:val="auto"/>
              </w:rPr>
            </w:pPr>
            <w:r>
              <w:rPr>
                <w:rFonts w:ascii="Arial" w:cs="Arial" w:eastAsia="Arial" w:hAnsi="Arial"/>
                <w:sz w:val="14"/>
                <w:szCs w:val="14"/>
                <w:color w:val="auto"/>
              </w:rPr>
              <w:t>Net</w:t>
            </w:r>
          </w:p>
        </w:tc>
        <w:tc>
          <w:tcPr>
            <w:tcW w:w="620" w:type="dxa"/>
            <w:vAlign w:val="bottom"/>
            <w:gridSpan w:val="4"/>
          </w:tcPr>
          <w:p>
            <w:pPr>
              <w:ind w:left="120"/>
              <w:spacing w:after="0"/>
              <w:rPr>
                <w:sz w:val="20"/>
                <w:szCs w:val="20"/>
                <w:color w:val="auto"/>
              </w:rPr>
            </w:pPr>
            <w:r>
              <w:rPr>
                <w:rFonts w:ascii="Arial" w:cs="Arial" w:eastAsia="Arial" w:hAnsi="Arial"/>
                <w:sz w:val="14"/>
                <w:szCs w:val="14"/>
                <w:color w:val="auto"/>
              </w:rPr>
              <w:t>EPS</w:t>
            </w:r>
          </w:p>
        </w:tc>
      </w:tr>
      <w:tr>
        <w:trPr>
          <w:trHeight w:val="191"/>
        </w:trPr>
        <w:tc>
          <w:tcPr>
            <w:tcW w:w="58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color w:val="auto"/>
              </w:rPr>
              <w:t>$  943</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color w:val="auto"/>
                <w:w w:val="94"/>
              </w:rPr>
              <w:t>$143</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top w:val="single" w:sz="8" w:color="auto"/>
            </w:tcBorders>
            <w:gridSpan w:val="3"/>
          </w:tcPr>
          <w:p>
            <w:pPr>
              <w:jc w:val="right"/>
              <w:spacing w:after="0" w:line="191" w:lineRule="exact"/>
              <w:rPr>
                <w:sz w:val="20"/>
                <w:szCs w:val="20"/>
                <w:color w:val="auto"/>
              </w:rPr>
            </w:pPr>
            <w:r>
              <w:rPr>
                <w:rFonts w:ascii="Arial" w:cs="Arial" w:eastAsia="Arial" w:hAnsi="Arial"/>
                <w:sz w:val="18"/>
                <w:szCs w:val="18"/>
                <w:color w:val="auto"/>
              </w:rPr>
              <w:t>$  (24)</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color w:val="auto"/>
              </w:rPr>
              <w:t>$  824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color w:val="auto"/>
              </w:rPr>
              <w:t>$ 0.55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41</w:t>
            </w:r>
          </w:p>
        </w:tc>
        <w:tc>
          <w:tcPr>
            <w:tcW w:w="8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18"/>
                <w:szCs w:val="18"/>
                <w:color w:val="auto"/>
              </w:rPr>
            </w:pPr>
          </w:p>
        </w:tc>
      </w:tr>
      <w:tr>
        <w:trPr>
          <w:trHeight w:val="216"/>
        </w:trPr>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126</w:t>
            </w:r>
          </w:p>
        </w:tc>
        <w:tc>
          <w:tcPr>
            <w:tcW w:w="660" w:type="dxa"/>
            <w:vAlign w:val="bottom"/>
            <w:gridSpan w:val="4"/>
          </w:tcPr>
          <w:p>
            <w:pPr>
              <w:jc w:val="right"/>
              <w:ind w:right="168"/>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8"/>
                <w:szCs w:val="18"/>
                <w:color w:val="auto"/>
              </w:rPr>
            </w:pPr>
          </w:p>
        </w:tc>
      </w:tr>
      <w:tr>
        <w:trPr>
          <w:trHeight w:val="216"/>
        </w:trPr>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660" w:type="dxa"/>
            <w:vAlign w:val="bottom"/>
            <w:gridSpan w:val="4"/>
          </w:tcPr>
          <w:p>
            <w:pPr>
              <w:jc w:val="right"/>
              <w:ind w:right="168"/>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4"/>
          </w:tcPr>
          <w:p>
            <w:pPr>
              <w:ind w:left="60"/>
              <w:spacing w:after="0"/>
              <w:rPr>
                <w:sz w:val="20"/>
                <w:szCs w:val="20"/>
                <w:color w:val="auto"/>
              </w:rPr>
            </w:pPr>
            <w:r>
              <w:rPr>
                <w:rFonts w:ascii="Arial" w:cs="Arial" w:eastAsia="Arial" w:hAnsi="Arial"/>
                <w:sz w:val="18"/>
                <w:szCs w:val="18"/>
                <w:color w:val="auto"/>
              </w:rPr>
              <w:t>— </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8"/>
                <w:szCs w:val="18"/>
                <w:color w:val="auto"/>
              </w:rPr>
            </w:pPr>
          </w:p>
        </w:tc>
      </w:tr>
      <w:tr>
        <w:trPr>
          <w:trHeight w:val="216"/>
        </w:trPr>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75</w:t>
            </w:r>
          </w:p>
        </w:tc>
        <w:tc>
          <w:tcPr>
            <w:tcW w:w="660" w:type="dxa"/>
            <w:vAlign w:val="bottom"/>
            <w:gridSpan w:val="4"/>
          </w:tcPr>
          <w:p>
            <w:pPr>
              <w:jc w:val="right"/>
              <w:ind w:right="168"/>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12</w:t>
            </w:r>
          </w:p>
        </w:tc>
        <w:tc>
          <w:tcPr>
            <w:tcW w:w="8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r>
      <w:tr>
        <w:trPr>
          <w:trHeight w:val="216"/>
        </w:trPr>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50</w:t>
            </w:r>
          </w:p>
        </w:tc>
        <w:tc>
          <w:tcPr>
            <w:tcW w:w="660" w:type="dxa"/>
            <w:vAlign w:val="bottom"/>
            <w:gridSpan w:val="4"/>
          </w:tcPr>
          <w:p>
            <w:pPr>
              <w:jc w:val="right"/>
              <w:ind w:right="168"/>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4"/>
          </w:tcPr>
          <w:p>
            <w:pPr>
              <w:ind w:left="60"/>
              <w:spacing w:after="0"/>
              <w:rPr>
                <w:sz w:val="20"/>
                <w:szCs w:val="20"/>
                <w:color w:val="auto"/>
              </w:rPr>
            </w:pPr>
            <w:r>
              <w:rPr>
                <w:rFonts w:ascii="Arial" w:cs="Arial" w:eastAsia="Arial" w:hAnsi="Arial"/>
                <w:sz w:val="18"/>
                <w:szCs w:val="18"/>
                <w:color w:val="auto"/>
              </w:rPr>
              <w:t>— </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r>
      <w:tr>
        <w:trPr>
          <w:trHeight w:val="221"/>
        </w:trPr>
        <w:tc>
          <w:tcPr>
            <w:tcW w:w="2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w w:val="88"/>
              </w:rPr>
              <w:t>— </w:t>
            </w:r>
          </w:p>
        </w:tc>
        <w:tc>
          <w:tcPr>
            <w:tcW w:w="340" w:type="dxa"/>
            <w:vAlign w:val="bottom"/>
            <w:gridSpan w:val="2"/>
          </w:tcPr>
          <w:p>
            <w:pPr>
              <w:spacing w:after="0"/>
              <w:rPr>
                <w:sz w:val="19"/>
                <w:szCs w:val="19"/>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9"/>
                <w:szCs w:val="19"/>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1,504</w:t>
            </w:r>
          </w:p>
        </w:tc>
        <w:tc>
          <w:tcPr>
            <w:tcW w:w="260" w:type="dxa"/>
            <w:vAlign w:val="bottom"/>
          </w:tcPr>
          <w:p>
            <w:pPr>
              <w:spacing w:after="0"/>
              <w:rPr>
                <w:sz w:val="19"/>
                <w:szCs w:val="19"/>
                <w:color w:val="auto"/>
              </w:rPr>
            </w:pPr>
          </w:p>
        </w:tc>
        <w:tc>
          <w:tcPr>
            <w:tcW w:w="660" w:type="dxa"/>
            <w:vAlign w:val="bottom"/>
            <w:gridSpan w:val="4"/>
          </w:tcPr>
          <w:p>
            <w:pPr>
              <w:jc w:val="right"/>
              <w:ind w:right="168"/>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293</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32</w:t>
            </w:r>
          </w:p>
        </w:tc>
        <w:tc>
          <w:tcPr>
            <w:tcW w:w="8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1,179</w:t>
            </w:r>
          </w:p>
        </w:tc>
        <w:tc>
          <w:tcPr>
            <w:tcW w:w="14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$ 0.78</w:t>
            </w:r>
          </w:p>
        </w:tc>
        <w:tc>
          <w:tcPr>
            <w:tcW w:w="20" w:type="dxa"/>
            <w:vAlign w:val="bottom"/>
          </w:tcPr>
          <w:p>
            <w:pPr>
              <w:spacing w:after="0"/>
              <w:rPr>
                <w:sz w:val="19"/>
                <w:szCs w:val="19"/>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11"/>
          </w:tcPr>
          <w:p>
            <w:pPr>
              <w:jc w:val="right"/>
              <w:ind w:right="580"/>
              <w:spacing w:after="0"/>
              <w:rPr>
                <w:sz w:val="20"/>
                <w:szCs w:val="20"/>
                <w:color w:val="auto"/>
              </w:rPr>
            </w:pPr>
            <w:r>
              <w:rPr>
                <w:rFonts w:ascii="Arial" w:cs="Arial" w:eastAsia="Arial" w:hAnsi="Arial"/>
                <w:sz w:val="14"/>
                <w:szCs w:val="14"/>
                <w:b w:val="1"/>
                <w:bCs w:val="1"/>
                <w:color w:val="auto"/>
              </w:rPr>
              <w:t>Third Quarter 2025</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6"/>
        </w:trPr>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4"/>
          </w:tcPr>
          <w:p>
            <w:pPr>
              <w:spacing w:after="0" w:line="147" w:lineRule="exact"/>
              <w:rPr>
                <w:sz w:val="20"/>
                <w:szCs w:val="20"/>
                <w:color w:val="auto"/>
              </w:rPr>
            </w:pPr>
            <w:r>
              <w:rPr>
                <w:rFonts w:ascii="Arial" w:cs="Arial" w:eastAsia="Arial" w:hAnsi="Arial"/>
                <w:sz w:val="14"/>
                <w:szCs w:val="14"/>
                <w:color w:val="auto"/>
              </w:rPr>
              <w:t>Noncont.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spacing w:after="0" w:line="147" w:lineRule="exact"/>
              <w:rPr>
                <w:sz w:val="20"/>
                <w:szCs w:val="20"/>
                <w:color w:val="auto"/>
              </w:rPr>
            </w:pPr>
            <w:r>
              <w:rPr>
                <w:rFonts w:ascii="Arial" w:cs="Arial" w:eastAsia="Arial" w:hAnsi="Arial"/>
                <w:sz w:val="14"/>
                <w:szCs w:val="14"/>
                <w:color w:val="auto"/>
              </w:rPr>
              <w:t>Diluted</w:t>
            </w:r>
          </w:p>
        </w:tc>
        <w:tc>
          <w:tcPr>
            <w:tcW w:w="20" w:type="dxa"/>
            <w:vAlign w:val="bottom"/>
          </w:tcPr>
          <w:p>
            <w:pPr>
              <w:spacing w:after="0"/>
              <w:rPr>
                <w:sz w:val="12"/>
                <w:szCs w:val="12"/>
                <w:color w:val="auto"/>
              </w:rPr>
            </w:pPr>
          </w:p>
        </w:tc>
      </w:tr>
      <w:tr>
        <w:trPr>
          <w:trHeight w:val="171"/>
        </w:trPr>
        <w:tc>
          <w:tcPr>
            <w:tcW w:w="26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Pretax</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tcPr>
          <w:p>
            <w:pPr>
              <w:jc w:val="right"/>
              <w:ind w:right="28"/>
              <w:spacing w:after="0"/>
              <w:rPr>
                <w:sz w:val="20"/>
                <w:szCs w:val="20"/>
                <w:color w:val="auto"/>
              </w:rPr>
            </w:pPr>
            <w:r>
              <w:rPr>
                <w:rFonts w:ascii="Arial" w:cs="Arial" w:eastAsia="Arial" w:hAnsi="Arial"/>
                <w:sz w:val="14"/>
                <w:szCs w:val="14"/>
                <w:color w:val="auto"/>
              </w:rPr>
              <w:t>Tax</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4"/>
          </w:tcPr>
          <w:p>
            <w:pPr>
              <w:spacing w:after="0"/>
              <w:rPr>
                <w:sz w:val="20"/>
                <w:szCs w:val="20"/>
                <w:color w:val="auto"/>
              </w:rPr>
            </w:pPr>
            <w:r>
              <w:rPr>
                <w:rFonts w:ascii="Arial" w:cs="Arial" w:eastAsia="Arial" w:hAnsi="Arial"/>
                <w:sz w:val="14"/>
                <w:szCs w:val="14"/>
                <w:color w:val="auto"/>
              </w:rPr>
              <w:t>Interests</w:t>
            </w:r>
          </w:p>
        </w:tc>
        <w:tc>
          <w:tcPr>
            <w:tcW w:w="180" w:type="dxa"/>
            <w:vAlign w:val="bottom"/>
          </w:tcPr>
          <w:p>
            <w:pPr>
              <w:spacing w:after="0"/>
              <w:rPr>
                <w:sz w:val="14"/>
                <w:szCs w:val="14"/>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auto"/>
              </w:rPr>
              <w:t>EPS</w:t>
            </w:r>
          </w:p>
        </w:tc>
      </w:tr>
      <w:tr>
        <w:trPr>
          <w:trHeight w:val="191"/>
        </w:trPr>
        <w:tc>
          <w:tcPr>
            <w:tcW w:w="260" w:type="dxa"/>
            <w:vAlign w:val="bottom"/>
          </w:tcPr>
          <w:p>
            <w:pPr>
              <w:spacing w:after="0"/>
              <w:rPr>
                <w:sz w:val="16"/>
                <w:szCs w:val="16"/>
                <w:color w:val="auto"/>
              </w:rPr>
            </w:pPr>
          </w:p>
        </w:tc>
        <w:tc>
          <w:tcPr>
            <w:tcW w:w="580" w:type="dxa"/>
            <w:vAlign w:val="bottom"/>
            <w:tcBorders>
              <w:top w:val="single" w:sz="8" w:color="auto"/>
            </w:tcBorders>
            <w:gridSpan w:val="2"/>
          </w:tcPr>
          <w:p>
            <w:pPr>
              <w:jc w:val="right"/>
              <w:ind w:right="20"/>
              <w:spacing w:after="0" w:line="191" w:lineRule="exact"/>
              <w:rPr>
                <w:sz w:val="20"/>
                <w:szCs w:val="20"/>
                <w:color w:val="auto"/>
              </w:rPr>
            </w:pPr>
            <w:r>
              <w:rPr>
                <w:rFonts w:ascii="Arial" w:cs="Arial" w:eastAsia="Arial" w:hAnsi="Arial"/>
                <w:sz w:val="18"/>
                <w:szCs w:val="18"/>
                <w:color w:val="auto"/>
                <w:w w:val="98"/>
              </w:rPr>
              <w:t>$1,000</w:t>
            </w:r>
          </w:p>
        </w:tc>
        <w:tc>
          <w:tcPr>
            <w:tcW w:w="240" w:type="dxa"/>
            <w:vAlign w:val="bottom"/>
            <w:gridSpan w:val="2"/>
          </w:tcPr>
          <w:p>
            <w:pPr>
              <w:spacing w:after="0"/>
              <w:rPr>
                <w:sz w:val="16"/>
                <w:szCs w:val="16"/>
                <w:color w:val="auto"/>
              </w:rPr>
            </w:pPr>
          </w:p>
        </w:tc>
        <w:tc>
          <w:tcPr>
            <w:tcW w:w="42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color w:val="auto"/>
                <w:w w:val="99"/>
              </w:rPr>
              <w:t>$226</w:t>
            </w:r>
          </w:p>
        </w:tc>
        <w:tc>
          <w:tcPr>
            <w:tcW w:w="260" w:type="dxa"/>
            <w:vAlign w:val="bottom"/>
            <w:gridSpan w:val="2"/>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color w:val="auto"/>
              </w:rPr>
              <w:t>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color w:val="auto"/>
              </w:rPr>
              <w:t>$  739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color w:val="auto"/>
                <w:w w:val="97"/>
              </w:rPr>
              <w:t>$0.50</w:t>
            </w:r>
          </w:p>
        </w:tc>
        <w:tc>
          <w:tcPr>
            <w:tcW w:w="20" w:type="dxa"/>
            <w:vAlign w:val="bottom"/>
          </w:tcPr>
          <w:p>
            <w:pPr>
              <w:spacing w:after="0"/>
              <w:rPr>
                <w:sz w:val="16"/>
                <w:szCs w:val="16"/>
                <w:color w:val="auto"/>
              </w:rPr>
            </w:pPr>
          </w:p>
        </w:tc>
      </w:tr>
      <w:tr>
        <w:trPr>
          <w:trHeight w:val="216"/>
        </w:trPr>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66</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ind w:left="180"/>
              <w:spacing w:after="0"/>
              <w:rPr>
                <w:sz w:val="20"/>
                <w:szCs w:val="20"/>
                <w:color w:val="auto"/>
              </w:rPr>
            </w:pPr>
            <w:r>
              <w:rPr>
                <w:rFonts w:ascii="Arial" w:cs="Arial" w:eastAsia="Arial" w:hAnsi="Arial"/>
                <w:sz w:val="18"/>
                <w:szCs w:val="18"/>
                <w:color w:val="auto"/>
              </w:rPr>
              <w:t>— </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51</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0.03</w:t>
            </w:r>
          </w:p>
        </w:tc>
      </w:tr>
      <w:tr>
        <w:trPr>
          <w:trHeight w:val="216"/>
        </w:trPr>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ind w:left="180"/>
              <w:spacing w:after="0"/>
              <w:rPr>
                <w:sz w:val="20"/>
                <w:szCs w:val="20"/>
                <w:color w:val="auto"/>
              </w:rPr>
            </w:pPr>
            <w:r>
              <w:rPr>
                <w:rFonts w:ascii="Arial" w:cs="Arial" w:eastAsia="Arial" w:hAnsi="Arial"/>
                <w:sz w:val="18"/>
                <w:szCs w:val="18"/>
                <w:color w:val="auto"/>
              </w:rPr>
              <w:t>— </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61</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0.04</w:t>
            </w:r>
          </w:p>
        </w:tc>
      </w:tr>
      <w:tr>
        <w:trPr>
          <w:trHeight w:val="216"/>
        </w:trPr>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57</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ind w:left="180"/>
              <w:spacing w:after="0"/>
              <w:rPr>
                <w:sz w:val="20"/>
                <w:szCs w:val="20"/>
                <w:color w:val="auto"/>
              </w:rPr>
            </w:pPr>
            <w:r>
              <w:rPr>
                <w:rFonts w:ascii="Arial" w:cs="Arial" w:eastAsia="Arial" w:hAnsi="Arial"/>
                <w:sz w:val="18"/>
                <w:szCs w:val="18"/>
                <w:color w:val="auto"/>
              </w:rPr>
              <w:t>— </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53</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0.04</w:t>
            </w:r>
          </w:p>
        </w:tc>
      </w:tr>
      <w:tr>
        <w:trPr>
          <w:trHeight w:val="216"/>
        </w:trPr>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ind w:left="180"/>
              <w:spacing w:after="0"/>
              <w:rPr>
                <w:sz w:val="20"/>
                <w:szCs w:val="20"/>
                <w:color w:val="auto"/>
              </w:rPr>
            </w:pPr>
            <w:r>
              <w:rPr>
                <w:rFonts w:ascii="Arial" w:cs="Arial" w:eastAsia="Arial" w:hAnsi="Arial"/>
                <w:sz w:val="18"/>
                <w:szCs w:val="18"/>
                <w:color w:val="auto"/>
              </w:rPr>
              <w:t>— </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52</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0.03</w:t>
            </w:r>
          </w:p>
        </w:tc>
      </w:tr>
      <w:tr>
        <w:trPr>
          <w:trHeight w:val="216"/>
        </w:trPr>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ind w:left="180"/>
              <w:spacing w:after="0"/>
              <w:rPr>
                <w:sz w:val="20"/>
                <w:szCs w:val="20"/>
                <w:color w:val="auto"/>
              </w:rPr>
            </w:pPr>
            <w:r>
              <w:rPr>
                <w:rFonts w:ascii="Arial" w:cs="Arial" w:eastAsia="Arial" w:hAnsi="Arial"/>
                <w:sz w:val="18"/>
                <w:szCs w:val="18"/>
                <w:color w:val="auto"/>
              </w:rPr>
              <w:t>— </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48</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0.03</w:t>
            </w:r>
          </w:p>
        </w:tc>
      </w:tr>
      <w:tr>
        <w:trPr>
          <w:trHeight w:val="221"/>
        </w:trPr>
        <w:tc>
          <w:tcPr>
            <w:tcW w:w="2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40" w:type="dxa"/>
            <w:vAlign w:val="bottom"/>
            <w:gridSpan w:val="2"/>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23</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0.02</w:t>
            </w:r>
          </w:p>
        </w:tc>
      </w:tr>
      <w:tr>
        <w:trPr>
          <w:trHeight w:val="20"/>
        </w:trPr>
        <w:tc>
          <w:tcPr>
            <w:tcW w:w="260" w:type="dxa"/>
            <w:vAlign w:val="bottom"/>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1,318</w:t>
            </w:r>
          </w:p>
        </w:tc>
        <w:tc>
          <w:tcPr>
            <w:tcW w:w="6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253</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38</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1,027</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0.69</w:t>
            </w:r>
          </w:p>
        </w:tc>
      </w:tr>
      <w:tr>
        <w:trPr>
          <w:trHeight w:val="20"/>
        </w:trPr>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6340" w:space="720"/>
            <w:col w:w="3900"/>
          </w:cols>
          <w:pgMar w:left="440" w:top="269" w:right="499" w:bottom="1440" w:gutter="0" w:footer="0" w:header="0"/>
          <w:type w:val="continuous"/>
        </w:sectPr>
      </w:pPr>
    </w:p>
    <w:bookmarkStart w:id="26" w:name="page27"/>
    <w:bookmarkEnd w:id="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0" w:type="dxa"/>
            <w:vAlign w:val="bottom"/>
            <w:gridSpan w:val="13"/>
          </w:tcPr>
          <w:p>
            <w:pPr>
              <w:jc w:val="right"/>
              <w:ind w:right="58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251"/>
        </w:trPr>
        <w:tc>
          <w:tcPr>
            <w:tcW w:w="6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b w:val="1"/>
                <w:bCs w:val="1"/>
                <w:color w:val="auto"/>
              </w:rPr>
              <w:t>Fourth Quarter 2024</w:t>
            </w:r>
          </w:p>
        </w:tc>
        <w:tc>
          <w:tcPr>
            <w:tcW w:w="5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6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3"/>
          </w:tcPr>
          <w:p>
            <w:pPr>
              <w:spacing w:after="0" w:line="147" w:lineRule="exact"/>
              <w:rPr>
                <w:sz w:val="20"/>
                <w:szCs w:val="20"/>
                <w:color w:val="auto"/>
              </w:rPr>
            </w:pPr>
            <w:r>
              <w:rPr>
                <w:rFonts w:ascii="Arial" w:cs="Arial" w:eastAsia="Arial" w:hAnsi="Arial"/>
                <w:sz w:val="14"/>
                <w:szCs w:val="14"/>
                <w:color w:val="auto"/>
              </w:rPr>
              <w:t>Noncont.</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color w:val="auto"/>
              </w:rPr>
              <w:t>Pretax</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color w:val="auto"/>
              </w:rPr>
              <w:t>Tax</w:t>
            </w: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Net</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EPS *</w:t>
            </w:r>
          </w:p>
        </w:tc>
        <w:tc>
          <w:tcPr>
            <w:tcW w:w="0" w:type="dxa"/>
            <w:vAlign w:val="bottom"/>
          </w:tcPr>
          <w:p>
            <w:pPr>
              <w:spacing w:after="0"/>
              <w:rPr>
                <w:sz w:val="1"/>
                <w:szCs w:val="1"/>
                <w:color w:val="auto"/>
              </w:rPr>
            </w:pP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 (GAAP basis)</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$1,387</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$269</w:t>
            </w:r>
          </w:p>
        </w:tc>
        <w:tc>
          <w:tcPr>
            <w:tcW w:w="32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$1,095</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$ 0.77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Asset impairments </w:t>
            </w:r>
            <w:r>
              <w:rPr>
                <w:rFonts w:ascii="Arial" w:cs="Arial" w:eastAsia="Arial" w:hAnsi="Arial"/>
                <w:sz w:val="25"/>
                <w:szCs w:val="25"/>
                <w:color w:val="auto"/>
                <w:vertAlign w:val="superscript"/>
              </w:rPr>
              <w:t>(1)</w:t>
            </w:r>
          </w:p>
        </w:tc>
        <w:tc>
          <w:tcPr>
            <w:tcW w:w="880" w:type="dxa"/>
            <w:vAlign w:val="bottom"/>
            <w:gridSpan w:val="5"/>
          </w:tcPr>
          <w:p>
            <w:pPr>
              <w:jc w:val="right"/>
              <w:ind w:right="100"/>
              <w:spacing w:after="0"/>
              <w:rPr>
                <w:sz w:val="20"/>
                <w:szCs w:val="20"/>
                <w:color w:val="auto"/>
              </w:rPr>
            </w:pPr>
            <w:r>
              <w:rPr>
                <w:rFonts w:ascii="Arial" w:cs="Arial" w:eastAsia="Arial" w:hAnsi="Arial"/>
                <w:sz w:val="18"/>
                <w:szCs w:val="18"/>
                <w:color w:val="auto"/>
              </w:rPr>
              <w:t>162</w:t>
            </w:r>
          </w:p>
        </w:tc>
        <w:tc>
          <w:tcPr>
            <w:tcW w:w="900" w:type="dxa"/>
            <w:vAlign w:val="bottom"/>
            <w:gridSpan w:val="4"/>
          </w:tcPr>
          <w:p>
            <w:pPr>
              <w:jc w:val="right"/>
              <w:ind w:right="2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139</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 xml:space="preserve">Merger and integration </w:t>
            </w:r>
            <w:r>
              <w:rPr>
                <w:rFonts w:ascii="Arial" w:cs="Arial" w:eastAsia="Arial" w:hAnsi="Arial"/>
                <w:sz w:val="25"/>
                <w:szCs w:val="25"/>
                <w:color w:val="auto"/>
                <w:vertAlign w:val="superscript"/>
              </w:rPr>
              <w:t>(4)</w:t>
            </w:r>
          </w:p>
        </w:tc>
        <w:tc>
          <w:tcPr>
            <w:tcW w:w="8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9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Workforce reductions </w:t>
            </w:r>
            <w:r>
              <w:rPr>
                <w:rFonts w:ascii="Arial" w:cs="Arial" w:eastAsia="Arial" w:hAnsi="Arial"/>
                <w:sz w:val="25"/>
                <w:szCs w:val="25"/>
                <w:color w:val="auto"/>
                <w:vertAlign w:val="superscript"/>
              </w:rPr>
              <w:t>(3)</w:t>
            </w:r>
          </w:p>
        </w:tc>
        <w:tc>
          <w:tcPr>
            <w:tcW w:w="880" w:type="dxa"/>
            <w:vAlign w:val="bottom"/>
            <w:gridSpan w:val="5"/>
          </w:tcPr>
          <w:p>
            <w:pPr>
              <w:jc w:val="right"/>
              <w:ind w:right="100"/>
              <w:spacing w:after="0"/>
              <w:rPr>
                <w:sz w:val="20"/>
                <w:szCs w:val="20"/>
                <w:color w:val="auto"/>
              </w:rPr>
            </w:pPr>
            <w:r>
              <w:rPr>
                <w:rFonts w:ascii="Arial" w:cs="Arial" w:eastAsia="Arial" w:hAnsi="Arial"/>
                <w:sz w:val="18"/>
                <w:szCs w:val="18"/>
                <w:color w:val="auto"/>
              </w:rPr>
              <w:t>61</w:t>
            </w:r>
          </w:p>
        </w:tc>
        <w:tc>
          <w:tcPr>
            <w:tcW w:w="900" w:type="dxa"/>
            <w:vAlign w:val="bottom"/>
            <w:gridSpan w:val="4"/>
          </w:tcPr>
          <w:p>
            <w:pPr>
              <w:jc w:val="right"/>
              <w:ind w:right="26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51</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 xml:space="preserve">Gain on sale of investment </w:t>
            </w:r>
            <w:r>
              <w:rPr>
                <w:rFonts w:ascii="Arial" w:cs="Arial" w:eastAsia="Arial" w:hAnsi="Arial"/>
                <w:sz w:val="25"/>
                <w:szCs w:val="25"/>
                <w:color w:val="auto"/>
                <w:vertAlign w:val="superscript"/>
              </w:rPr>
              <w:t>(5)</w:t>
            </w:r>
          </w:p>
        </w:tc>
        <w:tc>
          <w:tcPr>
            <w:tcW w:w="200" w:type="dxa"/>
            <w:vAlign w:val="bottom"/>
            <w:gridSpan w:val="2"/>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Net income attributable to SLB, excluding charges &amp; credits</w:t>
            </w:r>
          </w:p>
        </w:tc>
        <w:tc>
          <w:tcPr>
            <w:tcW w:w="20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1,649</w:t>
            </w:r>
          </w:p>
        </w:tc>
        <w:tc>
          <w:tcPr>
            <w:tcW w:w="10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308</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$ 1,311</w:t>
            </w: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$ 0.92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8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4"/>
                <w:szCs w:val="14"/>
                <w:b w:val="1"/>
                <w:bCs w:val="1"/>
                <w:color w:val="auto"/>
              </w:rPr>
              <w:t>Twelve Months 2025</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6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3"/>
          </w:tcPr>
          <w:p>
            <w:pPr>
              <w:spacing w:after="0" w:line="147" w:lineRule="exact"/>
              <w:rPr>
                <w:sz w:val="20"/>
                <w:szCs w:val="20"/>
                <w:color w:val="auto"/>
              </w:rPr>
            </w:pPr>
            <w:r>
              <w:rPr>
                <w:rFonts w:ascii="Arial" w:cs="Arial" w:eastAsia="Arial" w:hAnsi="Arial"/>
                <w:sz w:val="14"/>
                <w:szCs w:val="14"/>
                <w:color w:val="auto"/>
              </w:rPr>
              <w:t>Noncont.</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jc w:val="right"/>
              <w:ind w:right="400"/>
              <w:spacing w:after="0"/>
              <w:rPr>
                <w:sz w:val="20"/>
                <w:szCs w:val="20"/>
                <w:color w:val="auto"/>
              </w:rPr>
            </w:pPr>
            <w:r>
              <w:rPr>
                <w:rFonts w:ascii="Arial" w:cs="Arial" w:eastAsia="Arial" w:hAnsi="Arial"/>
                <w:sz w:val="14"/>
                <w:szCs w:val="14"/>
                <w:color w:val="auto"/>
                <w:w w:val="98"/>
              </w:rPr>
              <w:t>Pretax</w:t>
            </w:r>
          </w:p>
        </w:tc>
        <w:tc>
          <w:tcPr>
            <w:tcW w:w="80" w:type="dxa"/>
            <w:vAlign w:val="bottom"/>
          </w:tcPr>
          <w:p>
            <w:pPr>
              <w:spacing w:after="0"/>
              <w:rPr>
                <w:sz w:val="14"/>
                <w:szCs w:val="14"/>
                <w:color w:val="auto"/>
              </w:rPr>
            </w:pPr>
          </w:p>
        </w:tc>
        <w:tc>
          <w:tcPr>
            <w:tcW w:w="820" w:type="dxa"/>
            <w:vAlign w:val="bottom"/>
            <w:gridSpan w:val="3"/>
          </w:tcPr>
          <w:p>
            <w:pPr>
              <w:jc w:val="right"/>
              <w:ind w:right="500"/>
              <w:spacing w:after="0"/>
              <w:rPr>
                <w:sz w:val="20"/>
                <w:szCs w:val="20"/>
                <w:color w:val="auto"/>
              </w:rPr>
            </w:pPr>
            <w:r>
              <w:rPr>
                <w:rFonts w:ascii="Arial" w:cs="Arial" w:eastAsia="Arial" w:hAnsi="Arial"/>
                <w:sz w:val="14"/>
                <w:szCs w:val="14"/>
                <w:color w:val="auto"/>
              </w:rPr>
              <w:t>Tax</w:t>
            </w: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Net</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EPS *</w:t>
            </w:r>
          </w:p>
        </w:tc>
        <w:tc>
          <w:tcPr>
            <w:tcW w:w="0" w:type="dxa"/>
            <w:vAlign w:val="bottom"/>
          </w:tcPr>
          <w:p>
            <w:pPr>
              <w:spacing w:after="0"/>
              <w:rPr>
                <w:sz w:val="1"/>
                <w:szCs w:val="1"/>
                <w:color w:val="auto"/>
              </w:rPr>
            </w:pP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 (GAAP basis)</w:t>
            </w:r>
          </w:p>
        </w:tc>
        <w:tc>
          <w:tcPr>
            <w:tcW w:w="5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$4,291</w:t>
            </w: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840</w:t>
            </w:r>
          </w:p>
        </w:tc>
        <w:tc>
          <w:tcPr>
            <w:tcW w:w="32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$3,374</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$ 2.35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Workforce reductions </w:t>
            </w:r>
            <w:r>
              <w:rPr>
                <w:rFonts w:ascii="Arial" w:cs="Arial" w:eastAsia="Arial" w:hAnsi="Arial"/>
                <w:sz w:val="25"/>
                <w:szCs w:val="25"/>
                <w:color w:val="auto"/>
                <w:vertAlign w:val="superscript"/>
              </w:rPr>
              <w:t>(3)</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371</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 xml:space="preserve">Goodwill impairment </w:t>
            </w:r>
            <w:r>
              <w:rPr>
                <w:rFonts w:ascii="Arial" w:cs="Arial" w:eastAsia="Arial" w:hAnsi="Arial"/>
                <w:sz w:val="25"/>
                <w:szCs w:val="25"/>
                <w:color w:val="auto"/>
                <w:vertAlign w:val="superscript"/>
              </w:rPr>
              <w:t>(1)</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Amortization of inventory purchase accounting fair value adjustment </w:t>
            </w:r>
            <w:r>
              <w:rPr>
                <w:rFonts w:ascii="Arial" w:cs="Arial" w:eastAsia="Arial" w:hAnsi="Arial"/>
                <w:sz w:val="25"/>
                <w:szCs w:val="25"/>
                <w:color w:val="auto"/>
                <w:vertAlign w:val="superscript"/>
              </w:rPr>
              <w:t>(2)</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128</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 xml:space="preserve">Merger and integration </w:t>
            </w:r>
            <w:r>
              <w:rPr>
                <w:rFonts w:ascii="Arial" w:cs="Arial" w:eastAsia="Arial" w:hAnsi="Arial"/>
                <w:sz w:val="25"/>
                <w:szCs w:val="25"/>
                <w:color w:val="auto"/>
                <w:vertAlign w:val="superscript"/>
              </w:rPr>
              <w:t>(4)</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Impairment of equity-method investment </w:t>
            </w:r>
            <w:r>
              <w:rPr>
                <w:rFonts w:ascii="Arial" w:cs="Arial" w:eastAsia="Arial" w:hAnsi="Arial"/>
                <w:sz w:val="25"/>
                <w:szCs w:val="25"/>
                <w:color w:val="auto"/>
                <w:vertAlign w:val="superscript"/>
              </w:rPr>
              <w:t>(1)</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 xml:space="preserve">Acquisition-related professional fees </w:t>
            </w:r>
            <w:r>
              <w:rPr>
                <w:rFonts w:ascii="Arial" w:cs="Arial" w:eastAsia="Arial" w:hAnsi="Arial"/>
                <w:sz w:val="25"/>
                <w:szCs w:val="25"/>
                <w:color w:val="auto"/>
                <w:vertAlign w:val="superscript"/>
              </w:rPr>
              <w:t>(4)</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Acquisition-related employee benefits </w:t>
            </w:r>
            <w:r>
              <w:rPr>
                <w:rFonts w:ascii="Arial" w:cs="Arial" w:eastAsia="Arial" w:hAnsi="Arial"/>
                <w:sz w:val="25"/>
                <w:szCs w:val="25"/>
                <w:color w:val="auto"/>
                <w:vertAlign w:val="superscript"/>
              </w:rPr>
              <w:t>(4)</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 xml:space="preserve">Restructuring </w:t>
            </w:r>
            <w:r>
              <w:rPr>
                <w:rFonts w:ascii="Arial" w:cs="Arial" w:eastAsia="Arial" w:hAnsi="Arial"/>
                <w:sz w:val="25"/>
                <w:szCs w:val="25"/>
                <w:color w:val="auto"/>
                <w:vertAlign w:val="superscript"/>
              </w:rPr>
              <w:t>(3)</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Reversal of valuation allowance related to deferred tax assets </w:t>
            </w:r>
            <w:r>
              <w:rPr>
                <w:rFonts w:ascii="Arial" w:cs="Arial" w:eastAsia="Arial" w:hAnsi="Arial"/>
                <w:sz w:val="25"/>
                <w:szCs w:val="25"/>
                <w:color w:val="auto"/>
                <w:vertAlign w:val="superscript"/>
              </w:rPr>
              <w:t>(4)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ind w:left="100"/>
              <w:spacing w:after="0"/>
              <w:rPr>
                <w:sz w:val="20"/>
                <w:szCs w:val="20"/>
                <w:color w:val="auto"/>
              </w:rPr>
            </w:pPr>
            <w:r>
              <w:rPr>
                <w:rFonts w:ascii="Arial" w:cs="Arial" w:eastAsia="Arial" w:hAnsi="Arial"/>
                <w:sz w:val="18"/>
                <w:szCs w:val="18"/>
                <w:color w:val="auto"/>
              </w:rPr>
              <w:t>— </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 xml:space="preserve">Gain on sale of Palliser APS project </w:t>
            </w:r>
            <w:r>
              <w:rPr>
                <w:rFonts w:ascii="Arial" w:cs="Arial" w:eastAsia="Arial" w:hAnsi="Arial"/>
                <w:sz w:val="25"/>
                <w:szCs w:val="25"/>
                <w:color w:val="auto"/>
                <w:vertAlign w:val="superscript"/>
              </w:rPr>
              <w:t>(5)</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Net income attributable to SLB, excluding charges &amp; credits</w:t>
            </w:r>
          </w:p>
        </w:tc>
        <w:tc>
          <w:tcPr>
            <w:tcW w:w="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60" w:type="dxa"/>
            <w:vAlign w:val="bottom"/>
            <w:vMerge w:val="continue"/>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5,398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1,043</w:t>
            </w:r>
          </w:p>
        </w:tc>
        <w:tc>
          <w:tcPr>
            <w:tcW w:w="3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145</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4,210</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$ 2.93</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jc w:val="right"/>
              <w:ind w:right="760"/>
              <w:spacing w:after="0"/>
              <w:rPr>
                <w:sz w:val="20"/>
                <w:szCs w:val="20"/>
                <w:color w:val="auto"/>
              </w:rPr>
            </w:pPr>
            <w:r>
              <w:rPr>
                <w:rFonts w:ascii="Arial" w:cs="Arial" w:eastAsia="Arial" w:hAnsi="Arial"/>
                <w:sz w:val="14"/>
                <w:szCs w:val="14"/>
                <w:b w:val="1"/>
                <w:bCs w:val="1"/>
                <w:color w:val="auto"/>
              </w:rPr>
              <w:t>Twelve Months 2024</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6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3"/>
          </w:tcPr>
          <w:p>
            <w:pPr>
              <w:spacing w:after="0" w:line="147" w:lineRule="exact"/>
              <w:rPr>
                <w:sz w:val="20"/>
                <w:szCs w:val="20"/>
                <w:color w:val="auto"/>
              </w:rPr>
            </w:pPr>
            <w:r>
              <w:rPr>
                <w:rFonts w:ascii="Arial" w:cs="Arial" w:eastAsia="Arial" w:hAnsi="Arial"/>
                <w:sz w:val="14"/>
                <w:szCs w:val="14"/>
                <w:color w:val="auto"/>
              </w:rPr>
              <w:t>Noncont.</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jc w:val="right"/>
              <w:ind w:right="320"/>
              <w:spacing w:after="0"/>
              <w:rPr>
                <w:sz w:val="20"/>
                <w:szCs w:val="20"/>
                <w:color w:val="auto"/>
              </w:rPr>
            </w:pPr>
            <w:r>
              <w:rPr>
                <w:rFonts w:ascii="Arial" w:cs="Arial" w:eastAsia="Arial" w:hAnsi="Arial"/>
                <w:sz w:val="14"/>
                <w:szCs w:val="14"/>
                <w:color w:val="auto"/>
              </w:rPr>
              <w:t>Pretax</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4"/>
                <w:szCs w:val="14"/>
                <w:color w:val="auto"/>
                <w:w w:val="94"/>
              </w:rPr>
              <w:t>Tax</w:t>
            </w: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Net</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EPS *</w:t>
            </w:r>
          </w:p>
        </w:tc>
        <w:tc>
          <w:tcPr>
            <w:tcW w:w="0" w:type="dxa"/>
            <w:vAlign w:val="bottom"/>
          </w:tcPr>
          <w:p>
            <w:pPr>
              <w:spacing w:after="0"/>
              <w:rPr>
                <w:sz w:val="1"/>
                <w:szCs w:val="1"/>
                <w:color w:val="auto"/>
              </w:rPr>
            </w:pP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 (GAAP basis)</w:t>
            </w: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$5,672</w:t>
            </w: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$1,093</w:t>
            </w:r>
          </w:p>
        </w:tc>
        <w:tc>
          <w:tcPr>
            <w:tcW w:w="32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$4,461</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$ 3.11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Workforce reductions </w:t>
            </w:r>
            <w:r>
              <w:rPr>
                <w:rFonts w:ascii="Arial" w:cs="Arial" w:eastAsia="Arial" w:hAnsi="Arial"/>
                <w:sz w:val="25"/>
                <w:szCs w:val="25"/>
                <w:color w:val="auto"/>
                <w:vertAlign w:val="superscript"/>
              </w:rPr>
              <w:t>(3)</w:t>
            </w:r>
          </w:p>
        </w:tc>
        <w:tc>
          <w:tcPr>
            <w:tcW w:w="780" w:type="dxa"/>
            <w:vAlign w:val="bottom"/>
            <w:gridSpan w:val="4"/>
          </w:tcPr>
          <w:p>
            <w:pPr>
              <w:jc w:val="right"/>
              <w:ind w:right="88"/>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900" w:type="dxa"/>
            <w:vAlign w:val="bottom"/>
            <w:gridSpan w:val="4"/>
          </w:tcPr>
          <w:p>
            <w:pPr>
              <w:jc w:val="right"/>
              <w:ind w:right="26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200</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 xml:space="preserve">Asset impairments </w:t>
            </w:r>
            <w:r>
              <w:rPr>
                <w:rFonts w:ascii="Arial" w:cs="Arial" w:eastAsia="Arial" w:hAnsi="Arial"/>
                <w:sz w:val="25"/>
                <w:szCs w:val="25"/>
                <w:color w:val="auto"/>
                <w:vertAlign w:val="superscript"/>
              </w:rPr>
              <w:t>(1)</w:t>
            </w:r>
          </w:p>
        </w:tc>
        <w:tc>
          <w:tcPr>
            <w:tcW w:w="78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Other merger and integration </w:t>
            </w:r>
            <w:r>
              <w:rPr>
                <w:rFonts w:ascii="Arial" w:cs="Arial" w:eastAsia="Arial" w:hAnsi="Arial"/>
                <w:sz w:val="25"/>
                <w:szCs w:val="25"/>
                <w:color w:val="auto"/>
                <w:vertAlign w:val="superscript"/>
              </w:rPr>
              <w:t>(4)</w:t>
            </w:r>
          </w:p>
        </w:tc>
        <w:tc>
          <w:tcPr>
            <w:tcW w:w="780" w:type="dxa"/>
            <w:vAlign w:val="bottom"/>
            <w:gridSpan w:val="4"/>
          </w:tcPr>
          <w:p>
            <w:pPr>
              <w:jc w:val="right"/>
              <w:ind w:right="88"/>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900" w:type="dxa"/>
            <w:vAlign w:val="bottom"/>
            <w:gridSpan w:val="4"/>
          </w:tcPr>
          <w:p>
            <w:pPr>
              <w:jc w:val="right"/>
              <w:ind w:right="26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90</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 xml:space="preserve">Amortization of inventory purchase accounting fair value adjustment </w:t>
            </w:r>
            <w:r>
              <w:rPr>
                <w:rFonts w:ascii="Arial" w:cs="Arial" w:eastAsia="Arial" w:hAnsi="Arial"/>
                <w:sz w:val="25"/>
                <w:szCs w:val="25"/>
                <w:color w:val="auto"/>
                <w:vertAlign w:val="superscript"/>
              </w:rPr>
              <w:t>(2)</w:t>
            </w:r>
          </w:p>
        </w:tc>
        <w:tc>
          <w:tcPr>
            <w:tcW w:w="78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Gain on sale of investment </w:t>
            </w:r>
            <w:r>
              <w:rPr>
                <w:rFonts w:ascii="Arial" w:cs="Arial" w:eastAsia="Arial" w:hAnsi="Arial"/>
                <w:sz w:val="25"/>
                <w:szCs w:val="25"/>
                <w:color w:val="auto"/>
                <w:vertAlign w:val="superscript"/>
              </w:rPr>
              <w:t>(5)</w:t>
            </w:r>
          </w:p>
        </w:tc>
        <w:tc>
          <w:tcPr>
            <w:tcW w:w="60" w:type="dxa"/>
            <w:vAlign w:val="bottom"/>
          </w:tcPr>
          <w:p>
            <w:pPr>
              <w:spacing w:after="0"/>
              <w:rPr>
                <w:sz w:val="18"/>
                <w:szCs w:val="18"/>
                <w:color w:val="auto"/>
              </w:rPr>
            </w:pPr>
          </w:p>
        </w:tc>
        <w:tc>
          <w:tcPr>
            <w:tcW w:w="720" w:type="dxa"/>
            <w:vAlign w:val="bottom"/>
            <w:gridSpan w:val="3"/>
          </w:tcPr>
          <w:p>
            <w:pPr>
              <w:jc w:val="right"/>
              <w:ind w:right="28"/>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SLB, excluding charges &amp; credits</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6,213</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4,888</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$ 3.41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Does not add due to rounding.</w:t>
      </w:r>
    </w:p>
    <w:p>
      <w:pPr>
        <w:ind w:left="424" w:hanging="424"/>
        <w:spacing w:after="0" w:line="180" w:lineRule="auto"/>
        <w:tabs>
          <w:tab w:leader="none" w:pos="424" w:val="left"/>
        </w:tabs>
        <w:numPr>
          <w:ilvl w:val="0"/>
          <w:numId w:val="21"/>
        </w:numPr>
        <w:rPr>
          <w:rFonts w:ascii="Arial" w:cs="Arial" w:eastAsia="Arial" w:hAnsi="Arial"/>
          <w:sz w:val="25"/>
          <w:szCs w:val="25"/>
          <w:color w:val="auto"/>
          <w:vertAlign w:val="superscript"/>
        </w:rPr>
      </w:pPr>
      <w:r>
        <w:rPr>
          <w:rFonts w:ascii="Arial" w:cs="Arial" w:eastAsia="Arial" w:hAnsi="Arial"/>
          <w:sz w:val="17"/>
          <w:szCs w:val="17"/>
          <w:color w:val="auto"/>
        </w:rPr>
        <w:t xml:space="preserve">Classified in </w:t>
      </w:r>
      <w:r>
        <w:rPr>
          <w:rFonts w:ascii="Arial" w:cs="Arial" w:eastAsia="Arial" w:hAnsi="Arial"/>
          <w:sz w:val="17"/>
          <w:szCs w:val="17"/>
          <w:i w:val="1"/>
          <w:iCs w:val="1"/>
          <w:color w:val="auto"/>
        </w:rPr>
        <w:t>Impairments</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Condensed Consolidated Statement of Income</w:t>
      </w:r>
      <w:r>
        <w:rPr>
          <w:rFonts w:ascii="Arial" w:cs="Arial" w:eastAsia="Arial" w:hAnsi="Arial"/>
          <w:sz w:val="17"/>
          <w:szCs w:val="17"/>
          <w:color w:val="auto"/>
        </w:rPr>
        <w:t>.</w:t>
      </w:r>
    </w:p>
    <w:p>
      <w:pPr>
        <w:ind w:left="424" w:hanging="424"/>
        <w:spacing w:after="0" w:line="183" w:lineRule="auto"/>
        <w:tabs>
          <w:tab w:leader="none" w:pos="424" w:val="left"/>
        </w:tabs>
        <w:numPr>
          <w:ilvl w:val="0"/>
          <w:numId w:val="21"/>
        </w:numPr>
        <w:rPr>
          <w:rFonts w:ascii="Arial" w:cs="Arial" w:eastAsia="Arial" w:hAnsi="Arial"/>
          <w:sz w:val="23"/>
          <w:szCs w:val="23"/>
          <w:color w:val="auto"/>
          <w:vertAlign w:val="superscript"/>
        </w:rPr>
      </w:pPr>
      <w:r>
        <w:rPr>
          <w:rFonts w:ascii="Arial" w:cs="Arial" w:eastAsia="Arial" w:hAnsi="Arial"/>
          <w:sz w:val="16"/>
          <w:szCs w:val="16"/>
          <w:color w:val="auto"/>
        </w:rPr>
        <w:t xml:space="preserve">Classified in </w:t>
      </w:r>
      <w:r>
        <w:rPr>
          <w:rFonts w:ascii="Arial" w:cs="Arial" w:eastAsia="Arial" w:hAnsi="Arial"/>
          <w:sz w:val="16"/>
          <w:szCs w:val="16"/>
          <w:i w:val="1"/>
          <w:iCs w:val="1"/>
          <w:color w:val="auto"/>
        </w:rPr>
        <w:t>Cost of revenue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Condensed Consolidated Statement of Income</w:t>
      </w:r>
      <w:r>
        <w:rPr>
          <w:rFonts w:ascii="Arial" w:cs="Arial" w:eastAsia="Arial" w:hAnsi="Arial"/>
          <w:sz w:val="16"/>
          <w:szCs w:val="16"/>
          <w:color w:val="auto"/>
        </w:rPr>
        <w:t>.</w:t>
      </w:r>
    </w:p>
    <w:p>
      <w:pPr>
        <w:ind w:left="424" w:hanging="424"/>
        <w:spacing w:after="0" w:line="183" w:lineRule="auto"/>
        <w:tabs>
          <w:tab w:leader="none" w:pos="424" w:val="left"/>
        </w:tabs>
        <w:numPr>
          <w:ilvl w:val="0"/>
          <w:numId w:val="21"/>
        </w:numPr>
        <w:rPr>
          <w:rFonts w:ascii="Arial" w:cs="Arial" w:eastAsia="Arial" w:hAnsi="Arial"/>
          <w:sz w:val="23"/>
          <w:szCs w:val="23"/>
          <w:color w:val="auto"/>
          <w:vertAlign w:val="superscript"/>
        </w:rPr>
      </w:pPr>
      <w:r>
        <w:rPr>
          <w:rFonts w:ascii="Arial" w:cs="Arial" w:eastAsia="Arial" w:hAnsi="Arial"/>
          <w:sz w:val="16"/>
          <w:szCs w:val="16"/>
          <w:color w:val="auto"/>
        </w:rPr>
        <w:t xml:space="preserve">Classified in </w:t>
      </w:r>
      <w:r>
        <w:rPr>
          <w:rFonts w:ascii="Arial" w:cs="Arial" w:eastAsia="Arial" w:hAnsi="Arial"/>
          <w:sz w:val="16"/>
          <w:szCs w:val="16"/>
          <w:i w:val="1"/>
          <w:iCs w:val="1"/>
          <w:color w:val="auto"/>
        </w:rPr>
        <w:t>Restructuring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Condensed Consolidated Statement of Income</w:t>
      </w:r>
      <w:r>
        <w:rPr>
          <w:rFonts w:ascii="Arial" w:cs="Arial" w:eastAsia="Arial" w:hAnsi="Arial"/>
          <w:sz w:val="16"/>
          <w:szCs w:val="16"/>
          <w:color w:val="auto"/>
        </w:rPr>
        <w:t>.</w:t>
      </w:r>
    </w:p>
    <w:p>
      <w:pPr>
        <w:ind w:left="424" w:hanging="424"/>
        <w:spacing w:after="0" w:line="183" w:lineRule="auto"/>
        <w:tabs>
          <w:tab w:leader="none" w:pos="424" w:val="left"/>
        </w:tabs>
        <w:numPr>
          <w:ilvl w:val="0"/>
          <w:numId w:val="21"/>
        </w:numPr>
        <w:rPr>
          <w:rFonts w:ascii="Arial" w:cs="Arial" w:eastAsia="Arial" w:hAnsi="Arial"/>
          <w:sz w:val="23"/>
          <w:szCs w:val="23"/>
          <w:color w:val="auto"/>
          <w:vertAlign w:val="superscript"/>
        </w:rPr>
      </w:pPr>
      <w:r>
        <w:rPr>
          <w:rFonts w:ascii="Arial" w:cs="Arial" w:eastAsia="Arial" w:hAnsi="Arial"/>
          <w:sz w:val="16"/>
          <w:szCs w:val="16"/>
          <w:color w:val="auto"/>
        </w:rPr>
        <w:t xml:space="preserve">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Condensed Consolidated Statement of Income</w:t>
      </w:r>
      <w:r>
        <w:rPr>
          <w:rFonts w:ascii="Arial" w:cs="Arial" w:eastAsia="Arial" w:hAnsi="Arial"/>
          <w:sz w:val="16"/>
          <w:szCs w:val="16"/>
          <w:color w:val="auto"/>
        </w:rPr>
        <w:t>.</w:t>
      </w:r>
    </w:p>
    <w:p>
      <w:pPr>
        <w:ind w:left="424" w:hanging="424"/>
        <w:spacing w:after="0" w:line="184" w:lineRule="auto"/>
        <w:tabs>
          <w:tab w:leader="none" w:pos="424" w:val="left"/>
        </w:tabs>
        <w:numPr>
          <w:ilvl w:val="0"/>
          <w:numId w:val="21"/>
        </w:numPr>
        <w:rPr>
          <w:rFonts w:ascii="Arial" w:cs="Arial" w:eastAsia="Arial" w:hAnsi="Arial"/>
          <w:sz w:val="25"/>
          <w:szCs w:val="25"/>
          <w:color w:val="auto"/>
          <w:vertAlign w:val="superscript"/>
        </w:rPr>
      </w:pPr>
      <w:r>
        <w:rPr>
          <w:rFonts w:ascii="Arial" w:cs="Arial" w:eastAsia="Arial" w:hAnsi="Arial"/>
          <w:sz w:val="17"/>
          <w:szCs w:val="17"/>
          <w:color w:val="auto"/>
        </w:rPr>
        <w:t xml:space="preserve">Classified in </w:t>
      </w:r>
      <w:r>
        <w:rPr>
          <w:rFonts w:ascii="Arial" w:cs="Arial" w:eastAsia="Arial" w:hAnsi="Arial"/>
          <w:sz w:val="17"/>
          <w:szCs w:val="17"/>
          <w:i w:val="1"/>
          <w:iCs w:val="1"/>
          <w:color w:val="auto"/>
        </w:rPr>
        <w:t>Interest &amp; other income</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Condensed Consolidated Statement of Income</w:t>
      </w:r>
      <w:r>
        <w:rPr>
          <w:rFonts w:ascii="Arial" w:cs="Arial" w:eastAsia="Arial" w:hAnsi="Arial"/>
          <w:sz w:val="17"/>
          <w:szCs w:val="17"/>
          <w:color w:val="auto"/>
        </w:rPr>
        <w:t>.</w:t>
      </w:r>
    </w:p>
    <w:p>
      <w:pPr>
        <w:sectPr>
          <w:pgSz w:w="11900" w:h="16838" w:orient="portrait"/>
          <w:cols w:equalWidth="0" w:num="1">
            <w:col w:w="11024"/>
          </w:cols>
          <w:pgMar w:left="436" w:top="279"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Divisions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Digital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Reservoir Performance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 Construction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Eliminations &amp; other</w:t>
      </w:r>
    </w:p>
    <w:p>
      <w:pPr>
        <w:spacing w:after="0" w:line="18" w:lineRule="exact"/>
        <w:rPr>
          <w:sz w:val="20"/>
          <w:szCs w:val="20"/>
          <w:color w:val="auto"/>
        </w:rPr>
      </w:pPr>
    </w:p>
    <w:p>
      <w:pPr>
        <w:ind w:firstLine="360"/>
        <w:spacing w:after="0" w:line="260" w:lineRule="auto"/>
        <w:rPr>
          <w:sz w:val="20"/>
          <w:szCs w:val="20"/>
          <w:color w:val="auto"/>
        </w:rPr>
      </w:pPr>
      <w:r>
        <w:rPr>
          <w:rFonts w:ascii="Arial" w:cs="Arial" w:eastAsia="Arial" w:hAnsi="Arial"/>
          <w:sz w:val="18"/>
          <w:szCs w:val="18"/>
          <w:color w:val="auto"/>
        </w:rPr>
        <w:t>Pretax segment operating income Corporate &amp; other</w:t>
      </w:r>
    </w:p>
    <w:p>
      <w:pPr>
        <w:spacing w:after="0" w:line="181" w:lineRule="auto"/>
        <w:rPr>
          <w:sz w:val="20"/>
          <w:szCs w:val="20"/>
          <w:color w:val="auto"/>
        </w:rPr>
      </w:pPr>
      <w:r>
        <w:rPr>
          <w:rFonts w:ascii="Arial" w:cs="Arial" w:eastAsia="Arial" w:hAnsi="Arial"/>
          <w:sz w:val="17"/>
          <w:szCs w:val="17"/>
          <w:color w:val="auto"/>
        </w:rPr>
        <w:t>Interest income</w:t>
      </w:r>
      <w:r>
        <w:rPr>
          <w:rFonts w:ascii="Arial" w:cs="Arial" w:eastAsia="Arial" w:hAnsi="Arial"/>
          <w:sz w:val="25"/>
          <w:szCs w:val="25"/>
          <w:color w:val="auto"/>
          <w:vertAlign w:val="superscript"/>
        </w:rPr>
        <w:t>(1)</w:t>
      </w:r>
    </w:p>
    <w:p>
      <w:pPr>
        <w:spacing w:after="0" w:line="180" w:lineRule="auto"/>
        <w:rPr>
          <w:sz w:val="20"/>
          <w:szCs w:val="20"/>
          <w:color w:val="auto"/>
        </w:rPr>
      </w:pPr>
      <w:r>
        <w:rPr>
          <w:rFonts w:ascii="Arial" w:cs="Arial" w:eastAsia="Arial" w:hAnsi="Arial"/>
          <w:sz w:val="17"/>
          <w:szCs w:val="17"/>
          <w:color w:val="auto"/>
        </w:rPr>
        <w:t>Interest expense</w:t>
      </w:r>
      <w:r>
        <w:rPr>
          <w:rFonts w:ascii="Arial" w:cs="Arial" w:eastAsia="Arial" w:hAnsi="Arial"/>
          <w:sz w:val="25"/>
          <w:szCs w:val="25"/>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Charges &amp; credits</w:t>
      </w:r>
      <w:r>
        <w:rPr>
          <w:rFonts w:ascii="Arial" w:cs="Arial" w:eastAsia="Arial" w:hAnsi="Arial"/>
          <w:sz w:val="26"/>
          <w:szCs w:val="26"/>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Digital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Reservoir Performance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 Construction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Production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Eliminations &amp; other</w:t>
      </w:r>
    </w:p>
    <w:p>
      <w:pPr>
        <w:spacing w:after="0" w:line="18" w:lineRule="exact"/>
        <w:rPr>
          <w:sz w:val="20"/>
          <w:szCs w:val="20"/>
          <w:color w:val="auto"/>
        </w:rPr>
      </w:pPr>
    </w:p>
    <w:p>
      <w:pPr>
        <w:ind w:firstLine="360"/>
        <w:spacing w:after="0" w:line="260" w:lineRule="auto"/>
        <w:rPr>
          <w:sz w:val="20"/>
          <w:szCs w:val="20"/>
          <w:color w:val="auto"/>
        </w:rPr>
      </w:pPr>
      <w:r>
        <w:rPr>
          <w:rFonts w:ascii="Arial" w:cs="Arial" w:eastAsia="Arial" w:hAnsi="Arial"/>
          <w:sz w:val="18"/>
          <w:szCs w:val="18"/>
          <w:color w:val="auto"/>
        </w:rPr>
        <w:t>Pretax segment operating income Corporate &amp; other</w:t>
      </w:r>
    </w:p>
    <w:p>
      <w:pPr>
        <w:spacing w:after="0" w:line="181" w:lineRule="auto"/>
        <w:rPr>
          <w:sz w:val="20"/>
          <w:szCs w:val="20"/>
          <w:color w:val="auto"/>
        </w:rPr>
      </w:pPr>
      <w:r>
        <w:rPr>
          <w:rFonts w:ascii="Arial" w:cs="Arial" w:eastAsia="Arial" w:hAnsi="Arial"/>
          <w:sz w:val="17"/>
          <w:szCs w:val="17"/>
          <w:color w:val="auto"/>
        </w:rPr>
        <w:t xml:space="preserve">Interest income </w:t>
      </w:r>
      <w:r>
        <w:rPr>
          <w:rFonts w:ascii="Arial" w:cs="Arial" w:eastAsia="Arial" w:hAnsi="Arial"/>
          <w:sz w:val="25"/>
          <w:szCs w:val="25"/>
          <w:color w:val="auto"/>
          <w:vertAlign w:val="superscript"/>
        </w:rPr>
        <w:t>(1)</w:t>
      </w:r>
    </w:p>
    <w:p>
      <w:pPr>
        <w:spacing w:after="0" w:line="180" w:lineRule="auto"/>
        <w:rPr>
          <w:sz w:val="20"/>
          <w:szCs w:val="20"/>
          <w:color w:val="auto"/>
        </w:rPr>
      </w:pPr>
      <w:r>
        <w:rPr>
          <w:rFonts w:ascii="Arial" w:cs="Arial" w:eastAsia="Arial" w:hAnsi="Arial"/>
          <w:sz w:val="17"/>
          <w:szCs w:val="17"/>
          <w:color w:val="auto"/>
        </w:rPr>
        <w:t xml:space="preserve">Interest expense </w:t>
      </w:r>
      <w:r>
        <w:rPr>
          <w:rFonts w:ascii="Arial" w:cs="Arial" w:eastAsia="Arial" w:hAnsi="Arial"/>
          <w:sz w:val="25"/>
          <w:szCs w:val="25"/>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26"/>
          <w:szCs w:val="26"/>
          <w:color w:val="auto"/>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gridSpan w:val="8"/>
          </w:tcPr>
          <w:p>
            <w:pPr>
              <w:ind w:left="260"/>
              <w:spacing w:after="0"/>
              <w:rPr>
                <w:sz w:val="20"/>
                <w:szCs w:val="20"/>
                <w:color w:val="auto"/>
              </w:rPr>
            </w:pPr>
            <w:r>
              <w:rPr>
                <w:rFonts w:ascii="Arial" w:cs="Arial" w:eastAsia="Arial" w:hAnsi="Arial"/>
                <w:sz w:val="14"/>
                <w:szCs w:val="14"/>
                <w:color w:val="auto"/>
              </w:rPr>
              <w:t>(Stated in millions)</w:t>
            </w:r>
          </w:p>
        </w:tc>
      </w:tr>
      <w:tr>
        <w:trPr>
          <w:trHeight w:val="251"/>
        </w:trPr>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7"/>
          </w:tcPr>
          <w:p>
            <w:pPr>
              <w:jc w:val="right"/>
              <w:ind w:right="380"/>
              <w:spacing w:after="0" w:line="155" w:lineRule="exact"/>
              <w:rPr>
                <w:sz w:val="20"/>
                <w:szCs w:val="20"/>
                <w:color w:val="auto"/>
              </w:rPr>
            </w:pPr>
            <w:r>
              <w:rPr>
                <w:rFonts w:ascii="Arial" w:cs="Arial" w:eastAsia="Arial" w:hAnsi="Arial"/>
                <w:sz w:val="14"/>
                <w:szCs w:val="14"/>
                <w:b w:val="1"/>
                <w:bCs w:val="1"/>
                <w:color w:val="auto"/>
              </w:rPr>
              <w:t>Dec. 31, 2025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8"/>
          </w:tcPr>
          <w:p>
            <w:pPr>
              <w:jc w:val="right"/>
              <w:ind w:right="560"/>
              <w:spacing w:after="0" w:line="155" w:lineRule="exact"/>
              <w:rPr>
                <w:sz w:val="20"/>
                <w:szCs w:val="20"/>
                <w:color w:val="auto"/>
              </w:rPr>
            </w:pPr>
            <w:r>
              <w:rPr>
                <w:rFonts w:ascii="Arial" w:cs="Arial" w:eastAsia="Arial" w:hAnsi="Arial"/>
                <w:sz w:val="14"/>
                <w:szCs w:val="14"/>
                <w:color w:val="auto"/>
              </w:rPr>
              <w:t>Sept. 30, 2025</w:t>
            </w:r>
          </w:p>
        </w:tc>
        <w:tc>
          <w:tcPr>
            <w:tcW w:w="20" w:type="dxa"/>
            <w:vAlign w:val="bottom"/>
          </w:tcPr>
          <w:p>
            <w:pPr>
              <w:spacing w:after="0"/>
              <w:rPr>
                <w:sz w:val="13"/>
                <w:szCs w:val="13"/>
                <w:color w:val="auto"/>
              </w:rPr>
            </w:pPr>
          </w:p>
        </w:tc>
        <w:tc>
          <w:tcPr>
            <w:tcW w:w="1460" w:type="dxa"/>
            <w:vAlign w:val="bottom"/>
            <w:gridSpan w:val="6"/>
          </w:tcPr>
          <w:p>
            <w:pPr>
              <w:ind w:left="280"/>
              <w:spacing w:after="0" w:line="155" w:lineRule="exact"/>
              <w:rPr>
                <w:sz w:val="20"/>
                <w:szCs w:val="20"/>
                <w:color w:val="auto"/>
              </w:rPr>
            </w:pPr>
            <w:r>
              <w:rPr>
                <w:rFonts w:ascii="Arial" w:cs="Arial" w:eastAsia="Arial" w:hAnsi="Arial"/>
                <w:sz w:val="14"/>
                <w:szCs w:val="14"/>
                <w:color w:val="auto"/>
              </w:rPr>
              <w:t>Dec. 31, 2024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center"/>
              <w:spacing w:after="0" w:line="147" w:lineRule="exact"/>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center"/>
              <w:spacing w:after="0" w:line="147" w:lineRule="exact"/>
              <w:rPr>
                <w:sz w:val="20"/>
                <w:szCs w:val="20"/>
                <w:color w:val="auto"/>
              </w:rPr>
            </w:pPr>
            <w:r>
              <w:rPr>
                <w:rFonts w:ascii="Arial" w:cs="Arial" w:eastAsia="Arial" w:hAnsi="Arial"/>
                <w:sz w:val="14"/>
                <w:szCs w:val="14"/>
                <w:color w:val="auto"/>
              </w:rPr>
              <w:t>Income</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Income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Before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5"/>
          </w:tcPr>
          <w:p>
            <w:pPr>
              <w:jc w:val="center"/>
              <w:ind w:right="300"/>
              <w:spacing w:after="0"/>
              <w:rPr>
                <w:sz w:val="20"/>
                <w:szCs w:val="20"/>
                <w:color w:val="auto"/>
              </w:rPr>
            </w:pPr>
            <w:r>
              <w:rPr>
                <w:rFonts w:ascii="Arial" w:cs="Arial" w:eastAsia="Arial" w:hAnsi="Arial"/>
                <w:sz w:val="14"/>
                <w:szCs w:val="14"/>
                <w:color w:val="auto"/>
              </w:rPr>
              <w:t>Before</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4"/>
          </w:tcPr>
          <w:p>
            <w:pPr>
              <w:jc w:val="center"/>
              <w:ind w:right="80"/>
              <w:spacing w:after="0"/>
              <w:rPr>
                <w:sz w:val="20"/>
                <w:szCs w:val="20"/>
                <w:color w:val="auto"/>
              </w:rPr>
            </w:pPr>
            <w:r>
              <w:rPr>
                <w:rFonts w:ascii="Arial" w:cs="Arial" w:eastAsia="Arial" w:hAnsi="Arial"/>
                <w:sz w:val="14"/>
                <w:szCs w:val="14"/>
                <w:color w:val="auto"/>
              </w:rPr>
              <w:t>Before</w:t>
            </w: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4"/>
                <w:szCs w:val="14"/>
                <w:color w:val="auto"/>
              </w:rPr>
            </w:pPr>
          </w:p>
        </w:tc>
        <w:tc>
          <w:tcPr>
            <w:tcW w:w="6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Taxes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860" w:type="dxa"/>
            <w:vAlign w:val="bottom"/>
            <w:gridSpan w:val="5"/>
          </w:tcPr>
          <w:p>
            <w:pPr>
              <w:jc w:val="center"/>
              <w:ind w:right="300"/>
              <w:spacing w:after="0"/>
              <w:rPr>
                <w:sz w:val="20"/>
                <w:szCs w:val="20"/>
                <w:color w:val="auto"/>
              </w:rPr>
            </w:pPr>
            <w:r>
              <w:rPr>
                <w:rFonts w:ascii="Arial" w:cs="Arial" w:eastAsia="Arial" w:hAnsi="Arial"/>
                <w:sz w:val="14"/>
                <w:szCs w:val="14"/>
                <w:color w:val="auto"/>
                <w:w w:val="94"/>
              </w:rPr>
              <w:t>Taxes</w:t>
            </w:r>
          </w:p>
        </w:tc>
        <w:tc>
          <w:tcPr>
            <w:tcW w:w="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220" w:type="dxa"/>
            <w:vAlign w:val="bottom"/>
          </w:tcPr>
          <w:p>
            <w:pPr>
              <w:spacing w:after="0"/>
              <w:rPr>
                <w:sz w:val="14"/>
                <w:szCs w:val="14"/>
                <w:color w:val="auto"/>
              </w:rPr>
            </w:pPr>
          </w:p>
        </w:tc>
        <w:tc>
          <w:tcPr>
            <w:tcW w:w="660" w:type="dxa"/>
            <w:vAlign w:val="bottom"/>
            <w:gridSpan w:val="4"/>
          </w:tcPr>
          <w:p>
            <w:pPr>
              <w:jc w:val="center"/>
              <w:ind w:right="80"/>
              <w:spacing w:after="0"/>
              <w:rPr>
                <w:sz w:val="20"/>
                <w:szCs w:val="20"/>
                <w:color w:val="auto"/>
              </w:rPr>
            </w:pPr>
            <w:r>
              <w:rPr>
                <w:rFonts w:ascii="Arial" w:cs="Arial" w:eastAsia="Arial" w:hAnsi="Arial"/>
                <w:sz w:val="14"/>
                <w:szCs w:val="14"/>
                <w:color w:val="auto"/>
                <w:w w:val="99"/>
              </w:rPr>
              <w:t>Taxes</w:t>
            </w:r>
          </w:p>
        </w:tc>
      </w:tr>
      <w:tr>
        <w:trPr>
          <w:trHeight w:val="191"/>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  825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280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658</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w w:val="99"/>
              </w:rPr>
              <w:t>187</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color w:val="auto"/>
              </w:rPr>
              <w:t>$  705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242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1,748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342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1,682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312</w:t>
            </w:r>
          </w:p>
        </w:tc>
        <w:tc>
          <w:tcPr>
            <w:tcW w:w="60" w:type="dxa"/>
            <w:vAlign w:val="bottom"/>
          </w:tcPr>
          <w:p>
            <w:pPr>
              <w:spacing w:after="0"/>
              <w:rPr>
                <w:sz w:val="18"/>
                <w:szCs w:val="18"/>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1,810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2,949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550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2,967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558</w:t>
            </w:r>
          </w:p>
        </w:tc>
        <w:tc>
          <w:tcPr>
            <w:tcW w:w="60" w:type="dxa"/>
            <w:vAlign w:val="bottom"/>
          </w:tcPr>
          <w:p>
            <w:pPr>
              <w:spacing w:after="0"/>
              <w:rPr>
                <w:sz w:val="18"/>
                <w:szCs w:val="18"/>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3,267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4,078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664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3,474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559</w:t>
            </w:r>
          </w:p>
        </w:tc>
        <w:tc>
          <w:tcPr>
            <w:tcW w:w="60" w:type="dxa"/>
            <w:vAlign w:val="bottom"/>
          </w:tcPr>
          <w:p>
            <w:pPr>
              <w:spacing w:after="0"/>
              <w:rPr>
                <w:sz w:val="18"/>
                <w:szCs w:val="18"/>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3,127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85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397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(114)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1,807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4"/>
          </w:tcPr>
          <w:p>
            <w:pPr>
              <w:jc w:val="right"/>
              <w:ind w:right="240"/>
              <w:spacing w:after="0"/>
              <w:rPr>
                <w:sz w:val="20"/>
                <w:szCs w:val="20"/>
                <w:color w:val="auto"/>
              </w:rPr>
            </w:pPr>
            <w:r>
              <w:rPr>
                <w:rFonts w:ascii="Arial" w:cs="Arial" w:eastAsia="Arial" w:hAnsi="Arial"/>
                <w:sz w:val="18"/>
                <w:szCs w:val="18"/>
                <w:color w:val="auto"/>
              </w:rPr>
              <w:t>1,626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1,918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(561)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(318)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$ 9,745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943</w:t>
            </w:r>
          </w:p>
        </w:tc>
        <w:tc>
          <w:tcPr>
            <w:tcW w:w="8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$ 8,928</w:t>
            </w:r>
          </w:p>
        </w:tc>
        <w:tc>
          <w:tcPr>
            <w:tcW w:w="300" w:type="dxa"/>
            <w:vAlign w:val="bottom"/>
          </w:tcPr>
          <w:p>
            <w:pPr>
              <w:spacing w:after="0"/>
              <w:rPr>
                <w:sz w:val="19"/>
                <w:szCs w:val="19"/>
                <w:color w:val="auto"/>
              </w:rPr>
            </w:pPr>
          </w:p>
        </w:tc>
        <w:tc>
          <w:tcPr>
            <w:tcW w:w="800" w:type="dxa"/>
            <w:vAlign w:val="bottom"/>
            <w:gridSpan w:val="4"/>
          </w:tcPr>
          <w:p>
            <w:pPr>
              <w:jc w:val="right"/>
              <w:ind w:right="2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1,000</w:t>
            </w:r>
          </w:p>
        </w:tc>
        <w:tc>
          <w:tcPr>
            <w:tcW w:w="60" w:type="dxa"/>
            <w:vAlign w:val="bottom"/>
          </w:tcPr>
          <w:p>
            <w:pPr>
              <w:spacing w:after="0"/>
              <w:rPr>
                <w:sz w:val="19"/>
                <w:szCs w:val="19"/>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w w:val="96"/>
              </w:rPr>
              <w:t>$ 9,284</w:t>
            </w:r>
          </w:p>
        </w:tc>
        <w:tc>
          <w:tcPr>
            <w:tcW w:w="340" w:type="dxa"/>
            <w:vAlign w:val="bottom"/>
            <w:gridSpan w:val="2"/>
          </w:tcPr>
          <w:p>
            <w:pPr>
              <w:jc w:val="center"/>
              <w:ind w:left="119"/>
              <w:spacing w:after="0"/>
              <w:rPr>
                <w:sz w:val="20"/>
                <w:szCs w:val="20"/>
                <w:color w:val="auto"/>
              </w:rPr>
            </w:pPr>
            <w:r>
              <w:rPr>
                <w:rFonts w:ascii="Arial" w:cs="Arial" w:eastAsia="Arial" w:hAnsi="Arial"/>
                <w:sz w:val="18"/>
                <w:szCs w:val="18"/>
                <w:u w:val="single" w:color="auto"/>
                <w:color w:val="auto"/>
                <w:w w:val="9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1,387</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7"/>
          </w:tcPr>
          <w:p>
            <w:pPr>
              <w:jc w:val="center"/>
              <w:spacing w:after="0"/>
              <w:rPr>
                <w:sz w:val="20"/>
                <w:szCs w:val="20"/>
                <w:color w:val="auto"/>
              </w:rPr>
            </w:pPr>
            <w:r>
              <w:rPr>
                <w:rFonts w:ascii="Arial" w:cs="Arial" w:eastAsia="Arial" w:hAnsi="Arial"/>
                <w:sz w:val="14"/>
                <w:szCs w:val="14"/>
                <w:color w:val="auto"/>
              </w:rPr>
              <w:t>(Stated in millions)</w:t>
            </w:r>
          </w:p>
        </w:tc>
      </w:tr>
      <w:tr>
        <w:trPr>
          <w:trHeight w:val="251"/>
        </w:trPr>
        <w:tc>
          <w:tcPr>
            <w:tcW w:w="2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Full Year 2025</w:t>
            </w:r>
          </w:p>
        </w:tc>
        <w:tc>
          <w:tcPr>
            <w:tcW w:w="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46"/>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5"/>
          </w:tcPr>
          <w:p>
            <w:pPr>
              <w:spacing w:after="0" w:line="147" w:lineRule="exact"/>
              <w:rPr>
                <w:sz w:val="20"/>
                <w:szCs w:val="20"/>
                <w:color w:val="auto"/>
              </w:rPr>
            </w:pPr>
            <w:r>
              <w:rPr>
                <w:rFonts w:ascii="Arial" w:cs="Arial" w:eastAsia="Arial" w:hAnsi="Arial"/>
                <w:sz w:val="14"/>
                <w:szCs w:val="14"/>
                <w:b w:val="1"/>
                <w:bCs w:val="1"/>
                <w:color w:val="auto"/>
              </w:rPr>
              <w:t>Net Interest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tcPr>
          <w:p>
            <w:pPr>
              <w:jc w:val="right"/>
              <w:ind w:right="400"/>
              <w:spacing w:after="0" w:line="158" w:lineRule="exact"/>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3"/>
                <w:szCs w:val="13"/>
                <w:color w:val="auto"/>
              </w:rPr>
            </w:pPr>
          </w:p>
        </w:tc>
        <w:tc>
          <w:tcPr>
            <w:tcW w:w="1520" w:type="dxa"/>
            <w:vAlign w:val="bottom"/>
            <w:gridSpan w:val="7"/>
          </w:tcPr>
          <w:p>
            <w:pPr>
              <w:spacing w:after="0" w:line="158" w:lineRule="exact"/>
              <w:rPr>
                <w:sz w:val="20"/>
                <w:szCs w:val="20"/>
                <w:color w:val="auto"/>
              </w:rPr>
            </w:pPr>
            <w:r>
              <w:rPr>
                <w:rFonts w:ascii="Arial" w:cs="Arial" w:eastAsia="Arial" w:hAnsi="Arial"/>
                <w:sz w:val="14"/>
                <w:szCs w:val="14"/>
                <w:b w:val="1"/>
                <w:bCs w:val="1"/>
                <w:color w:val="auto"/>
              </w:rPr>
              <w:t>Depreciation and</w:t>
            </w:r>
          </w:p>
        </w:tc>
        <w:tc>
          <w:tcPr>
            <w:tcW w:w="20" w:type="dxa"/>
            <w:vAlign w:val="bottom"/>
          </w:tcPr>
          <w:p>
            <w:pPr>
              <w:spacing w:after="0"/>
              <w:rPr>
                <w:sz w:val="13"/>
                <w:szCs w:val="13"/>
                <w:color w:val="auto"/>
              </w:rPr>
            </w:pPr>
          </w:p>
        </w:tc>
        <w:tc>
          <w:tcPr>
            <w:tcW w:w="1100" w:type="dxa"/>
            <w:vAlign w:val="bottom"/>
            <w:gridSpan w:val="5"/>
          </w:tcPr>
          <w:p>
            <w:pPr>
              <w:ind w:left="100"/>
              <w:spacing w:after="0" w:line="158"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3"/>
                <w:szCs w:val="13"/>
                <w:color w:val="auto"/>
              </w:rPr>
            </w:pPr>
          </w:p>
        </w:tc>
        <w:tc>
          <w:tcPr>
            <w:tcW w:w="740" w:type="dxa"/>
            <w:vAlign w:val="bottom"/>
            <w:gridSpan w:val="4"/>
          </w:tcPr>
          <w:p>
            <w:pPr>
              <w:ind w:left="20"/>
              <w:spacing w:after="0" w:line="158" w:lineRule="exact"/>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5"/>
          </w:tcPr>
          <w:p>
            <w:pPr>
              <w:jc w:val="center"/>
              <w:ind w:right="360"/>
              <w:spacing w:after="0" w:line="158" w:lineRule="exact"/>
              <w:rPr>
                <w:sz w:val="20"/>
                <w:szCs w:val="20"/>
                <w:color w:val="auto"/>
              </w:rPr>
            </w:pPr>
            <w:r>
              <w:rPr>
                <w:rFonts w:ascii="Arial" w:cs="Arial" w:eastAsia="Arial" w:hAnsi="Arial"/>
                <w:sz w:val="14"/>
                <w:szCs w:val="14"/>
                <w:b w:val="1"/>
                <w:bCs w:val="1"/>
                <w:color w:val="auto"/>
              </w:rPr>
              <w:t>Capital</w:t>
            </w:r>
          </w:p>
        </w:tc>
      </w:tr>
      <w:tr>
        <w:trPr>
          <w:trHeight w:val="175"/>
        </w:trPr>
        <w:tc>
          <w:tcPr>
            <w:tcW w:w="20" w:type="dxa"/>
            <w:vAlign w:val="bottom"/>
          </w:tcPr>
          <w:p>
            <w:pPr>
              <w:spacing w:after="0"/>
              <w:rPr>
                <w:sz w:val="15"/>
                <w:szCs w:val="15"/>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Revenue</w:t>
            </w: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Before Taxes</w:t>
            </w:r>
          </w:p>
        </w:tc>
        <w:tc>
          <w:tcPr>
            <w:tcW w:w="200" w:type="dxa"/>
            <w:vAlign w:val="bottom"/>
          </w:tcPr>
          <w:p>
            <w:pPr>
              <w:spacing w:after="0"/>
              <w:rPr>
                <w:sz w:val="15"/>
                <w:szCs w:val="15"/>
                <w:color w:val="auto"/>
              </w:rPr>
            </w:pPr>
          </w:p>
        </w:tc>
        <w:tc>
          <w:tcPr>
            <w:tcW w:w="1520" w:type="dxa"/>
            <w:vAlign w:val="bottom"/>
            <w:gridSpan w:val="7"/>
          </w:tcPr>
          <w:p>
            <w:pPr>
              <w:jc w:val="right"/>
              <w:ind w:right="400"/>
              <w:spacing w:after="0" w:line="175" w:lineRule="exact"/>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20"/>
                <w:szCs w:val="20"/>
                <w:b w:val="1"/>
                <w:bCs w:val="1"/>
                <w:color w:val="auto"/>
                <w:vertAlign w:val="superscript"/>
              </w:rPr>
              <w:t>(3)</w:t>
            </w:r>
          </w:p>
        </w:tc>
        <w:tc>
          <w:tcPr>
            <w:tcW w:w="20" w:type="dxa"/>
            <w:vAlign w:val="bottom"/>
          </w:tcPr>
          <w:p>
            <w:pPr>
              <w:spacing w:after="0"/>
              <w:rPr>
                <w:sz w:val="15"/>
                <w:szCs w:val="15"/>
                <w:color w:val="auto"/>
              </w:rPr>
            </w:pPr>
          </w:p>
        </w:tc>
        <w:tc>
          <w:tcPr>
            <w:tcW w:w="1100" w:type="dxa"/>
            <w:vAlign w:val="bottom"/>
            <w:gridSpan w:val="5"/>
          </w:tcPr>
          <w:p>
            <w:pPr>
              <w:ind w:left="20"/>
              <w:spacing w:after="0" w:line="175" w:lineRule="exact"/>
              <w:rPr>
                <w:sz w:val="20"/>
                <w:szCs w:val="20"/>
                <w:color w:val="auto"/>
              </w:rPr>
            </w:pPr>
            <w:r>
              <w:rPr>
                <w:rFonts w:ascii="Arial" w:cs="Arial" w:eastAsia="Arial" w:hAnsi="Arial"/>
                <w:sz w:val="14"/>
                <w:szCs w:val="14"/>
                <w:b w:val="1"/>
                <w:bCs w:val="1"/>
                <w:color w:val="auto"/>
              </w:rPr>
              <w:t xml:space="preserve">(Income) </w:t>
            </w:r>
            <w:r>
              <w:rPr>
                <w:rFonts w:ascii="Arial" w:cs="Arial" w:eastAsia="Arial" w:hAnsi="Arial"/>
                <w:sz w:val="20"/>
                <w:szCs w:val="20"/>
                <w:b w:val="1"/>
                <w:bCs w:val="1"/>
                <w:color w:val="auto"/>
                <w:vertAlign w:val="superscript"/>
              </w:rPr>
              <w:t>(4)</w:t>
            </w:r>
          </w:p>
        </w:tc>
        <w:tc>
          <w:tcPr>
            <w:tcW w:w="120" w:type="dxa"/>
            <w:vAlign w:val="bottom"/>
          </w:tcPr>
          <w:p>
            <w:pPr>
              <w:spacing w:after="0"/>
              <w:rPr>
                <w:sz w:val="15"/>
                <w:szCs w:val="15"/>
                <w:color w:val="auto"/>
              </w:rPr>
            </w:pPr>
          </w:p>
        </w:tc>
        <w:tc>
          <w:tcPr>
            <w:tcW w:w="740" w:type="dxa"/>
            <w:vAlign w:val="bottom"/>
            <w:gridSpan w:val="4"/>
          </w:tcPr>
          <w:p>
            <w:pPr>
              <w:spacing w:after="0" w:line="175" w:lineRule="exact"/>
              <w:rPr>
                <w:sz w:val="20"/>
                <w:szCs w:val="20"/>
                <w:color w:val="auto"/>
              </w:rPr>
            </w:pPr>
            <w:r>
              <w:rPr>
                <w:rFonts w:ascii="Arial" w:cs="Arial" w:eastAsia="Arial" w:hAnsi="Arial"/>
                <w:sz w:val="14"/>
                <w:szCs w:val="14"/>
                <w:b w:val="1"/>
                <w:bCs w:val="1"/>
                <w:color w:val="auto"/>
              </w:rPr>
              <w:t>EBITDA</w:t>
            </w:r>
            <w:r>
              <w:rPr>
                <w:rFonts w:ascii="Arial" w:cs="Arial" w:eastAsia="Arial" w:hAnsi="Arial"/>
                <w:sz w:val="20"/>
                <w:szCs w:val="20"/>
                <w:b w:val="1"/>
                <w:bCs w:val="1"/>
                <w:color w:val="auto"/>
                <w:vertAlign w:val="superscript"/>
              </w:rPr>
              <w:t>(5)</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7"/>
          </w:tcPr>
          <w:p>
            <w:pPr>
              <w:jc w:val="center"/>
              <w:ind w:right="20"/>
              <w:spacing w:after="0" w:line="175" w:lineRule="exact"/>
              <w:rPr>
                <w:sz w:val="20"/>
                <w:szCs w:val="20"/>
                <w:color w:val="auto"/>
              </w:rPr>
            </w:pPr>
            <w:r>
              <w:rPr>
                <w:rFonts w:ascii="Arial" w:cs="Arial" w:eastAsia="Arial" w:hAnsi="Arial"/>
                <w:sz w:val="14"/>
                <w:szCs w:val="14"/>
                <w:b w:val="1"/>
                <w:bCs w:val="1"/>
                <w:color w:val="auto"/>
                <w:w w:val="98"/>
              </w:rPr>
              <w:t xml:space="preserve">Investments </w:t>
            </w:r>
            <w:r>
              <w:rPr>
                <w:rFonts w:ascii="Arial" w:cs="Arial" w:eastAsia="Arial" w:hAnsi="Arial"/>
                <w:sz w:val="20"/>
                <w:szCs w:val="20"/>
                <w:b w:val="1"/>
                <w:bCs w:val="1"/>
                <w:color w:val="auto"/>
                <w:w w:val="98"/>
                <w:vertAlign w:val="superscript"/>
              </w:rPr>
              <w:t>(6)</w:t>
            </w:r>
          </w:p>
        </w:tc>
      </w:tr>
      <w:tr>
        <w:trPr>
          <w:trHeight w:val="191"/>
        </w:trPr>
        <w:tc>
          <w:tcPr>
            <w:tcW w:w="20" w:type="dxa"/>
            <w:vAlign w:val="bottom"/>
          </w:tcPr>
          <w:p>
            <w:pPr>
              <w:spacing w:after="0"/>
              <w:rPr>
                <w:sz w:val="16"/>
                <w:szCs w:val="16"/>
                <w:color w:val="auto"/>
              </w:rPr>
            </w:pPr>
          </w:p>
        </w:tc>
        <w:tc>
          <w:tcPr>
            <w:tcW w:w="6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$ 2,660</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745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gridSpan w:val="3"/>
          </w:tcPr>
          <w:p>
            <w:pPr>
              <w:jc w:val="right"/>
              <w:spacing w:after="0" w:line="191" w:lineRule="exact"/>
              <w:rPr>
                <w:sz w:val="20"/>
                <w:szCs w:val="20"/>
                <w:color w:val="auto"/>
              </w:rPr>
            </w:pPr>
            <w:r>
              <w:rPr>
                <w:rFonts w:ascii="Arial" w:cs="Arial" w:eastAsia="Arial" w:hAnsi="Arial"/>
                <w:sz w:val="18"/>
                <w:szCs w:val="18"/>
                <w:b w:val="1"/>
                <w:bCs w:val="1"/>
                <w:color w:val="auto"/>
              </w:rPr>
              <w:t>183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gridSpan w:val="2"/>
          </w:tcPr>
          <w:p>
            <w:pPr>
              <w:jc w:val="right"/>
              <w:ind w:right="40"/>
              <w:spacing w:after="0" w:line="191" w:lineRule="exact"/>
              <w:rPr>
                <w:sz w:val="20"/>
                <w:szCs w:val="20"/>
                <w:color w:val="auto"/>
              </w:rPr>
            </w:pPr>
            <w:r>
              <w:rPr>
                <w:rFonts w:ascii="Arial" w:cs="Arial" w:eastAsia="Arial" w:hAnsi="Arial"/>
                <w:sz w:val="18"/>
                <w:szCs w:val="18"/>
                <w:b w:val="1"/>
                <w:bCs w:val="1"/>
                <w:color w:val="auto"/>
              </w:rPr>
              <w:t>— </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928</w:t>
            </w:r>
          </w:p>
        </w:tc>
        <w:tc>
          <w:tcPr>
            <w:tcW w:w="6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260" w:type="dxa"/>
            <w:vAlign w:val="bottom"/>
            <w:tcBorders>
              <w:top w:val="single" w:sz="8" w:color="auto"/>
            </w:tcBorders>
          </w:tcPr>
          <w:p>
            <w:pPr>
              <w:jc w:val="right"/>
              <w:ind w:right="63"/>
              <w:spacing w:after="0" w:line="191" w:lineRule="exact"/>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257</w:t>
            </w:r>
          </w:p>
        </w:tc>
        <w:tc>
          <w:tcPr>
            <w:tcW w:w="20" w:type="dxa"/>
            <w:vAlign w:val="bottom"/>
          </w:tcPr>
          <w:p>
            <w:pPr>
              <w:spacing w:after="0"/>
              <w:rPr>
                <w:sz w:val="16"/>
                <w:szCs w:val="16"/>
                <w:color w:val="auto"/>
              </w:rPr>
            </w:pPr>
          </w:p>
        </w:tc>
      </w:tr>
      <w:tr>
        <w:trPr>
          <w:trHeight w:val="216"/>
        </w:trPr>
        <w:tc>
          <w:tcPr>
            <w:tcW w:w="6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6,820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1,250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435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1,685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467</w:t>
            </w:r>
          </w:p>
        </w:tc>
      </w:tr>
      <w:tr>
        <w:trPr>
          <w:trHeight w:val="216"/>
        </w:trPr>
        <w:tc>
          <w:tcPr>
            <w:tcW w:w="6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11,856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2,248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672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2,919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514</w:t>
            </w:r>
          </w:p>
        </w:tc>
      </w:tr>
      <w:tr>
        <w:trPr>
          <w:trHeight w:val="216"/>
        </w:trPr>
        <w:tc>
          <w:tcPr>
            <w:tcW w:w="6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13,325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2,184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464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2,648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466</w:t>
            </w:r>
          </w:p>
        </w:tc>
      </w:tr>
      <w:tr>
        <w:trPr>
          <w:trHeight w:val="216"/>
        </w:trPr>
        <w:tc>
          <w:tcPr>
            <w:tcW w:w="6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1,987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498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376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880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441</w:t>
            </w:r>
          </w:p>
        </w:tc>
      </w:tr>
      <w:tr>
        <w:trPr>
          <w:trHeight w:val="221"/>
        </w:trPr>
        <w:tc>
          <w:tcPr>
            <w:tcW w:w="108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(940)</w:t>
            </w:r>
          </w:p>
        </w:tc>
        <w:tc>
          <w:tcPr>
            <w:tcW w:w="14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(351)</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286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(65)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229</w:t>
            </w:r>
          </w:p>
        </w:tc>
      </w:tr>
      <w:tr>
        <w:trPr>
          <w:trHeight w:val="218"/>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6,574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(759)</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227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(532)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(551)</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(1,107)</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680" w:type="dxa"/>
            <w:vAlign w:val="bottom"/>
            <w:gridSpan w:val="3"/>
          </w:tcPr>
          <w:p>
            <w:pPr>
              <w:jc w:val="right"/>
              <w:ind w:right="2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35,708</w:t>
            </w:r>
          </w:p>
        </w:tc>
        <w:tc>
          <w:tcPr>
            <w:tcW w:w="4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4,291</w:t>
            </w:r>
          </w:p>
        </w:tc>
        <w:tc>
          <w:tcPr>
            <w:tcW w:w="180" w:type="dxa"/>
            <w:vAlign w:val="bottom"/>
          </w:tcPr>
          <w:p>
            <w:pPr>
              <w:spacing w:after="0"/>
              <w:rPr>
                <w:sz w:val="19"/>
                <w:szCs w:val="19"/>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2,643</w:t>
            </w:r>
          </w:p>
        </w:tc>
        <w:tc>
          <w:tcPr>
            <w:tcW w:w="80" w:type="dxa"/>
            <w:vAlign w:val="bottom"/>
          </w:tcPr>
          <w:p>
            <w:pPr>
              <w:spacing w:after="0"/>
              <w:rPr>
                <w:sz w:val="19"/>
                <w:szCs w:val="19"/>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5</w:t>
            </w:r>
          </w:p>
        </w:tc>
        <w:tc>
          <w:tcPr>
            <w:tcW w:w="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8,463</w:t>
            </w:r>
          </w:p>
        </w:tc>
        <w:tc>
          <w:tcPr>
            <w:tcW w:w="600" w:type="dxa"/>
            <w:vAlign w:val="bottom"/>
            <w:gridSpan w:val="3"/>
          </w:tcPr>
          <w:p>
            <w:pPr>
              <w:jc w:val="right"/>
              <w:ind w:right="63"/>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2,374</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-5245735</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-4165600</wp:posOffset>
            </wp:positionV>
            <wp:extent cx="699516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-3891280</wp:posOffset>
            </wp:positionV>
            <wp:extent cx="699516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-3616960</wp:posOffset>
            </wp:positionV>
            <wp:extent cx="699516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-3325495</wp:posOffset>
            </wp:positionV>
            <wp:extent cx="699516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-3051175</wp:posOffset>
            </wp:positionV>
            <wp:extent cx="699516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-2776855</wp:posOffset>
            </wp:positionV>
            <wp:extent cx="699516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-1704975</wp:posOffset>
            </wp:positionV>
            <wp:extent cx="699516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-1431290</wp:posOffset>
            </wp:positionV>
            <wp:extent cx="699516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-1156335</wp:posOffset>
            </wp:positionV>
            <wp:extent cx="699516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-864870</wp:posOffset>
            </wp:positionV>
            <wp:extent cx="699516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-590550</wp:posOffset>
            </wp:positionV>
            <wp:extent cx="699516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-316865</wp:posOffset>
            </wp:positionV>
            <wp:extent cx="699516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ectPr>
          <w:pgSz w:w="11900" w:h="16838" w:orient="portrait"/>
          <w:cols w:equalWidth="0" w:num="2">
            <w:col w:w="3040" w:space="500"/>
            <w:col w:w="7420"/>
          </w:cols>
          <w:pgMar w:left="440" w:top="269" w:right="499" w:bottom="1440" w:gutter="0" w:footer="0" w:header="0"/>
        </w:sectPr>
      </w:pPr>
    </w:p>
    <w:bookmarkStart w:id="28" w:name="page29"/>
    <w:bookmarkEnd w:id="28"/>
    <w:tbl>
      <w:tblPr>
        <w:tblLayout w:type="fixed"/>
        <w:tblInd w:w="4"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60" w:type="dxa"/>
            <w:vAlign w:val="bottom"/>
            <w:gridSpan w:val="6"/>
            <w:vMerge w:val="restart"/>
          </w:tcPr>
          <w:p>
            <w:pPr>
              <w:jc w:val="right"/>
              <w:ind w:right="960"/>
              <w:spacing w:after="0"/>
              <w:rPr>
                <w:sz w:val="20"/>
                <w:szCs w:val="20"/>
                <w:color w:val="auto"/>
              </w:rPr>
            </w:pPr>
            <w:r>
              <w:rPr>
                <w:rFonts w:ascii="Arial" w:cs="Arial" w:eastAsia="Arial" w:hAnsi="Arial"/>
                <w:sz w:val="14"/>
                <w:szCs w:val="14"/>
                <w:color w:val="auto"/>
              </w:rPr>
              <w:t>Full Year 2024</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4"/>
          </w:tcPr>
          <w:p>
            <w:pPr>
              <w:ind w:left="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6"/>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spacing w:after="0" w:line="147" w:lineRule="exact"/>
              <w:rPr>
                <w:sz w:val="20"/>
                <w:szCs w:val="20"/>
                <w:color w:val="auto"/>
              </w:rPr>
            </w:pPr>
            <w:r>
              <w:rPr>
                <w:rFonts w:ascii="Arial" w:cs="Arial" w:eastAsia="Arial" w:hAnsi="Arial"/>
                <w:sz w:val="14"/>
                <w:szCs w:val="14"/>
                <w:color w:val="auto"/>
              </w:rPr>
              <w:t>Net Interest</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3"/>
          </w:tcPr>
          <w:p>
            <w:pPr>
              <w:ind w:left="20"/>
              <w:spacing w:after="0" w:line="158" w:lineRule="exact"/>
              <w:rPr>
                <w:sz w:val="20"/>
                <w:szCs w:val="20"/>
                <w:color w:val="auto"/>
              </w:rPr>
            </w:pPr>
            <w:r>
              <w:rPr>
                <w:rFonts w:ascii="Arial" w:cs="Arial" w:eastAsia="Arial" w:hAnsi="Arial"/>
                <w:sz w:val="14"/>
                <w:szCs w:val="14"/>
                <w:color w:val="auto"/>
              </w:rPr>
              <w:t>Income Before</w:t>
            </w:r>
          </w:p>
        </w:tc>
        <w:tc>
          <w:tcPr>
            <w:tcW w:w="160" w:type="dxa"/>
            <w:vAlign w:val="bottom"/>
          </w:tcPr>
          <w:p>
            <w:pPr>
              <w:spacing w:after="0"/>
              <w:rPr>
                <w:sz w:val="13"/>
                <w:szCs w:val="13"/>
                <w:color w:val="auto"/>
              </w:rPr>
            </w:pPr>
          </w:p>
        </w:tc>
        <w:tc>
          <w:tcPr>
            <w:tcW w:w="1240" w:type="dxa"/>
            <w:vAlign w:val="bottom"/>
            <w:gridSpan w:val="3"/>
          </w:tcPr>
          <w:p>
            <w:pPr>
              <w:spacing w:after="0" w:line="158" w:lineRule="exact"/>
              <w:rPr>
                <w:sz w:val="20"/>
                <w:szCs w:val="20"/>
                <w:color w:val="auto"/>
              </w:rPr>
            </w:pPr>
            <w:r>
              <w:rPr>
                <w:rFonts w:ascii="Arial" w:cs="Arial" w:eastAsia="Arial" w:hAnsi="Arial"/>
                <w:sz w:val="14"/>
                <w:szCs w:val="14"/>
                <w:color w:val="auto"/>
              </w:rPr>
              <w:t>Depreciation and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60"/>
              <w:spacing w:after="0" w:line="158" w:lineRule="exact"/>
              <w:rPr>
                <w:sz w:val="20"/>
                <w:szCs w:val="20"/>
                <w:color w:val="auto"/>
              </w:rPr>
            </w:pPr>
            <w:r>
              <w:rPr>
                <w:rFonts w:ascii="Arial" w:cs="Arial" w:eastAsia="Arial" w:hAnsi="Arial"/>
                <w:sz w:val="14"/>
                <w:szCs w:val="14"/>
                <w:color w:val="auto"/>
                <w:w w:val="99"/>
              </w:rPr>
              <w:t>Expense</w:t>
            </w:r>
          </w:p>
        </w:tc>
        <w:tc>
          <w:tcPr>
            <w:tcW w:w="780" w:type="dxa"/>
            <w:vAlign w:val="bottom"/>
            <w:gridSpan w:val="3"/>
          </w:tcPr>
          <w:p>
            <w:pPr>
              <w:jc w:val="right"/>
              <w:ind w:right="160"/>
              <w:spacing w:after="0" w:line="158" w:lineRule="exact"/>
              <w:rPr>
                <w:sz w:val="20"/>
                <w:szCs w:val="20"/>
                <w:color w:val="auto"/>
              </w:rPr>
            </w:pPr>
            <w:r>
              <w:rPr>
                <w:rFonts w:ascii="Arial" w:cs="Arial" w:eastAsia="Arial" w:hAnsi="Arial"/>
                <w:sz w:val="14"/>
                <w:szCs w:val="14"/>
                <w:color w:val="auto"/>
              </w:rPr>
              <w:t>Adjusted</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80"/>
              <w:spacing w:after="0" w:line="158" w:lineRule="exact"/>
              <w:rPr>
                <w:sz w:val="20"/>
                <w:szCs w:val="20"/>
                <w:color w:val="auto"/>
              </w:rPr>
            </w:pPr>
            <w:r>
              <w:rPr>
                <w:rFonts w:ascii="Arial" w:cs="Arial" w:eastAsia="Arial" w:hAnsi="Arial"/>
                <w:sz w:val="14"/>
                <w:szCs w:val="14"/>
                <w:color w:val="auto"/>
              </w:rPr>
              <w:t>Capital</w:t>
            </w:r>
          </w:p>
        </w:tc>
        <w:tc>
          <w:tcPr>
            <w:tcW w:w="0" w:type="dxa"/>
            <w:vAlign w:val="bottom"/>
          </w:tcPr>
          <w:p>
            <w:pPr>
              <w:spacing w:after="0"/>
              <w:rPr>
                <w:sz w:val="1"/>
                <w:szCs w:val="1"/>
                <w:color w:val="auto"/>
              </w:rPr>
            </w:pPr>
          </w:p>
        </w:tc>
      </w:tr>
      <w:tr>
        <w:trPr>
          <w:trHeight w:val="175"/>
        </w:trPr>
        <w:tc>
          <w:tcPr>
            <w:tcW w:w="4100" w:type="dxa"/>
            <w:vAlign w:val="bottom"/>
          </w:tcPr>
          <w:p>
            <w:pPr>
              <w:spacing w:after="0"/>
              <w:rPr>
                <w:sz w:val="15"/>
                <w:szCs w:val="15"/>
                <w:color w:val="auto"/>
              </w:rPr>
            </w:pPr>
          </w:p>
        </w:tc>
        <w:tc>
          <w:tcPr>
            <w:tcW w:w="1020" w:type="dxa"/>
            <w:vAlign w:val="bottom"/>
            <w:gridSpan w:val="4"/>
          </w:tcPr>
          <w:p>
            <w:pPr>
              <w:jc w:val="right"/>
              <w:ind w:right="400"/>
              <w:spacing w:after="0"/>
              <w:rPr>
                <w:sz w:val="20"/>
                <w:szCs w:val="20"/>
                <w:color w:val="auto"/>
              </w:rPr>
            </w:pPr>
            <w:r>
              <w:rPr>
                <w:rFonts w:ascii="Arial" w:cs="Arial" w:eastAsia="Arial" w:hAnsi="Arial"/>
                <w:sz w:val="14"/>
                <w:szCs w:val="14"/>
                <w:color w:val="auto"/>
              </w:rPr>
              <w:t>Revenue</w:t>
            </w:r>
          </w:p>
        </w:tc>
        <w:tc>
          <w:tcPr>
            <w:tcW w:w="20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color w:val="auto"/>
              </w:rPr>
              <w:t>Taxes</w:t>
            </w:r>
          </w:p>
        </w:tc>
        <w:tc>
          <w:tcPr>
            <w:tcW w:w="160" w:type="dxa"/>
            <w:vAlign w:val="bottom"/>
          </w:tcPr>
          <w:p>
            <w:pPr>
              <w:spacing w:after="0"/>
              <w:rPr>
                <w:sz w:val="15"/>
                <w:szCs w:val="15"/>
                <w:color w:val="auto"/>
              </w:rPr>
            </w:pPr>
          </w:p>
        </w:tc>
        <w:tc>
          <w:tcPr>
            <w:tcW w:w="1240" w:type="dxa"/>
            <w:vAlign w:val="bottom"/>
            <w:gridSpan w:val="3"/>
          </w:tcPr>
          <w:p>
            <w:pPr>
              <w:jc w:val="right"/>
              <w:ind w:right="220"/>
              <w:spacing w:after="0" w:line="175" w:lineRule="exact"/>
              <w:rPr>
                <w:sz w:val="20"/>
                <w:szCs w:val="20"/>
                <w:color w:val="auto"/>
              </w:rPr>
            </w:pPr>
            <w:r>
              <w:rPr>
                <w:rFonts w:ascii="Arial" w:cs="Arial" w:eastAsia="Arial" w:hAnsi="Arial"/>
                <w:sz w:val="14"/>
                <w:szCs w:val="14"/>
                <w:color w:val="auto"/>
              </w:rPr>
              <w:t xml:space="preserve">Amortization </w:t>
            </w:r>
            <w:r>
              <w:rPr>
                <w:rFonts w:ascii="Arial" w:cs="Arial" w:eastAsia="Arial" w:hAnsi="Arial"/>
                <w:sz w:val="20"/>
                <w:szCs w:val="20"/>
                <w:color w:val="auto"/>
                <w:vertAlign w:val="superscript"/>
              </w:rPr>
              <w:t>(3)</w:t>
            </w:r>
          </w:p>
        </w:tc>
        <w:tc>
          <w:tcPr>
            <w:tcW w:w="160" w:type="dxa"/>
            <w:vAlign w:val="bottom"/>
          </w:tcPr>
          <w:p>
            <w:pPr>
              <w:spacing w:after="0"/>
              <w:rPr>
                <w:sz w:val="15"/>
                <w:szCs w:val="15"/>
                <w:color w:val="auto"/>
              </w:rPr>
            </w:pPr>
          </w:p>
        </w:tc>
        <w:tc>
          <w:tcPr>
            <w:tcW w:w="1120" w:type="dxa"/>
            <w:vAlign w:val="bottom"/>
            <w:gridSpan w:val="3"/>
          </w:tcPr>
          <w:p>
            <w:pPr>
              <w:spacing w:after="0" w:line="175" w:lineRule="exact"/>
              <w:rPr>
                <w:sz w:val="20"/>
                <w:szCs w:val="20"/>
                <w:color w:val="auto"/>
              </w:rPr>
            </w:pPr>
            <w:r>
              <w:rPr>
                <w:rFonts w:ascii="Arial" w:cs="Arial" w:eastAsia="Arial" w:hAnsi="Arial"/>
                <w:sz w:val="14"/>
                <w:szCs w:val="14"/>
                <w:color w:val="auto"/>
              </w:rPr>
              <w:t xml:space="preserve">(Income) </w:t>
            </w:r>
            <w:r>
              <w:rPr>
                <w:rFonts w:ascii="Arial" w:cs="Arial" w:eastAsia="Arial" w:hAnsi="Arial"/>
                <w:sz w:val="20"/>
                <w:szCs w:val="20"/>
                <w:color w:val="auto"/>
                <w:vertAlign w:val="superscript"/>
              </w:rPr>
              <w:t>(4)</w:t>
            </w:r>
          </w:p>
        </w:tc>
        <w:tc>
          <w:tcPr>
            <w:tcW w:w="780" w:type="dxa"/>
            <w:vAlign w:val="bottom"/>
            <w:gridSpan w:val="3"/>
          </w:tcPr>
          <w:p>
            <w:pPr>
              <w:spacing w:after="0" w:line="175" w:lineRule="exact"/>
              <w:rPr>
                <w:sz w:val="20"/>
                <w:szCs w:val="20"/>
                <w:color w:val="auto"/>
              </w:rPr>
            </w:pPr>
            <w:r>
              <w:rPr>
                <w:rFonts w:ascii="Arial" w:cs="Arial" w:eastAsia="Arial" w:hAnsi="Arial"/>
                <w:sz w:val="14"/>
                <w:szCs w:val="14"/>
                <w:color w:val="auto"/>
              </w:rPr>
              <w:t xml:space="preserve">EBITDA </w:t>
            </w:r>
            <w:r>
              <w:rPr>
                <w:rFonts w:ascii="Arial" w:cs="Arial" w:eastAsia="Arial" w:hAnsi="Arial"/>
                <w:sz w:val="20"/>
                <w:szCs w:val="20"/>
                <w:color w:val="auto"/>
                <w:vertAlign w:val="superscript"/>
              </w:rPr>
              <w:t>(5)</w:t>
            </w:r>
          </w:p>
        </w:tc>
        <w:tc>
          <w:tcPr>
            <w:tcW w:w="280" w:type="dxa"/>
            <w:vAlign w:val="bottom"/>
          </w:tcPr>
          <w:p>
            <w:pPr>
              <w:spacing w:after="0"/>
              <w:rPr>
                <w:sz w:val="15"/>
                <w:szCs w:val="15"/>
                <w:color w:val="auto"/>
              </w:rPr>
            </w:pPr>
          </w:p>
        </w:tc>
        <w:tc>
          <w:tcPr>
            <w:tcW w:w="1000" w:type="dxa"/>
            <w:vAlign w:val="bottom"/>
            <w:gridSpan w:val="3"/>
          </w:tcPr>
          <w:p>
            <w:pPr>
              <w:spacing w:after="0" w:line="175" w:lineRule="exact"/>
              <w:rPr>
                <w:sz w:val="20"/>
                <w:szCs w:val="20"/>
                <w:color w:val="auto"/>
              </w:rPr>
            </w:pPr>
            <w:r>
              <w:rPr>
                <w:rFonts w:ascii="Arial" w:cs="Arial" w:eastAsia="Arial" w:hAnsi="Arial"/>
                <w:sz w:val="14"/>
                <w:szCs w:val="14"/>
                <w:color w:val="auto"/>
              </w:rPr>
              <w:t xml:space="preserve">Investments </w:t>
            </w:r>
            <w:r>
              <w:rPr>
                <w:rFonts w:ascii="Arial" w:cs="Arial" w:eastAsia="Arial" w:hAnsi="Arial"/>
                <w:sz w:val="20"/>
                <w:szCs w:val="20"/>
                <w:color w:val="auto"/>
                <w:vertAlign w:val="superscript"/>
              </w:rPr>
              <w:t>(6)</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2,439</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612</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784</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Reservoir Performance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7,177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1,452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1,841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13,357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Production Systems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11,935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1,900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2,243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Eliminations &amp; other</w:t>
            </w:r>
          </w:p>
        </w:tc>
        <w:tc>
          <w:tcPr>
            <w:tcW w:w="100" w:type="dxa"/>
            <w:vAlign w:val="bottom"/>
          </w:tcPr>
          <w:p>
            <w:pPr>
              <w:spacing w:after="0"/>
              <w:rPr>
                <w:sz w:val="19"/>
                <w:szCs w:val="19"/>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(736)</w:t>
            </w: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Pretax segment operating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Corporate &amp; other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(744)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(566)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Interest income </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line="216" w:lineRule="exact"/>
              <w:rPr>
                <w:sz w:val="20"/>
                <w:szCs w:val="20"/>
                <w:color w:val="auto"/>
              </w:rPr>
            </w:pPr>
            <w:r>
              <w:rPr>
                <w:rFonts w:ascii="Arial" w:cs="Arial" w:eastAsia="Arial" w:hAnsi="Arial"/>
                <w:sz w:val="17"/>
                <w:szCs w:val="17"/>
                <w:color w:val="auto"/>
              </w:rPr>
              <w:t xml:space="preserve">Interest expense </w:t>
            </w:r>
            <w:r>
              <w:rPr>
                <w:rFonts w:ascii="Arial" w:cs="Arial" w:eastAsia="Arial" w:hAnsi="Arial"/>
                <w:sz w:val="25"/>
                <w:szCs w:val="25"/>
                <w:color w:val="auto"/>
                <w:vertAlign w:val="superscript"/>
              </w:rPr>
              <w:t>(1)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Charges &amp; credits </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36,289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5,672</w:t>
            </w:r>
          </w:p>
        </w:tc>
        <w:tc>
          <w:tcPr>
            <w:tcW w:w="20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2,519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9,070</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22"/>
        </w:numPr>
        <w:rPr>
          <w:rFonts w:ascii="Arial" w:cs="Arial" w:eastAsia="Arial" w:hAnsi="Arial"/>
          <w:sz w:val="27"/>
          <w:szCs w:val="27"/>
          <w:color w:val="auto"/>
          <w:vertAlign w:val="superscript"/>
        </w:rPr>
      </w:pPr>
      <w:r>
        <w:rPr>
          <w:rFonts w:ascii="Arial" w:cs="Arial" w:eastAsia="Arial" w:hAnsi="Arial"/>
          <w:sz w:val="18"/>
          <w:szCs w:val="18"/>
          <w:color w:val="auto"/>
        </w:rPr>
        <w:t>Excludes amounts which are included in the segments’ results.</w:t>
      </w:r>
    </w:p>
    <w:p>
      <w:pPr>
        <w:ind w:left="424" w:hanging="424"/>
        <w:spacing w:after="0" w:line="183" w:lineRule="auto"/>
        <w:tabs>
          <w:tab w:leader="none" w:pos="424" w:val="left"/>
        </w:tabs>
        <w:numPr>
          <w:ilvl w:val="0"/>
          <w:numId w:val="22"/>
        </w:numPr>
        <w:rPr>
          <w:rFonts w:ascii="Arial" w:cs="Arial" w:eastAsia="Arial" w:hAnsi="Arial"/>
          <w:sz w:val="23"/>
          <w:szCs w:val="23"/>
          <w:color w:val="auto"/>
          <w:vertAlign w:val="superscript"/>
        </w:rPr>
      </w:pPr>
      <w:r>
        <w:rPr>
          <w:rFonts w:ascii="Arial" w:cs="Arial" w:eastAsia="Arial" w:hAnsi="Arial"/>
          <w:sz w:val="16"/>
          <w:szCs w:val="16"/>
          <w:color w:val="auto"/>
        </w:rPr>
        <w:t>See section entitled “Charges &amp; Credits” for details.</w:t>
      </w:r>
    </w:p>
    <w:p>
      <w:pPr>
        <w:ind w:left="424" w:hanging="424"/>
        <w:spacing w:after="0" w:line="183" w:lineRule="auto"/>
        <w:tabs>
          <w:tab w:leader="none" w:pos="424" w:val="left"/>
        </w:tabs>
        <w:numPr>
          <w:ilvl w:val="0"/>
          <w:numId w:val="22"/>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APS and exploration data costs.</w:t>
      </w:r>
    </w:p>
    <w:p>
      <w:pPr>
        <w:ind w:left="424" w:hanging="424"/>
        <w:spacing w:after="0" w:line="183" w:lineRule="auto"/>
        <w:tabs>
          <w:tab w:leader="none" w:pos="424" w:val="left"/>
        </w:tabs>
        <w:numPr>
          <w:ilvl w:val="0"/>
          <w:numId w:val="22"/>
        </w:numPr>
        <w:rPr>
          <w:rFonts w:ascii="Arial" w:cs="Arial" w:eastAsia="Arial" w:hAnsi="Arial"/>
          <w:sz w:val="23"/>
          <w:szCs w:val="23"/>
          <w:color w:val="auto"/>
          <w:vertAlign w:val="superscript"/>
        </w:rPr>
      </w:pPr>
      <w:r>
        <w:rPr>
          <w:rFonts w:ascii="Arial" w:cs="Arial" w:eastAsia="Arial" w:hAnsi="Arial"/>
          <w:sz w:val="16"/>
          <w:szCs w:val="16"/>
          <w:color w:val="auto"/>
        </w:rPr>
        <w:t>Excludes interest income and interest expense recorded at the corporate level.</w:t>
      </w:r>
    </w:p>
    <w:p>
      <w:pPr>
        <w:ind w:left="424" w:right="320" w:hanging="424"/>
        <w:spacing w:after="0" w:line="187" w:lineRule="auto"/>
        <w:tabs>
          <w:tab w:leader="none" w:pos="424" w:val="left"/>
        </w:tabs>
        <w:numPr>
          <w:ilvl w:val="0"/>
          <w:numId w:val="22"/>
        </w:numPr>
        <w:rPr>
          <w:rFonts w:ascii="Arial" w:cs="Arial" w:eastAsia="Arial" w:hAnsi="Arial"/>
          <w:sz w:val="27"/>
          <w:szCs w:val="27"/>
          <w:color w:val="auto"/>
          <w:vertAlign w:val="superscript"/>
        </w:rPr>
      </w:pPr>
      <w:r>
        <w:rPr>
          <w:rFonts w:ascii="Arial" w:cs="Arial" w:eastAsia="Arial" w:hAnsi="Arial"/>
          <w:sz w:val="18"/>
          <w:szCs w:val="18"/>
          <w:color w:val="auto"/>
        </w:rPr>
        <w:t>Adjusted EBITDA represents income before taxes excluding depreciation and amortization, interest income, interest expense and charges &amp; credits.</w:t>
      </w:r>
    </w:p>
    <w:p>
      <w:pPr>
        <w:spacing w:after="0" w:line="1" w:lineRule="exact"/>
        <w:rPr>
          <w:rFonts w:ascii="Arial" w:cs="Arial" w:eastAsia="Arial" w:hAnsi="Arial"/>
          <w:sz w:val="27"/>
          <w:szCs w:val="27"/>
          <w:color w:val="auto"/>
          <w:vertAlign w:val="superscript"/>
        </w:rPr>
      </w:pPr>
    </w:p>
    <w:p>
      <w:pPr>
        <w:ind w:left="424" w:hanging="424"/>
        <w:spacing w:after="0" w:line="184" w:lineRule="auto"/>
        <w:tabs>
          <w:tab w:leader="none" w:pos="424" w:val="left"/>
        </w:tabs>
        <w:numPr>
          <w:ilvl w:val="0"/>
          <w:numId w:val="22"/>
        </w:numPr>
        <w:rPr>
          <w:rFonts w:ascii="Arial" w:cs="Arial" w:eastAsia="Arial" w:hAnsi="Arial"/>
          <w:sz w:val="25"/>
          <w:szCs w:val="25"/>
          <w:color w:val="auto"/>
          <w:vertAlign w:val="superscript"/>
        </w:rPr>
      </w:pPr>
      <w:r>
        <w:rPr>
          <w:rFonts w:ascii="Arial" w:cs="Arial" w:eastAsia="Arial" w:hAnsi="Arial"/>
          <w:sz w:val="17"/>
          <w:szCs w:val="17"/>
          <w:color w:val="auto"/>
        </w:rPr>
        <w:t>Capital investments includes capital expenditures, APS investments and exploration data costs capitalized.</w:t>
      </w:r>
    </w:p>
    <w:p>
      <w:pPr>
        <w:sectPr>
          <w:pgSz w:w="11900" w:h="16838" w:orient="portrait"/>
          <w:cols w:equalWidth="0" w:num="1">
            <w:col w:w="11024"/>
          </w:cols>
          <w:pgMar w:left="436" w:top="279" w:right="439" w:bottom="1440" w:gutter="0" w:footer="0" w:header="0"/>
        </w:sectPr>
      </w:pPr>
    </w:p>
    <w:bookmarkStart w:id="29" w:name="page30"/>
    <w:bookmarkEnd w:id="29"/>
    <w:p>
      <w:pPr>
        <w:ind w:left="4"/>
        <w:spacing w:after="0"/>
        <w:rPr>
          <w:sz w:val="20"/>
          <w:szCs w:val="20"/>
          <w:color w:val="auto"/>
        </w:rPr>
      </w:pPr>
      <w:r>
        <w:rPr>
          <w:rFonts w:ascii="Arial" w:cs="Arial" w:eastAsia="Arial" w:hAnsi="Arial"/>
          <w:sz w:val="18"/>
          <w:szCs w:val="18"/>
          <w:b w:val="1"/>
          <w:bCs w:val="1"/>
          <w:color w:val="auto"/>
        </w:rPr>
        <w:t>Geographical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
        <w:spacing w:after="0"/>
        <w:rPr>
          <w:sz w:val="20"/>
          <w:szCs w:val="20"/>
          <w:color w:val="auto"/>
        </w:rPr>
      </w:pPr>
      <w:r>
        <w:rPr>
          <w:rFonts w:ascii="Arial" w:cs="Arial" w:eastAsia="Arial" w:hAnsi="Arial"/>
          <w:sz w:val="18"/>
          <w:szCs w:val="18"/>
          <w:color w:val="auto"/>
        </w:rPr>
        <w:t>International</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North America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Eliminations &amp; other</w:t>
      </w:r>
    </w:p>
    <w:p>
      <w:pPr>
        <w:spacing w:after="0" w:line="18" w:lineRule="exact"/>
        <w:rPr>
          <w:sz w:val="20"/>
          <w:szCs w:val="20"/>
          <w:color w:val="auto"/>
        </w:rPr>
      </w:pPr>
    </w:p>
    <w:p>
      <w:pPr>
        <w:ind w:left="4" w:right="1220" w:firstLine="360"/>
        <w:spacing w:after="0" w:line="260" w:lineRule="auto"/>
        <w:rPr>
          <w:sz w:val="20"/>
          <w:szCs w:val="20"/>
          <w:color w:val="auto"/>
        </w:rPr>
      </w:pPr>
      <w:r>
        <w:rPr>
          <w:rFonts w:ascii="Arial" w:cs="Arial" w:eastAsia="Arial" w:hAnsi="Arial"/>
          <w:sz w:val="18"/>
          <w:szCs w:val="18"/>
          <w:color w:val="auto"/>
        </w:rPr>
        <w:t>Pretax segment operating income Corporate &amp; other</w:t>
      </w:r>
    </w:p>
    <w:p>
      <w:pPr>
        <w:ind w:left="4"/>
        <w:spacing w:after="0" w:line="181" w:lineRule="auto"/>
        <w:rPr>
          <w:sz w:val="20"/>
          <w:szCs w:val="20"/>
          <w:color w:val="auto"/>
        </w:rPr>
      </w:pPr>
      <w:r>
        <w:rPr>
          <w:rFonts w:ascii="Arial" w:cs="Arial" w:eastAsia="Arial" w:hAnsi="Arial"/>
          <w:sz w:val="17"/>
          <w:szCs w:val="17"/>
          <w:color w:val="auto"/>
        </w:rPr>
        <w:t xml:space="preserve">Interest income </w:t>
      </w:r>
      <w:r>
        <w:rPr>
          <w:rFonts w:ascii="Arial" w:cs="Arial" w:eastAsia="Arial" w:hAnsi="Arial"/>
          <w:sz w:val="25"/>
          <w:szCs w:val="25"/>
          <w:color w:val="auto"/>
          <w:vertAlign w:val="superscript"/>
        </w:rPr>
        <w:t>(1)</w:t>
      </w:r>
    </w:p>
    <w:p>
      <w:pPr>
        <w:ind w:left="4"/>
        <w:spacing w:after="0" w:line="180" w:lineRule="auto"/>
        <w:rPr>
          <w:sz w:val="20"/>
          <w:szCs w:val="20"/>
          <w:color w:val="auto"/>
        </w:rPr>
      </w:pPr>
      <w:r>
        <w:rPr>
          <w:rFonts w:ascii="Arial" w:cs="Arial" w:eastAsia="Arial" w:hAnsi="Arial"/>
          <w:sz w:val="17"/>
          <w:szCs w:val="17"/>
          <w:color w:val="auto"/>
        </w:rPr>
        <w:t xml:space="preserve">Interest expense </w:t>
      </w:r>
      <w:r>
        <w:rPr>
          <w:rFonts w:ascii="Arial" w:cs="Arial" w:eastAsia="Arial" w:hAnsi="Arial"/>
          <w:sz w:val="25"/>
          <w:szCs w:val="25"/>
          <w:color w:val="auto"/>
          <w:vertAlign w:val="superscript"/>
        </w:rPr>
        <w:t>(1)</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26"/>
          <w:szCs w:val="26"/>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
        <w:spacing w:after="0"/>
        <w:rPr>
          <w:sz w:val="20"/>
          <w:szCs w:val="20"/>
          <w:color w:val="auto"/>
        </w:rPr>
      </w:pPr>
      <w:r>
        <w:rPr>
          <w:rFonts w:ascii="Arial" w:cs="Arial" w:eastAsia="Arial" w:hAnsi="Arial"/>
          <w:sz w:val="18"/>
          <w:szCs w:val="18"/>
          <w:color w:val="auto"/>
        </w:rPr>
        <w:t>International</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North America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Eliminations &amp; other</w:t>
      </w:r>
    </w:p>
    <w:p>
      <w:pPr>
        <w:spacing w:after="0" w:line="18" w:lineRule="exact"/>
        <w:rPr>
          <w:sz w:val="20"/>
          <w:szCs w:val="20"/>
          <w:color w:val="auto"/>
        </w:rPr>
      </w:pPr>
    </w:p>
    <w:p>
      <w:pPr>
        <w:ind w:left="4" w:right="1220" w:firstLine="360"/>
        <w:spacing w:after="0" w:line="260" w:lineRule="auto"/>
        <w:rPr>
          <w:sz w:val="20"/>
          <w:szCs w:val="20"/>
          <w:color w:val="auto"/>
        </w:rPr>
      </w:pPr>
      <w:r>
        <w:rPr>
          <w:rFonts w:ascii="Arial" w:cs="Arial" w:eastAsia="Arial" w:hAnsi="Arial"/>
          <w:sz w:val="18"/>
          <w:szCs w:val="18"/>
          <w:color w:val="auto"/>
        </w:rPr>
        <w:t>Pretax segment operating income Corporate &amp; other</w:t>
      </w:r>
    </w:p>
    <w:p>
      <w:pPr>
        <w:ind w:left="4"/>
        <w:spacing w:after="0" w:line="181" w:lineRule="auto"/>
        <w:rPr>
          <w:sz w:val="20"/>
          <w:szCs w:val="20"/>
          <w:color w:val="auto"/>
        </w:rPr>
      </w:pPr>
      <w:r>
        <w:rPr>
          <w:rFonts w:ascii="Arial" w:cs="Arial" w:eastAsia="Arial" w:hAnsi="Arial"/>
          <w:sz w:val="17"/>
          <w:szCs w:val="17"/>
          <w:color w:val="auto"/>
        </w:rPr>
        <w:t xml:space="preserve">Interest income </w:t>
      </w:r>
      <w:r>
        <w:rPr>
          <w:rFonts w:ascii="Arial" w:cs="Arial" w:eastAsia="Arial" w:hAnsi="Arial"/>
          <w:sz w:val="25"/>
          <w:szCs w:val="25"/>
          <w:color w:val="auto"/>
          <w:vertAlign w:val="superscript"/>
        </w:rPr>
        <w:t>(1)</w:t>
      </w:r>
    </w:p>
    <w:p>
      <w:pPr>
        <w:ind w:left="4"/>
        <w:spacing w:after="0" w:line="180" w:lineRule="auto"/>
        <w:rPr>
          <w:sz w:val="20"/>
          <w:szCs w:val="20"/>
          <w:color w:val="auto"/>
        </w:rPr>
      </w:pPr>
      <w:r>
        <w:rPr>
          <w:rFonts w:ascii="Arial" w:cs="Arial" w:eastAsia="Arial" w:hAnsi="Arial"/>
          <w:sz w:val="17"/>
          <w:szCs w:val="17"/>
          <w:color w:val="auto"/>
        </w:rPr>
        <w:t xml:space="preserve">Interest expense </w:t>
      </w:r>
      <w:r>
        <w:rPr>
          <w:rFonts w:ascii="Arial" w:cs="Arial" w:eastAsia="Arial" w:hAnsi="Arial"/>
          <w:sz w:val="25"/>
          <w:szCs w:val="25"/>
          <w:color w:val="auto"/>
          <w:vertAlign w:val="superscript"/>
        </w:rPr>
        <w:t>(1)</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26"/>
          <w:szCs w:val="26"/>
          <w:color w:val="auto"/>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Arial" w:cs="Arial" w:eastAsia="Arial" w:hAnsi="Arial"/>
          <w:sz w:val="14"/>
          <w:szCs w:val="14"/>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-473075</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80"/>
        <w:spacing w:after="0"/>
        <w:rPr>
          <w:sz w:val="20"/>
          <w:szCs w:val="20"/>
          <w:color w:val="auto"/>
        </w:rPr>
      </w:pPr>
      <w:r>
        <w:rPr>
          <w:rFonts w:ascii="Arial" w:cs="Arial" w:eastAsia="Arial" w:hAnsi="Arial"/>
          <w:sz w:val="14"/>
          <w:szCs w:val="14"/>
          <w:b w:val="1"/>
          <w:bCs w:val="1"/>
          <w:color w:val="auto"/>
        </w:rPr>
        <w:t>Full Year 2025</w:t>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center"/>
              <w:ind w:right="260"/>
              <w:spacing w:after="0" w:line="147" w:lineRule="exact"/>
              <w:rPr>
                <w:sz w:val="20"/>
                <w:szCs w:val="20"/>
                <w:color w:val="auto"/>
              </w:rPr>
            </w:pPr>
            <w:r>
              <w:rPr>
                <w:rFonts w:ascii="Arial" w:cs="Arial" w:eastAsia="Arial" w:hAnsi="Arial"/>
                <w:sz w:val="14"/>
                <w:szCs w:val="14"/>
                <w:b w:val="1"/>
                <w:bCs w:val="1"/>
                <w:color w:val="auto"/>
              </w:rPr>
              <w:t>Net Interest</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center"/>
              <w:ind w:right="380"/>
              <w:spacing w:after="0" w:line="158" w:lineRule="exact"/>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3"/>
                <w:szCs w:val="13"/>
                <w:color w:val="auto"/>
              </w:rPr>
            </w:pPr>
          </w:p>
        </w:tc>
        <w:tc>
          <w:tcPr>
            <w:tcW w:w="13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Depreciation and</w:t>
            </w:r>
          </w:p>
        </w:tc>
        <w:tc>
          <w:tcPr>
            <w:tcW w:w="180" w:type="dxa"/>
            <w:vAlign w:val="bottom"/>
          </w:tcPr>
          <w:p>
            <w:pPr>
              <w:spacing w:after="0"/>
              <w:rPr>
                <w:sz w:val="13"/>
                <w:szCs w:val="13"/>
                <w:color w:val="auto"/>
              </w:rPr>
            </w:pPr>
          </w:p>
        </w:tc>
        <w:tc>
          <w:tcPr>
            <w:tcW w:w="106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rPr>
              <w:t>Expense</w:t>
            </w:r>
          </w:p>
        </w:tc>
        <w:tc>
          <w:tcPr>
            <w:tcW w:w="180" w:type="dxa"/>
            <w:vAlign w:val="bottom"/>
          </w:tcPr>
          <w:p>
            <w:pPr>
              <w:spacing w:after="0"/>
              <w:rPr>
                <w:sz w:val="13"/>
                <w:szCs w:val="13"/>
                <w:color w:val="auto"/>
              </w:rPr>
            </w:pPr>
          </w:p>
        </w:tc>
        <w:tc>
          <w:tcPr>
            <w:tcW w:w="78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Revenue</w:t>
            </w:r>
          </w:p>
        </w:tc>
        <w:tc>
          <w:tcPr>
            <w:tcW w:w="380" w:type="dxa"/>
            <w:vAlign w:val="bottom"/>
          </w:tcPr>
          <w:p>
            <w:pPr>
              <w:spacing w:after="0"/>
              <w:rPr>
                <w:sz w:val="15"/>
                <w:szCs w:val="15"/>
                <w:color w:val="auto"/>
              </w:rPr>
            </w:pPr>
          </w:p>
        </w:tc>
        <w:tc>
          <w:tcPr>
            <w:tcW w:w="11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Before Taxes</w:t>
            </w:r>
          </w:p>
        </w:tc>
        <w:tc>
          <w:tcPr>
            <w:tcW w:w="200" w:type="dxa"/>
            <w:vAlign w:val="bottom"/>
          </w:tcPr>
          <w:p>
            <w:pPr>
              <w:spacing w:after="0"/>
              <w:rPr>
                <w:sz w:val="15"/>
                <w:szCs w:val="15"/>
                <w:color w:val="auto"/>
              </w:rPr>
            </w:pPr>
          </w:p>
        </w:tc>
        <w:tc>
          <w:tcPr>
            <w:tcW w:w="1380" w:type="dxa"/>
            <w:vAlign w:val="bottom"/>
            <w:gridSpan w:val="3"/>
          </w:tcPr>
          <w:p>
            <w:pPr>
              <w:jc w:val="center"/>
              <w:ind w:right="200"/>
              <w:spacing w:after="0" w:line="175" w:lineRule="exact"/>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20"/>
                <w:szCs w:val="20"/>
                <w:b w:val="1"/>
                <w:bCs w:val="1"/>
                <w:color w:val="auto"/>
                <w:vertAlign w:val="superscript"/>
              </w:rPr>
              <w:t>(3)</w:t>
            </w:r>
          </w:p>
        </w:tc>
        <w:tc>
          <w:tcPr>
            <w:tcW w:w="180" w:type="dxa"/>
            <w:vAlign w:val="bottom"/>
          </w:tcPr>
          <w:p>
            <w:pPr>
              <w:spacing w:after="0"/>
              <w:rPr>
                <w:sz w:val="15"/>
                <w:szCs w:val="15"/>
                <w:color w:val="auto"/>
              </w:rPr>
            </w:pPr>
          </w:p>
        </w:tc>
        <w:tc>
          <w:tcPr>
            <w:tcW w:w="1060" w:type="dxa"/>
            <w:vAlign w:val="bottom"/>
            <w:gridSpan w:val="3"/>
          </w:tcPr>
          <w:p>
            <w:pPr>
              <w:jc w:val="center"/>
              <w:ind w:right="240"/>
              <w:spacing w:after="0" w:line="175" w:lineRule="exact"/>
              <w:rPr>
                <w:sz w:val="20"/>
                <w:szCs w:val="20"/>
                <w:color w:val="auto"/>
              </w:rPr>
            </w:pPr>
            <w:r>
              <w:rPr>
                <w:rFonts w:ascii="Arial" w:cs="Arial" w:eastAsia="Arial" w:hAnsi="Arial"/>
                <w:sz w:val="14"/>
                <w:szCs w:val="14"/>
                <w:b w:val="1"/>
                <w:bCs w:val="1"/>
                <w:color w:val="auto"/>
                <w:w w:val="99"/>
              </w:rPr>
              <w:t xml:space="preserve">(Income) </w:t>
            </w:r>
            <w:r>
              <w:rPr>
                <w:rFonts w:ascii="Arial" w:cs="Arial" w:eastAsia="Arial" w:hAnsi="Arial"/>
                <w:sz w:val="20"/>
                <w:szCs w:val="20"/>
                <w:b w:val="1"/>
                <w:bCs w:val="1"/>
                <w:color w:val="auto"/>
                <w:w w:val="99"/>
                <w:vertAlign w:val="superscript"/>
              </w:rPr>
              <w:t>(4)</w:t>
            </w:r>
          </w:p>
        </w:tc>
        <w:tc>
          <w:tcPr>
            <w:tcW w:w="180" w:type="dxa"/>
            <w:vAlign w:val="bottom"/>
          </w:tcPr>
          <w:p>
            <w:pPr>
              <w:spacing w:after="0"/>
              <w:rPr>
                <w:sz w:val="15"/>
                <w:szCs w:val="15"/>
                <w:color w:val="auto"/>
              </w:rPr>
            </w:pPr>
          </w:p>
        </w:tc>
        <w:tc>
          <w:tcPr>
            <w:tcW w:w="780" w:type="dxa"/>
            <w:vAlign w:val="bottom"/>
            <w:gridSpan w:val="3"/>
          </w:tcPr>
          <w:p>
            <w:pPr>
              <w:ind w:left="20"/>
              <w:spacing w:after="0" w:line="175" w:lineRule="exact"/>
              <w:rPr>
                <w:sz w:val="20"/>
                <w:szCs w:val="20"/>
                <w:color w:val="auto"/>
              </w:rPr>
            </w:pPr>
            <w:r>
              <w:rPr>
                <w:rFonts w:ascii="Arial" w:cs="Arial" w:eastAsia="Arial" w:hAnsi="Arial"/>
                <w:sz w:val="14"/>
                <w:szCs w:val="14"/>
                <w:b w:val="1"/>
                <w:bCs w:val="1"/>
                <w:color w:val="auto"/>
              </w:rPr>
              <w:t xml:space="preserve">EBITDA </w:t>
            </w:r>
            <w:r>
              <w:rPr>
                <w:rFonts w:ascii="Arial" w:cs="Arial" w:eastAsia="Arial" w:hAnsi="Arial"/>
                <w:sz w:val="20"/>
                <w:szCs w:val="20"/>
                <w:b w:val="1"/>
                <w:bCs w:val="1"/>
                <w:color w:val="auto"/>
                <w:vertAlign w:val="superscript"/>
              </w:rPr>
              <w:t>(5)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5"/>
              </w:rPr>
              <w:t>$27,942</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5,428</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1,580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— </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7,008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7,515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505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1,731</w:t>
            </w:r>
          </w:p>
        </w:tc>
        <w:tc>
          <w:tcPr>
            <w:tcW w:w="0" w:type="dxa"/>
            <w:vAlign w:val="bottom"/>
          </w:tcPr>
          <w:p>
            <w:pPr>
              <w:spacing w:after="0"/>
              <w:rPr>
                <w:sz w:val="1"/>
                <w:szCs w:val="1"/>
                <w:color w:val="auto"/>
              </w:rPr>
            </w:pPr>
          </w:p>
        </w:tc>
      </w:tr>
      <w:tr>
        <w:trPr>
          <w:trHeight w:val="221"/>
        </w:trPr>
        <w:tc>
          <w:tcPr>
            <w:tcW w:w="6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251</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(73)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6,574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(759)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(551)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(1,107)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gridSpan w:val="3"/>
          </w:tcPr>
          <w:p>
            <w:pPr>
              <w:jc w:val="right"/>
              <w:ind w:right="2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35,708</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4,291</w:t>
            </w:r>
          </w:p>
        </w:tc>
        <w:tc>
          <w:tcPr>
            <w:tcW w:w="22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2,643</w:t>
            </w:r>
          </w:p>
        </w:tc>
        <w:tc>
          <w:tcPr>
            <w:tcW w:w="5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w:t>
            </w:r>
          </w:p>
        </w:tc>
        <w:tc>
          <w:tcPr>
            <w:tcW w:w="3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vMerge w:val="restart"/>
          </w:tcPr>
          <w:p>
            <w:pPr>
              <w:ind w:left="100"/>
              <w:spacing w:after="0"/>
              <w:rPr>
                <w:sz w:val="20"/>
                <w:szCs w:val="20"/>
                <w:color w:val="auto"/>
              </w:rPr>
            </w:pPr>
            <w:r>
              <w:rPr>
                <w:rFonts w:ascii="Arial" w:cs="Arial" w:eastAsia="Arial" w:hAnsi="Arial"/>
                <w:sz w:val="14"/>
                <w:szCs w:val="14"/>
                <w:color w:val="auto"/>
              </w:rPr>
              <w:t>Full Year 2024</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6"/>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240"/>
              <w:spacing w:after="0" w:line="147" w:lineRule="exact"/>
              <w:rPr>
                <w:sz w:val="20"/>
                <w:szCs w:val="20"/>
                <w:color w:val="auto"/>
              </w:rPr>
            </w:pPr>
            <w:r>
              <w:rPr>
                <w:rFonts w:ascii="Arial" w:cs="Arial" w:eastAsia="Arial" w:hAnsi="Arial"/>
                <w:sz w:val="14"/>
                <w:szCs w:val="14"/>
                <w:color w:val="auto"/>
              </w:rPr>
              <w:t>Net Interest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center"/>
              <w:ind w:right="400"/>
              <w:spacing w:after="0" w:line="158" w:lineRule="exact"/>
              <w:rPr>
                <w:sz w:val="20"/>
                <w:szCs w:val="20"/>
                <w:color w:val="auto"/>
              </w:rPr>
            </w:pPr>
            <w:r>
              <w:rPr>
                <w:rFonts w:ascii="Arial" w:cs="Arial" w:eastAsia="Arial" w:hAnsi="Arial"/>
                <w:sz w:val="14"/>
                <w:szCs w:val="14"/>
                <w:color w:val="auto"/>
              </w:rPr>
              <w:t>Income</w:t>
            </w:r>
          </w:p>
        </w:tc>
        <w:tc>
          <w:tcPr>
            <w:tcW w:w="200" w:type="dxa"/>
            <w:vAlign w:val="bottom"/>
          </w:tcPr>
          <w:p>
            <w:pPr>
              <w:spacing w:after="0"/>
              <w:rPr>
                <w:sz w:val="13"/>
                <w:szCs w:val="13"/>
                <w:color w:val="auto"/>
              </w:rPr>
            </w:pPr>
          </w:p>
        </w:tc>
        <w:tc>
          <w:tcPr>
            <w:tcW w:w="1380" w:type="dxa"/>
            <w:vAlign w:val="bottom"/>
            <w:gridSpan w:val="3"/>
          </w:tcPr>
          <w:p>
            <w:pPr>
              <w:jc w:val="center"/>
              <w:ind w:right="200"/>
              <w:spacing w:after="0" w:line="158" w:lineRule="exact"/>
              <w:rPr>
                <w:sz w:val="20"/>
                <w:szCs w:val="20"/>
                <w:color w:val="auto"/>
              </w:rPr>
            </w:pPr>
            <w:r>
              <w:rPr>
                <w:rFonts w:ascii="Arial" w:cs="Arial" w:eastAsia="Arial" w:hAnsi="Arial"/>
                <w:sz w:val="14"/>
                <w:szCs w:val="14"/>
                <w:color w:val="auto"/>
              </w:rPr>
              <w:t>Depreciation and</w:t>
            </w:r>
          </w:p>
        </w:tc>
        <w:tc>
          <w:tcPr>
            <w:tcW w:w="180" w:type="dxa"/>
            <w:vAlign w:val="bottom"/>
          </w:tcPr>
          <w:p>
            <w:pPr>
              <w:spacing w:after="0"/>
              <w:rPr>
                <w:sz w:val="13"/>
                <w:szCs w:val="13"/>
                <w:color w:val="auto"/>
              </w:rPr>
            </w:pPr>
          </w:p>
        </w:tc>
        <w:tc>
          <w:tcPr>
            <w:tcW w:w="1060" w:type="dxa"/>
            <w:vAlign w:val="bottom"/>
            <w:gridSpan w:val="3"/>
          </w:tcPr>
          <w:p>
            <w:pPr>
              <w:jc w:val="center"/>
              <w:ind w:right="260"/>
              <w:spacing w:after="0" w:line="158" w:lineRule="exact"/>
              <w:rPr>
                <w:sz w:val="20"/>
                <w:szCs w:val="20"/>
                <w:color w:val="auto"/>
              </w:rPr>
            </w:pPr>
            <w:r>
              <w:rPr>
                <w:rFonts w:ascii="Arial" w:cs="Arial" w:eastAsia="Arial" w:hAnsi="Arial"/>
                <w:sz w:val="14"/>
                <w:szCs w:val="14"/>
                <w:color w:val="auto"/>
              </w:rPr>
              <w:t>Expense</w:t>
            </w:r>
          </w:p>
        </w:tc>
        <w:tc>
          <w:tcPr>
            <w:tcW w:w="180" w:type="dxa"/>
            <w:vAlign w:val="bottom"/>
          </w:tcPr>
          <w:p>
            <w:pPr>
              <w:spacing w:after="0"/>
              <w:rPr>
                <w:sz w:val="13"/>
                <w:szCs w:val="13"/>
                <w:color w:val="auto"/>
              </w:rPr>
            </w:pPr>
          </w:p>
        </w:tc>
        <w:tc>
          <w:tcPr>
            <w:tcW w:w="780" w:type="dxa"/>
            <w:vAlign w:val="bottom"/>
            <w:gridSpan w:val="3"/>
          </w:tcPr>
          <w:p>
            <w:pPr>
              <w:jc w:val="center"/>
              <w:ind w:right="60"/>
              <w:spacing w:after="0" w:line="158" w:lineRule="exact"/>
              <w:rPr>
                <w:sz w:val="20"/>
                <w:szCs w:val="20"/>
                <w:color w:val="auto"/>
              </w:rPr>
            </w:pPr>
            <w:r>
              <w:rPr>
                <w:rFonts w:ascii="Arial" w:cs="Arial" w:eastAsia="Arial" w:hAnsi="Arial"/>
                <w:sz w:val="14"/>
                <w:szCs w:val="14"/>
                <w:color w:val="auto"/>
              </w:rPr>
              <w:t>Adjusted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Revenue</w:t>
            </w:r>
          </w:p>
        </w:tc>
        <w:tc>
          <w:tcPr>
            <w:tcW w:w="380" w:type="dxa"/>
            <w:vAlign w:val="bottom"/>
          </w:tcPr>
          <w:p>
            <w:pPr>
              <w:spacing w:after="0"/>
              <w:rPr>
                <w:sz w:val="15"/>
                <w:szCs w:val="15"/>
                <w:color w:val="auto"/>
              </w:rPr>
            </w:pPr>
          </w:p>
        </w:tc>
        <w:tc>
          <w:tcPr>
            <w:tcW w:w="1140" w:type="dxa"/>
            <w:vAlign w:val="bottom"/>
            <w:gridSpan w:val="4"/>
          </w:tcPr>
          <w:p>
            <w:pPr>
              <w:jc w:val="center"/>
              <w:ind w:right="260"/>
              <w:spacing w:after="0"/>
              <w:rPr>
                <w:sz w:val="20"/>
                <w:szCs w:val="20"/>
                <w:color w:val="auto"/>
              </w:rPr>
            </w:pPr>
            <w:r>
              <w:rPr>
                <w:rFonts w:ascii="Arial" w:cs="Arial" w:eastAsia="Arial" w:hAnsi="Arial"/>
                <w:sz w:val="14"/>
                <w:szCs w:val="14"/>
                <w:color w:val="auto"/>
              </w:rPr>
              <w:t>Before Taxes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00"/>
              <w:spacing w:after="0" w:line="175" w:lineRule="exact"/>
              <w:rPr>
                <w:sz w:val="20"/>
                <w:szCs w:val="20"/>
                <w:color w:val="auto"/>
              </w:rPr>
            </w:pPr>
            <w:r>
              <w:rPr>
                <w:rFonts w:ascii="Arial" w:cs="Arial" w:eastAsia="Arial" w:hAnsi="Arial"/>
                <w:sz w:val="14"/>
                <w:szCs w:val="14"/>
                <w:color w:val="auto"/>
                <w:w w:val="99"/>
              </w:rPr>
              <w:t xml:space="preserve">Amortization </w:t>
            </w:r>
            <w:r>
              <w:rPr>
                <w:rFonts w:ascii="Arial" w:cs="Arial" w:eastAsia="Arial" w:hAnsi="Arial"/>
                <w:sz w:val="20"/>
                <w:szCs w:val="20"/>
                <w:color w:val="auto"/>
                <w:w w:val="99"/>
                <w:vertAlign w:val="superscript"/>
              </w:rPr>
              <w:t>(3)</w:t>
            </w:r>
          </w:p>
        </w:tc>
        <w:tc>
          <w:tcPr>
            <w:tcW w:w="180" w:type="dxa"/>
            <w:vAlign w:val="bottom"/>
          </w:tcPr>
          <w:p>
            <w:pPr>
              <w:spacing w:after="0"/>
              <w:rPr>
                <w:sz w:val="15"/>
                <w:szCs w:val="15"/>
                <w:color w:val="auto"/>
              </w:rPr>
            </w:pPr>
          </w:p>
        </w:tc>
        <w:tc>
          <w:tcPr>
            <w:tcW w:w="1060" w:type="dxa"/>
            <w:vAlign w:val="bottom"/>
            <w:gridSpan w:val="3"/>
          </w:tcPr>
          <w:p>
            <w:pPr>
              <w:jc w:val="center"/>
              <w:ind w:right="240"/>
              <w:spacing w:after="0" w:line="175" w:lineRule="exact"/>
              <w:rPr>
                <w:sz w:val="20"/>
                <w:szCs w:val="20"/>
                <w:color w:val="auto"/>
              </w:rPr>
            </w:pPr>
            <w:r>
              <w:rPr>
                <w:rFonts w:ascii="Arial" w:cs="Arial" w:eastAsia="Arial" w:hAnsi="Arial"/>
                <w:sz w:val="14"/>
                <w:szCs w:val="14"/>
                <w:color w:val="auto"/>
                <w:w w:val="98"/>
              </w:rPr>
              <w:t xml:space="preserve">(Income) </w:t>
            </w:r>
            <w:r>
              <w:rPr>
                <w:rFonts w:ascii="Arial" w:cs="Arial" w:eastAsia="Arial" w:hAnsi="Arial"/>
                <w:sz w:val="20"/>
                <w:szCs w:val="20"/>
                <w:color w:val="auto"/>
                <w:w w:val="98"/>
                <w:vertAlign w:val="superscript"/>
              </w:rPr>
              <w:t>(4)</w:t>
            </w:r>
          </w:p>
        </w:tc>
        <w:tc>
          <w:tcPr>
            <w:tcW w:w="180" w:type="dxa"/>
            <w:vAlign w:val="bottom"/>
          </w:tcPr>
          <w:p>
            <w:pPr>
              <w:spacing w:after="0"/>
              <w:rPr>
                <w:sz w:val="15"/>
                <w:szCs w:val="15"/>
                <w:color w:val="auto"/>
              </w:rPr>
            </w:pPr>
          </w:p>
        </w:tc>
        <w:tc>
          <w:tcPr>
            <w:tcW w:w="780" w:type="dxa"/>
            <w:vAlign w:val="bottom"/>
            <w:gridSpan w:val="3"/>
          </w:tcPr>
          <w:p>
            <w:pPr>
              <w:ind w:left="20"/>
              <w:spacing w:after="0" w:line="175" w:lineRule="exact"/>
              <w:rPr>
                <w:sz w:val="20"/>
                <w:szCs w:val="20"/>
                <w:color w:val="auto"/>
              </w:rPr>
            </w:pPr>
            <w:r>
              <w:rPr>
                <w:rFonts w:ascii="Arial" w:cs="Arial" w:eastAsia="Arial" w:hAnsi="Arial"/>
                <w:sz w:val="14"/>
                <w:szCs w:val="14"/>
                <w:color w:val="auto"/>
              </w:rPr>
              <w:t xml:space="preserve">EBITDA </w:t>
            </w:r>
            <w:r>
              <w:rPr>
                <w:rFonts w:ascii="Arial" w:cs="Arial" w:eastAsia="Arial" w:hAnsi="Arial"/>
                <w:sz w:val="20"/>
                <w:szCs w:val="20"/>
                <w:color w:val="auto"/>
                <w:vertAlign w:val="superscript"/>
              </w:rPr>
              <w:t>(5)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w w:val="95"/>
              </w:rPr>
              <w:t>$29,415</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6,291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1,648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39)</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7,900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6,680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445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21"/>
        </w:trPr>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194</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(744)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(541)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36,289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5,672</w:t>
            </w:r>
          </w:p>
        </w:tc>
        <w:tc>
          <w:tcPr>
            <w:tcW w:w="22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2,519</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9,070</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-3164205</wp:posOffset>
            </wp:positionH>
            <wp:positionV relativeFrom="paragraph">
              <wp:posOffset>-3256915</wp:posOffset>
            </wp:positionV>
            <wp:extent cx="699516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-2982595</wp:posOffset>
            </wp:positionV>
            <wp:extent cx="699516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-2691130</wp:posOffset>
            </wp:positionV>
            <wp:extent cx="699516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-2416810</wp:posOffset>
            </wp:positionV>
            <wp:extent cx="699516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-2125345</wp:posOffset>
            </wp:positionV>
            <wp:extent cx="699516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-1294130</wp:posOffset>
            </wp:positionV>
            <wp:extent cx="699516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-1019175</wp:posOffset>
            </wp:positionV>
            <wp:extent cx="699516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-727710</wp:posOffset>
            </wp:positionV>
            <wp:extent cx="699516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-453390</wp:posOffset>
            </wp:positionV>
            <wp:extent cx="699516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-161925</wp:posOffset>
            </wp:positionV>
            <wp:extent cx="699516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4264" w:space="720"/>
            <w:col w:w="5980"/>
          </w:cols>
          <w:pgMar w:left="436" w:top="269" w:right="499" w:bottom="1440" w:gutter="0" w:footer="0" w:header="0"/>
        </w:sectPr>
      </w:pPr>
    </w:p>
    <w:p>
      <w:pPr>
        <w:ind w:left="424" w:hanging="424"/>
        <w:spacing w:after="0"/>
        <w:tabs>
          <w:tab w:leader="none" w:pos="424" w:val="left"/>
        </w:tabs>
        <w:numPr>
          <w:ilvl w:val="0"/>
          <w:numId w:val="23"/>
        </w:numPr>
        <w:rPr>
          <w:rFonts w:ascii="Arial" w:cs="Arial" w:eastAsia="Arial" w:hAnsi="Arial"/>
          <w:sz w:val="27"/>
          <w:szCs w:val="27"/>
          <w:color w:val="auto"/>
          <w:vertAlign w:val="superscript"/>
        </w:rPr>
      </w:pPr>
      <w:r>
        <w:rPr>
          <w:rFonts w:ascii="Arial" w:cs="Arial" w:eastAsia="Arial" w:hAnsi="Arial"/>
          <w:sz w:val="18"/>
          <w:szCs w:val="18"/>
          <w:color w:val="auto"/>
        </w:rPr>
        <w:t>Excludes amounts which are included in the segments’ results.</w:t>
      </w:r>
    </w:p>
    <w:p>
      <w:pPr>
        <w:ind w:left="424" w:hanging="424"/>
        <w:spacing w:after="0" w:line="183" w:lineRule="auto"/>
        <w:tabs>
          <w:tab w:leader="none" w:pos="424" w:val="left"/>
        </w:tabs>
        <w:numPr>
          <w:ilvl w:val="0"/>
          <w:numId w:val="23"/>
        </w:numPr>
        <w:rPr>
          <w:rFonts w:ascii="Arial" w:cs="Arial" w:eastAsia="Arial" w:hAnsi="Arial"/>
          <w:sz w:val="23"/>
          <w:szCs w:val="23"/>
          <w:color w:val="auto"/>
          <w:vertAlign w:val="superscript"/>
        </w:rPr>
      </w:pPr>
      <w:r>
        <w:rPr>
          <w:rFonts w:ascii="Arial" w:cs="Arial" w:eastAsia="Arial" w:hAnsi="Arial"/>
          <w:sz w:val="16"/>
          <w:szCs w:val="16"/>
          <w:color w:val="auto"/>
        </w:rPr>
        <w:t>See section entitled “Charges &amp; Credits” for details.</w:t>
      </w:r>
    </w:p>
    <w:p>
      <w:pPr>
        <w:ind w:left="424" w:hanging="424"/>
        <w:spacing w:after="0" w:line="183" w:lineRule="auto"/>
        <w:tabs>
          <w:tab w:leader="none" w:pos="424" w:val="left"/>
        </w:tabs>
        <w:numPr>
          <w:ilvl w:val="0"/>
          <w:numId w:val="23"/>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APS and exploration data costs.</w:t>
      </w:r>
    </w:p>
    <w:p>
      <w:pPr>
        <w:ind w:left="424" w:hanging="424"/>
        <w:spacing w:after="0" w:line="183" w:lineRule="auto"/>
        <w:tabs>
          <w:tab w:leader="none" w:pos="424" w:val="left"/>
        </w:tabs>
        <w:numPr>
          <w:ilvl w:val="0"/>
          <w:numId w:val="23"/>
        </w:numPr>
        <w:rPr>
          <w:rFonts w:ascii="Arial" w:cs="Arial" w:eastAsia="Arial" w:hAnsi="Arial"/>
          <w:sz w:val="23"/>
          <w:szCs w:val="23"/>
          <w:color w:val="auto"/>
          <w:vertAlign w:val="superscript"/>
        </w:rPr>
      </w:pPr>
      <w:r>
        <w:rPr>
          <w:rFonts w:ascii="Arial" w:cs="Arial" w:eastAsia="Arial" w:hAnsi="Arial"/>
          <w:sz w:val="16"/>
          <w:szCs w:val="16"/>
          <w:color w:val="auto"/>
        </w:rPr>
        <w:t>Excludes interest income and interest expense recorded at the corporate level.</w:t>
      </w:r>
    </w:p>
    <w:p>
      <w:pPr>
        <w:ind w:left="424" w:right="260" w:hanging="424"/>
        <w:spacing w:after="0" w:line="196" w:lineRule="auto"/>
        <w:tabs>
          <w:tab w:leader="none" w:pos="424" w:val="left"/>
        </w:tabs>
        <w:numPr>
          <w:ilvl w:val="0"/>
          <w:numId w:val="23"/>
        </w:numPr>
        <w:rPr>
          <w:rFonts w:ascii="Arial" w:cs="Arial" w:eastAsia="Arial" w:hAnsi="Arial"/>
          <w:sz w:val="27"/>
          <w:szCs w:val="27"/>
          <w:color w:val="auto"/>
          <w:vertAlign w:val="superscript"/>
        </w:rPr>
      </w:pPr>
      <w:r>
        <w:rPr>
          <w:rFonts w:ascii="Arial" w:cs="Arial" w:eastAsia="Arial" w:hAnsi="Arial"/>
          <w:sz w:val="18"/>
          <w:szCs w:val="18"/>
          <w:color w:val="auto"/>
        </w:rPr>
        <w:t>Adjusted EBITDA represents income before taxes excluding depreciation and amortization, interest income, interest expense and charges &amp; credits.</w:t>
      </w:r>
    </w:p>
    <w:p>
      <w:pPr>
        <w:sectPr>
          <w:pgSz w:w="11900" w:h="16838" w:orient="portrait"/>
          <w:cols w:equalWidth="0" w:num="1">
            <w:col w:w="10964"/>
          </w:cols>
          <w:pgMar w:left="436" w:top="269" w:right="499" w:bottom="1440" w:gutter="0" w:footer="0" w:header="0"/>
          <w:type w:val="continuous"/>
        </w:sectPr>
      </w:pPr>
    </w:p>
    <w:bookmarkStart w:id="30" w:name="page31"/>
    <w:bookmarkEnd w:id="3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Supplementary Information</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Frequently Asked Questions</w:t>
      </w:r>
    </w:p>
    <w:p>
      <w:pPr>
        <w:spacing w:after="0" w:line="117" w:lineRule="exact"/>
        <w:rPr>
          <w:sz w:val="20"/>
          <w:szCs w:val="20"/>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full-year 2026?</w:t>
      </w:r>
    </w:p>
    <w:p>
      <w:pPr>
        <w:spacing w:after="0" w:line="103" w:lineRule="exact"/>
        <w:rPr>
          <w:rFonts w:ascii="Arial" w:cs="Arial" w:eastAsia="Arial" w:hAnsi="Arial"/>
          <w:sz w:val="18"/>
          <w:szCs w:val="18"/>
          <w:b w:val="1"/>
          <w:bCs w:val="1"/>
          <w:color w:val="auto"/>
        </w:rPr>
      </w:pPr>
    </w:p>
    <w:p>
      <w:pPr>
        <w:ind w:left="444" w:right="6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Capital investment (consisting of capex, exploration data costs and APS investments) for the full-year 2026 is expected to be approximately $2.5 billion. Capital investment for the full-year 2025 was $2.4 billion.</w:t>
      </w:r>
    </w:p>
    <w:p>
      <w:pPr>
        <w:spacing w:after="0" w:line="302" w:lineRule="exact"/>
        <w:rPr>
          <w:rFonts w:ascii="Arial" w:cs="Arial" w:eastAsia="Arial" w:hAnsi="Arial"/>
          <w:sz w:val="18"/>
          <w:szCs w:val="18"/>
          <w:b w:val="1"/>
          <w:bCs w:val="1"/>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cash flow from operations and free cash flow for the fourth quarter of 2025?</w:t>
      </w:r>
    </w:p>
    <w:p>
      <w:pPr>
        <w:spacing w:after="0" w:line="103" w:lineRule="exact"/>
        <w:rPr>
          <w:rFonts w:ascii="Arial" w:cs="Arial" w:eastAsia="Arial" w:hAnsi="Arial"/>
          <w:sz w:val="18"/>
          <w:szCs w:val="18"/>
          <w:b w:val="1"/>
          <w:bCs w:val="1"/>
          <w:color w:val="auto"/>
        </w:rPr>
      </w:pPr>
    </w:p>
    <w:p>
      <w:pPr>
        <w:ind w:left="444" w:right="1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Cash flow from operations for the fourth quarter of 2025 was $3.01 billion and free cash flow was $2.29 billion, including $71 million of ChampionX acquisition-related payments.</w:t>
      </w:r>
    </w:p>
    <w:p>
      <w:pPr>
        <w:spacing w:after="0" w:line="302" w:lineRule="exact"/>
        <w:rPr>
          <w:rFonts w:ascii="Arial" w:cs="Arial" w:eastAsia="Arial" w:hAnsi="Arial"/>
          <w:sz w:val="18"/>
          <w:szCs w:val="18"/>
          <w:b w:val="1"/>
          <w:bCs w:val="1"/>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cash flow from operations and free cash flow for the full year of 2025?</w:t>
      </w:r>
    </w:p>
    <w:p>
      <w:pPr>
        <w:spacing w:after="0" w:line="103" w:lineRule="exact"/>
        <w:rPr>
          <w:rFonts w:ascii="Arial" w:cs="Arial" w:eastAsia="Arial" w:hAnsi="Arial"/>
          <w:sz w:val="18"/>
          <w:szCs w:val="18"/>
          <w:b w:val="1"/>
          <w:bCs w:val="1"/>
          <w:color w:val="auto"/>
        </w:rPr>
      </w:pPr>
    </w:p>
    <w:p>
      <w:pPr>
        <w:ind w:left="444" w:right="30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Cash flow from operations for the full year of 2025 was $6.49 billion and free cash flow was $4.11 billion, including $276 million of ChampionX acquisition-related payments.</w:t>
      </w:r>
    </w:p>
    <w:p>
      <w:pPr>
        <w:spacing w:after="0" w:line="302" w:lineRule="exact"/>
        <w:rPr>
          <w:rFonts w:ascii="Arial" w:cs="Arial" w:eastAsia="Arial" w:hAnsi="Arial"/>
          <w:sz w:val="18"/>
          <w:szCs w:val="18"/>
          <w:b w:val="1"/>
          <w:bCs w:val="1"/>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&amp; other income” for the fourth quarter of 2025?</w:t>
      </w:r>
    </w:p>
    <w:p>
      <w:pPr>
        <w:spacing w:after="0" w:line="103" w:lineRule="exact"/>
        <w:rPr>
          <w:rFonts w:ascii="Arial" w:cs="Arial" w:eastAsia="Arial" w:hAnsi="Arial"/>
          <w:sz w:val="18"/>
          <w:szCs w:val="18"/>
          <w:b w:val="1"/>
          <w:bCs w:val="1"/>
          <w:color w:val="auto"/>
        </w:rPr>
      </w:pPr>
    </w:p>
    <w:p>
      <w:pPr>
        <w:ind w:left="444" w:right="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&amp; other income” for the fourth quarter of 2025 was $73 million. This consisted of interest income of $31 million and earnings of equity method investments of $42 million.</w:t>
      </w:r>
    </w:p>
    <w:p>
      <w:pPr>
        <w:spacing w:after="0" w:line="302" w:lineRule="exact"/>
        <w:rPr>
          <w:rFonts w:ascii="Arial" w:cs="Arial" w:eastAsia="Arial" w:hAnsi="Arial"/>
          <w:sz w:val="18"/>
          <w:szCs w:val="18"/>
          <w:b w:val="1"/>
          <w:bCs w:val="1"/>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fourth quarter of 2025?</w:t>
      </w:r>
    </w:p>
    <w:p>
      <w:pPr>
        <w:spacing w:after="0" w:line="103" w:lineRule="exact"/>
        <w:rPr>
          <w:rFonts w:ascii="Arial" w:cs="Arial" w:eastAsia="Arial" w:hAnsi="Arial"/>
          <w:sz w:val="18"/>
          <w:szCs w:val="18"/>
          <w:b w:val="1"/>
          <w:bCs w:val="1"/>
          <w:color w:val="auto"/>
        </w:rPr>
      </w:pPr>
    </w:p>
    <w:p>
      <w:pPr>
        <w:ind w:left="444" w:right="5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income of $31 million for the fourth quarter of 2025 decreased $5 million sequentially. Interest expense of $126 million decreased $16 million sequentially.</w:t>
      </w:r>
    </w:p>
    <w:p>
      <w:pPr>
        <w:spacing w:after="0" w:line="302" w:lineRule="exact"/>
        <w:rPr>
          <w:rFonts w:ascii="Arial" w:cs="Arial" w:eastAsia="Arial" w:hAnsi="Arial"/>
          <w:sz w:val="18"/>
          <w:szCs w:val="18"/>
          <w:b w:val="1"/>
          <w:bCs w:val="1"/>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fourth quarter of 2025?</w:t>
      </w:r>
    </w:p>
    <w:p>
      <w:pPr>
        <w:spacing w:after="0" w:line="103" w:lineRule="exact"/>
        <w:rPr>
          <w:rFonts w:ascii="Arial" w:cs="Arial" w:eastAsia="Arial" w:hAnsi="Arial"/>
          <w:sz w:val="18"/>
          <w:szCs w:val="18"/>
          <w:b w:val="1"/>
          <w:bCs w:val="1"/>
          <w:color w:val="auto"/>
        </w:rPr>
      </w:pPr>
    </w:p>
    <w:p>
      <w:pPr>
        <w:ind w:left="44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ETR for the fourth quarter of 2025, calculated in accordance with GAAP, was 15.2% as compared to 22.6% for the third quarter of 2025. Excluding charges and credits, the ETR for the fourth quarter of 2025 was 19.5% as compared to 19.2% for the third quarter of 2025.</w:t>
      </w:r>
    </w:p>
    <w:p>
      <w:pPr>
        <w:spacing w:after="0" w:line="317" w:lineRule="exact"/>
        <w:rPr>
          <w:rFonts w:ascii="Arial" w:cs="Arial" w:eastAsia="Arial" w:hAnsi="Arial"/>
          <w:sz w:val="18"/>
          <w:szCs w:val="18"/>
          <w:b w:val="1"/>
          <w:bCs w:val="1"/>
          <w:color w:val="auto"/>
        </w:rPr>
      </w:pPr>
    </w:p>
    <w:p>
      <w:pPr>
        <w:ind w:left="424" w:right="260" w:hanging="424"/>
        <w:spacing w:after="0" w:line="281" w:lineRule="auto"/>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were outstanding as of December 31, 2025, and how did this change from the end of the previous quarter?</w:t>
      </w:r>
    </w:p>
    <w:p>
      <w:pPr>
        <w:spacing w:after="0" w:line="28" w:lineRule="exact"/>
        <w:rPr>
          <w:rFonts w:ascii="Arial" w:cs="Arial" w:eastAsia="Arial" w:hAnsi="Arial"/>
          <w:sz w:val="18"/>
          <w:szCs w:val="18"/>
          <w:b w:val="1"/>
          <w:bCs w:val="1"/>
          <w:color w:val="auto"/>
        </w:rPr>
      </w:pPr>
    </w:p>
    <w:p>
      <w:pPr>
        <w:ind w:left="444" w:right="1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There were 1.495 billion shares of common stock outstanding as of December 31, 2025, and 1.494 billion shares outstanding as of September 30, 2025.</w:t>
      </w:r>
    </w:p>
    <w:p>
      <w:pPr>
        <w:spacing w:after="0" w:line="190"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(Stated in milions)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September 30 ,2025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Vesting of restricted stock</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December 31 ,2025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4"/>
          </w:cols>
          <w:pgMar w:left="436" w:top="269" w:right="459" w:bottom="1440" w:gutter="0" w:footer="0" w:header="0"/>
        </w:sectPr>
      </w:pPr>
    </w:p>
    <w:bookmarkStart w:id="31" w:name="page32"/>
    <w:bookmarkEnd w:id="31"/>
    <w:p>
      <w:pPr>
        <w:jc w:val="both"/>
        <w:ind w:left="424" w:hanging="424"/>
        <w:spacing w:after="0" w:line="257" w:lineRule="auto"/>
        <w:tabs>
          <w:tab w:leader="none" w:pos="42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was the weighted average number of shares outstanding during the fourth quarter of 2025 and third quarter of 2025? How does this reconcile to the average number of shares outstanding, assuming dilution, used in the calculation of diluted earnings per share?</w:t>
      </w:r>
    </w:p>
    <w:p>
      <w:pPr>
        <w:spacing w:after="0" w:line="50" w:lineRule="exact"/>
        <w:rPr>
          <w:rFonts w:ascii="Arial" w:cs="Arial" w:eastAsia="Arial" w:hAnsi="Arial"/>
          <w:sz w:val="18"/>
          <w:szCs w:val="18"/>
          <w:b w:val="1"/>
          <w:bCs w:val="1"/>
          <w:color w:val="auto"/>
        </w:rPr>
      </w:pPr>
    </w:p>
    <w:p>
      <w:pPr>
        <w:jc w:val="both"/>
        <w:ind w:left="444"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1.495 billion during the fourth quarter of 2025 and 1.471 billion during the third quarter of 2025. The following is a reconciliation of the weighted average shares outstanding to the average number of shares outstanding, assuming dilution, used in the calculation of diluted earnings per share.</w:t>
      </w:r>
    </w:p>
    <w:p>
      <w:pPr>
        <w:spacing w:after="0" w:line="206"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4"/>
                <w:szCs w:val="14"/>
                <w:color w:val="auto"/>
              </w:rPr>
              <w:t>(Stated in milions)</w:t>
            </w:r>
          </w:p>
        </w:tc>
      </w:tr>
      <w:tr>
        <w:trPr>
          <w:trHeight w:val="162"/>
        </w:trPr>
        <w:tc>
          <w:tcPr>
            <w:tcW w:w="5340" w:type="dxa"/>
            <w:vAlign w:val="bottom"/>
          </w:tcPr>
          <w:p>
            <w:pPr>
              <w:spacing w:after="0"/>
              <w:rPr>
                <w:sz w:val="14"/>
                <w:szCs w:val="14"/>
                <w:color w:val="auto"/>
              </w:rPr>
            </w:pPr>
          </w:p>
        </w:tc>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Fourth Quarter</w:t>
            </w:r>
          </w:p>
        </w:tc>
        <w:tc>
          <w:tcPr>
            <w:tcW w:w="1200" w:type="dxa"/>
            <w:vAlign w:val="bottom"/>
            <w:gridSpan w:val="2"/>
          </w:tcPr>
          <w:p>
            <w:pPr>
              <w:jc w:val="center"/>
              <w:ind w:right="60"/>
              <w:spacing w:after="0"/>
              <w:rPr>
                <w:sz w:val="20"/>
                <w:szCs w:val="20"/>
                <w:color w:val="auto"/>
              </w:rPr>
            </w:pPr>
            <w:r>
              <w:rPr>
                <w:rFonts w:ascii="Arial" w:cs="Arial" w:eastAsia="Arial" w:hAnsi="Arial"/>
                <w:sz w:val="14"/>
                <w:szCs w:val="14"/>
                <w:color w:val="auto"/>
              </w:rPr>
              <w:t>Third Qouarter</w:t>
            </w:r>
          </w:p>
        </w:tc>
      </w:tr>
      <w:tr>
        <w:trPr>
          <w:trHeight w:val="171"/>
        </w:trPr>
        <w:tc>
          <w:tcPr>
            <w:tcW w:w="53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40" w:type="dxa"/>
            <w:vAlign w:val="bottom"/>
            <w:tcBorders>
              <w:bottom w:val="single" w:sz="8" w:color="CCEEFF"/>
            </w:tcBorders>
          </w:tcPr>
          <w:p>
            <w:pPr>
              <w:spacing w:after="0"/>
              <w:rPr>
                <w:sz w:val="14"/>
                <w:szCs w:val="14"/>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1,495</w:t>
            </w:r>
          </w:p>
        </w:tc>
        <w:tc>
          <w:tcPr>
            <w:tcW w:w="8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1,471</w:t>
            </w:r>
          </w:p>
        </w:tc>
        <w:tc>
          <w:tcPr>
            <w:tcW w:w="40" w:type="dxa"/>
            <w:vAlign w:val="bottom"/>
            <w:shd w:val="clear" w:color="auto" w:fill="CCEEFF"/>
          </w:tcPr>
          <w:p>
            <w:pPr>
              <w:spacing w:after="0"/>
              <w:rPr>
                <w:sz w:val="17"/>
                <w:szCs w:val="17"/>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8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18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1,511</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1,488</w:t>
            </w:r>
          </w:p>
        </w:tc>
      </w:tr>
      <w:tr>
        <w:trPr>
          <w:trHeight w:val="20"/>
        </w:trPr>
        <w:tc>
          <w:tcPr>
            <w:tcW w:w="5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60" w:hanging="424"/>
        <w:spacing w:after="0" w:line="281" w:lineRule="auto"/>
        <w:tabs>
          <w:tab w:leader="none" w:pos="424"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SLB’s adjusted EBITDA in the fourth quarter of 2025, the third quarter of 2025, the fourth quarter of 2024, the full year of 2025, and the full year of 2024? What was SLB’s adjusted EBITDA margin for those periods?</w:t>
      </w:r>
    </w:p>
    <w:p>
      <w:pPr>
        <w:spacing w:after="0" w:line="28" w:lineRule="exact"/>
        <w:rPr>
          <w:rFonts w:ascii="Arial" w:cs="Arial" w:eastAsia="Arial" w:hAnsi="Arial"/>
          <w:sz w:val="18"/>
          <w:szCs w:val="18"/>
          <w:b w:val="1"/>
          <w:bCs w:val="1"/>
          <w:color w:val="auto"/>
        </w:rPr>
      </w:pPr>
    </w:p>
    <w:p>
      <w:pPr>
        <w:ind w:left="444"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SLB’s adjusted EBITDA was $2.331 billion in the fourth quarter of 2025, $2.061 billion in the third quarter of 2025, and $2.382 billion in the fourth quarter of 2024. SLB’s adjusted EBITDA margin was 23.9% in the fourth quarter of 2025, 23.1% in the third quarter of 2025, and 25.7% in the fourth quarter of 2024, and was calculated as follows:</w:t>
      </w:r>
    </w:p>
    <w:p>
      <w:pPr>
        <w:spacing w:after="0" w:line="206"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20" w:type="dxa"/>
            <w:vAlign w:val="bottom"/>
            <w:gridSpan w:val="4"/>
          </w:tcPr>
          <w:p>
            <w:pPr>
              <w:jc w:val="center"/>
              <w:ind w:left="15"/>
              <w:spacing w:after="0"/>
              <w:rPr>
                <w:sz w:val="20"/>
                <w:szCs w:val="20"/>
                <w:color w:val="auto"/>
              </w:rPr>
            </w:pPr>
            <w:r>
              <w:rPr>
                <w:rFonts w:ascii="Arial" w:cs="Arial" w:eastAsia="Arial" w:hAnsi="Arial"/>
                <w:sz w:val="14"/>
                <w:szCs w:val="14"/>
                <w:color w:val="auto"/>
              </w:rPr>
              <w:t>(Stated in milions)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420" w:type="dxa"/>
            <w:vAlign w:val="bottom"/>
            <w:gridSpan w:val="4"/>
          </w:tcPr>
          <w:p>
            <w:pPr>
              <w:ind w:left="900"/>
              <w:spacing w:after="0"/>
              <w:rPr>
                <w:sz w:val="20"/>
                <w:szCs w:val="20"/>
                <w:color w:val="auto"/>
              </w:rPr>
            </w:pPr>
            <w:r>
              <w:rPr>
                <w:rFonts w:ascii="Arial" w:cs="Arial" w:eastAsia="Arial" w:hAnsi="Arial"/>
                <w:sz w:val="14"/>
                <w:szCs w:val="14"/>
                <w:b w:val="1"/>
                <w:bCs w:val="1"/>
                <w:color w:val="auto"/>
              </w:rPr>
              <w:t>Fourth Quarter</w:t>
            </w:r>
          </w:p>
        </w:tc>
        <w:tc>
          <w:tcPr>
            <w:tcW w:w="1660" w:type="dxa"/>
            <w:vAlign w:val="bottom"/>
            <w:gridSpan w:val="4"/>
          </w:tcPr>
          <w:p>
            <w:pPr>
              <w:ind w:left="320"/>
              <w:spacing w:after="0"/>
              <w:rPr>
                <w:sz w:val="20"/>
                <w:szCs w:val="20"/>
                <w:color w:val="auto"/>
              </w:rPr>
            </w:pPr>
            <w:r>
              <w:rPr>
                <w:rFonts w:ascii="Arial" w:cs="Arial" w:eastAsia="Arial" w:hAnsi="Arial"/>
                <w:sz w:val="14"/>
                <w:szCs w:val="14"/>
                <w:color w:val="auto"/>
              </w:rPr>
              <w:t>Third Quarter</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color w:val="auto"/>
              </w:rPr>
              <w:t>Fourth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2025</w:t>
            </w:r>
          </w:p>
        </w:tc>
        <w:tc>
          <w:tcPr>
            <w:tcW w:w="4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rPr>
              <w:t>2024</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824</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739</w:t>
            </w: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440" w:type="dxa"/>
            <w:vAlign w:val="bottom"/>
          </w:tcPr>
          <w:p>
            <w:pPr>
              <w:spacing w:after="0" w:line="183" w:lineRule="exact"/>
              <w:rPr>
                <w:sz w:val="20"/>
                <w:szCs w:val="20"/>
                <w:color w:val="auto"/>
              </w:rPr>
            </w:pPr>
            <w:r>
              <w:rPr>
                <w:rFonts w:ascii="Arial" w:cs="Arial" w:eastAsia="Arial" w:hAnsi="Arial"/>
                <w:sz w:val="18"/>
                <w:szCs w:val="18"/>
                <w:color w:val="auto"/>
              </w:rPr>
              <w:t>Net income (loss) attributable to</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9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1120" w:type="dxa"/>
            <w:vAlign w:val="bottom"/>
            <w:gridSpan w:val="2"/>
          </w:tcPr>
          <w:p>
            <w:pPr>
              <w:ind w:left="9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943</w:t>
            </w:r>
          </w:p>
        </w:tc>
        <w:tc>
          <w:tcPr>
            <w:tcW w:w="480" w:type="dxa"/>
            <w:vAlign w:val="bottom"/>
          </w:tcPr>
          <w:p>
            <w:pPr>
              <w:spacing w:after="0"/>
              <w:rPr>
                <w:sz w:val="19"/>
                <w:szCs w:val="19"/>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1,387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561</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732</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638</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Interest income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2,331</w:t>
            </w: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9,745</w:t>
            </w:r>
          </w:p>
        </w:tc>
        <w:tc>
          <w:tcPr>
            <w:tcW w:w="480" w:type="dxa"/>
            <w:vAlign w:val="bottom"/>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8,928</w:t>
            </w:r>
          </w:p>
        </w:tc>
        <w:tc>
          <w:tcPr>
            <w:tcW w:w="4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23.9%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44"/>
          </w:cols>
          <w:pgMar w:left="436" w:top="269" w:right="519" w:bottom="1440" w:gutter="0" w:footer="0" w:header="0"/>
        </w:sectPr>
      </w:pPr>
    </w:p>
    <w:bookmarkStart w:id="32" w:name="page33"/>
    <w:bookmarkEnd w:id="32"/>
    <w:p>
      <w:pPr>
        <w:ind w:left="444"/>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SLB’s adjusted EBITDA was $8.463 billion in the full year of 2025 and $9.070 billion in the full year of 2024. SLB’s adjusted EBITDA margin was 23.7% in the full year of 2025 and 25.0% in the full year of 2024, and was calculated as follows:</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4"/>
          </w:tcPr>
          <w:p>
            <w:pPr>
              <w:jc w:val="right"/>
              <w:ind w:right="620"/>
              <w:spacing w:after="0"/>
              <w:rPr>
                <w:sz w:val="20"/>
                <w:szCs w:val="20"/>
                <w:color w:val="auto"/>
              </w:rPr>
            </w:pPr>
            <w:r>
              <w:rPr>
                <w:rFonts w:ascii="Arial" w:cs="Arial" w:eastAsia="Arial" w:hAnsi="Arial"/>
                <w:sz w:val="14"/>
                <w:szCs w:val="14"/>
                <w:color w:val="auto"/>
              </w:rPr>
              <w:t>(Stated in milions)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b w:val="1"/>
                <w:bCs w:val="1"/>
                <w:color w:val="auto"/>
              </w:rPr>
              <w:t>2025</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color w:val="auto"/>
              </w:rPr>
              <w:t>2024</w:t>
            </w:r>
          </w:p>
        </w:tc>
        <w:tc>
          <w:tcPr>
            <w:tcW w:w="5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3,374</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4,461</w:t>
            </w:r>
          </w:p>
        </w:tc>
        <w:tc>
          <w:tcPr>
            <w:tcW w:w="5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income attributable to non controlling interests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118</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5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4,291</w:t>
            </w:r>
          </w:p>
        </w:tc>
        <w:tc>
          <w:tcPr>
            <w:tcW w:w="3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5,672</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2,643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2,519</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(174)</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8,463</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35,708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36,289</w:t>
            </w:r>
          </w:p>
        </w:tc>
        <w:tc>
          <w:tcPr>
            <w:tcW w:w="5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 bps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320" w:hanging="424"/>
        <w:spacing w:after="0" w:line="281" w:lineRule="auto"/>
        <w:tabs>
          <w:tab w:leader="none" w:pos="424"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components of depreciation and amortization expense for the fourth quarter of 2025, the third quarter of 2025, the fourth quarter of 2024, the full year of 2025, and the full year of 2024?</w:t>
      </w:r>
    </w:p>
    <w:p>
      <w:pPr>
        <w:spacing w:after="0" w:line="28" w:lineRule="exact"/>
        <w:rPr>
          <w:rFonts w:ascii="Arial" w:cs="Arial" w:eastAsia="Arial" w:hAnsi="Arial"/>
          <w:sz w:val="18"/>
          <w:szCs w:val="18"/>
          <w:b w:val="1"/>
          <w:bCs w:val="1"/>
          <w:color w:val="auto"/>
        </w:rPr>
      </w:pPr>
    </w:p>
    <w:p>
      <w:pPr>
        <w:ind w:left="444" w:right="2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components of depreciation and amortization expense for the fourth quarter of 2025, the third quarter of 2025, and the fourth quarter of 2024 were as follows:</w:t>
      </w:r>
    </w:p>
    <w:p>
      <w:pPr>
        <w:sectPr>
          <w:pgSz w:w="11900" w:h="16838" w:orient="portrait"/>
          <w:cols w:equalWidth="0" w:num="1">
            <w:col w:w="10924"/>
          </w:cols>
          <w:pgMar w:left="436" w:top="26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4"/>
        <w:spacing w:after="0"/>
        <w:rPr>
          <w:sz w:val="20"/>
          <w:szCs w:val="20"/>
          <w:color w:val="auto"/>
        </w:rPr>
      </w:pPr>
      <w:r>
        <w:rPr>
          <w:rFonts w:ascii="Arial" w:cs="Arial" w:eastAsia="Arial" w:hAnsi="Arial"/>
          <w:sz w:val="18"/>
          <w:szCs w:val="18"/>
          <w:color w:val="auto"/>
        </w:rPr>
        <w:t>Depreciation of fixed assets</w:t>
      </w:r>
    </w:p>
    <w:p>
      <w:pPr>
        <w:spacing w:after="0" w:line="27" w:lineRule="exact"/>
        <w:rPr>
          <w:sz w:val="20"/>
          <w:szCs w:val="20"/>
          <w:color w:val="auto"/>
        </w:rPr>
      </w:pPr>
    </w:p>
    <w:p>
      <w:pPr>
        <w:ind w:left="884"/>
        <w:spacing w:after="0"/>
        <w:rPr>
          <w:sz w:val="20"/>
          <w:szCs w:val="20"/>
          <w:color w:val="auto"/>
        </w:rPr>
      </w:pPr>
      <w:r>
        <w:rPr>
          <w:rFonts w:ascii="Arial" w:cs="Arial" w:eastAsia="Arial" w:hAnsi="Arial"/>
          <w:sz w:val="18"/>
          <w:szCs w:val="18"/>
          <w:color w:val="auto"/>
        </w:rPr>
        <w:t>Amortization of intangible assets</w:t>
      </w:r>
    </w:p>
    <w:p>
      <w:pPr>
        <w:spacing w:after="0" w:line="9" w:lineRule="exact"/>
        <w:rPr>
          <w:sz w:val="20"/>
          <w:szCs w:val="20"/>
          <w:color w:val="auto"/>
        </w:rPr>
      </w:pPr>
    </w:p>
    <w:p>
      <w:pPr>
        <w:ind w:left="884"/>
        <w:spacing w:after="0"/>
        <w:rPr>
          <w:sz w:val="20"/>
          <w:szCs w:val="20"/>
          <w:color w:val="auto"/>
        </w:rPr>
      </w:pPr>
      <w:r>
        <w:rPr>
          <w:rFonts w:ascii="Arial" w:cs="Arial" w:eastAsia="Arial" w:hAnsi="Arial"/>
          <w:sz w:val="18"/>
          <w:szCs w:val="18"/>
          <w:color w:val="auto"/>
        </w:rPr>
        <w:t>Amortization of APS investments</w:t>
      </w:r>
    </w:p>
    <w:p>
      <w:pPr>
        <w:spacing w:after="0" w:line="9" w:lineRule="exact"/>
        <w:rPr>
          <w:sz w:val="20"/>
          <w:szCs w:val="20"/>
          <w:color w:val="auto"/>
        </w:rPr>
      </w:pPr>
    </w:p>
    <w:p>
      <w:pPr>
        <w:ind w:left="884"/>
        <w:spacing w:after="0"/>
        <w:rPr>
          <w:sz w:val="20"/>
          <w:szCs w:val="20"/>
          <w:color w:val="auto"/>
        </w:rPr>
      </w:pPr>
      <w:r>
        <w:rPr>
          <w:rFonts w:ascii="Arial" w:cs="Arial" w:eastAsia="Arial" w:hAnsi="Arial"/>
          <w:sz w:val="17"/>
          <w:szCs w:val="17"/>
          <w:color w:val="auto"/>
        </w:rPr>
        <w:t>Amortization of exploration data costs</w:t>
      </w:r>
    </w:p>
    <w:p>
      <w:pPr>
        <w:spacing w:after="0" w:line="7" w:lineRule="exact"/>
        <w:rPr>
          <w:sz w:val="20"/>
          <w:szCs w:val="20"/>
          <w:color w:val="auto"/>
        </w:rPr>
      </w:pPr>
    </w:p>
    <w:p>
      <w:pPr>
        <w:ind w:left="1064"/>
        <w:spacing w:after="0"/>
        <w:rPr>
          <w:sz w:val="20"/>
          <w:szCs w:val="20"/>
          <w:color w:val="auto"/>
        </w:rPr>
      </w:pPr>
      <w:r>
        <w:rPr>
          <w:rFonts w:ascii="Arial" w:cs="Arial" w:eastAsia="Arial" w:hAnsi="Arial"/>
          <w:sz w:val="18"/>
          <w:szCs w:val="18"/>
          <w:color w:val="auto"/>
        </w:rPr>
        <w:t>capitalized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gridSpan w:val="3"/>
          </w:tcPr>
          <w:p>
            <w:pPr>
              <w:jc w:val="center"/>
              <w:ind w:left="659"/>
              <w:spacing w:after="0"/>
              <w:rPr>
                <w:sz w:val="20"/>
                <w:szCs w:val="20"/>
                <w:color w:val="auto"/>
              </w:rPr>
            </w:pPr>
            <w:r>
              <w:rPr>
                <w:rFonts w:ascii="Arial" w:cs="Arial" w:eastAsia="Arial" w:hAnsi="Arial"/>
                <w:sz w:val="14"/>
                <w:szCs w:val="14"/>
                <w:color w:val="auto"/>
              </w:rPr>
              <w:t>(Stated in milions)</w:t>
            </w:r>
          </w:p>
        </w:tc>
      </w:tr>
      <w:tr>
        <w:trPr>
          <w:trHeight w:val="162"/>
        </w:trPr>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Fourth Quarter</w:t>
            </w: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rPr>
              <w:t>Third Q uarter</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color w:val="auto"/>
              </w:rPr>
              <w:t>FourthQ uarter</w:t>
            </w:r>
          </w:p>
        </w:tc>
      </w:tr>
      <w:tr>
        <w:trPr>
          <w:trHeight w:val="171"/>
        </w:trPr>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2025</w:t>
            </w: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2025</w:t>
            </w: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color w:val="auto"/>
              </w:rPr>
              <w:t>2024</w:t>
            </w:r>
          </w:p>
        </w:tc>
      </w:tr>
      <w:tr>
        <w:trPr>
          <w:trHeight w:val="191"/>
        </w:trPr>
        <w:tc>
          <w:tcPr>
            <w:tcW w:w="20" w:type="dxa"/>
            <w:vAlign w:val="bottom"/>
          </w:tcPr>
          <w:p>
            <w:pPr>
              <w:spacing w:after="0"/>
              <w:rPr>
                <w:sz w:val="16"/>
                <w:szCs w:val="16"/>
                <w:color w:val="auto"/>
              </w:rPr>
            </w:pPr>
          </w:p>
        </w:tc>
        <w:tc>
          <w:tcPr>
            <w:tcW w:w="200" w:type="dxa"/>
            <w:vAlign w:val="bottom"/>
          </w:tcPr>
          <w:p>
            <w:pPr>
              <w:spacing w:after="0" w:line="191"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475</w:t>
            </w:r>
          </w:p>
        </w:tc>
        <w:tc>
          <w:tcPr>
            <w:tcW w:w="760" w:type="dxa"/>
            <w:vAlign w:val="bottom"/>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1" w:lineRule="exact"/>
              <w:rPr>
                <w:sz w:val="20"/>
                <w:szCs w:val="20"/>
                <w:color w:val="auto"/>
              </w:rPr>
            </w:pPr>
            <w:r>
              <w:rPr>
                <w:rFonts w:ascii="Arial" w:cs="Arial" w:eastAsia="Arial" w:hAnsi="Arial"/>
                <w:sz w:val="18"/>
                <w:szCs w:val="18"/>
                <w:color w:val="auto"/>
              </w:rPr>
              <w:t>453</w:t>
            </w:r>
          </w:p>
        </w:tc>
        <w:tc>
          <w:tcPr>
            <w:tcW w:w="76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1" w:lineRule="exact"/>
              <w:rPr>
                <w:sz w:val="20"/>
                <w:szCs w:val="20"/>
                <w:color w:val="auto"/>
              </w:rPr>
            </w:pPr>
            <w:r>
              <w:rPr>
                <w:rFonts w:ascii="Arial" w:cs="Arial" w:eastAsia="Arial" w:hAnsi="Arial"/>
                <w:sz w:val="18"/>
                <w:szCs w:val="18"/>
                <w:color w:val="auto"/>
              </w:rPr>
              <w:t>396</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47"/>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80"/>
        </w:trPr>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22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732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648</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-848360</wp:posOffset>
            </wp:positionV>
            <wp:extent cx="587184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-2915920</wp:posOffset>
            </wp:positionH>
            <wp:positionV relativeFrom="paragraph">
              <wp:posOffset>-573405</wp:posOffset>
            </wp:positionV>
            <wp:extent cx="587184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-2915920</wp:posOffset>
            </wp:positionH>
            <wp:positionV relativeFrom="paragraph">
              <wp:posOffset>-162560</wp:posOffset>
            </wp:positionV>
            <wp:extent cx="587184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4764" w:space="720"/>
            <w:col w:w="5440"/>
          </w:cols>
          <w:pgMar w:left="436" w:top="269" w:right="539" w:bottom="1440" w:gutter="0" w:footer="0" w:header="0"/>
          <w:type w:val="continuous"/>
        </w:sectPr>
      </w:pPr>
    </w:p>
    <w:p>
      <w:pPr>
        <w:ind w:left="444"/>
        <w:spacing w:after="0"/>
        <w:rPr>
          <w:sz w:val="20"/>
          <w:szCs w:val="20"/>
          <w:color w:val="auto"/>
        </w:rPr>
      </w:pPr>
      <w:r>
        <w:rPr>
          <w:rFonts w:ascii="Arial" w:cs="Arial" w:eastAsia="Arial" w:hAnsi="Arial"/>
          <w:sz w:val="17"/>
          <w:szCs w:val="17"/>
          <w:color w:val="auto"/>
        </w:rPr>
        <w:t>The components of depreciation and amortization expense for the full year of 2025 and the full year of 2024 were as follows:</w:t>
      </w:r>
    </w:p>
    <w:p>
      <w:pPr>
        <w:spacing w:after="0" w:line="260"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(Stated in milions)</w:t>
            </w:r>
          </w:p>
        </w:tc>
      </w:tr>
      <w:tr>
        <w:trPr>
          <w:trHeight w:val="171"/>
        </w:trPr>
        <w:tc>
          <w:tcPr>
            <w:tcW w:w="59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2024</w:t>
            </w:r>
          </w:p>
        </w:tc>
        <w:tc>
          <w:tcPr>
            <w:tcW w:w="40" w:type="dxa"/>
            <w:vAlign w:val="bottom"/>
            <w:tcBorders>
              <w:bottom w:val="single" w:sz="8" w:color="CCEEFF"/>
            </w:tcBorders>
          </w:tcPr>
          <w:p>
            <w:pPr>
              <w:spacing w:after="0"/>
              <w:rPr>
                <w:sz w:val="14"/>
                <w:szCs w:val="14"/>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 of fixed assets</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$1,733</w:t>
            </w: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1,551</w:t>
            </w:r>
          </w:p>
        </w:tc>
        <w:tc>
          <w:tcPr>
            <w:tcW w:w="40" w:type="dxa"/>
            <w:vAlign w:val="bottom"/>
            <w:shd w:val="clear" w:color="auto" w:fill="CCEEFF"/>
          </w:tcPr>
          <w:p>
            <w:pPr>
              <w:spacing w:after="0"/>
              <w:rPr>
                <w:sz w:val="17"/>
                <w:szCs w:val="17"/>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376</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APS investments</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369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Amortization of exploration data costs capitalized</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165</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r>
      <w:tr>
        <w:trPr>
          <w:trHeight w:val="27"/>
        </w:trPr>
        <w:tc>
          <w:tcPr>
            <w:tcW w:w="59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2,643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2,519</w:t>
            </w:r>
          </w:p>
        </w:tc>
      </w:tr>
      <w:tr>
        <w:trPr>
          <w:trHeight w:val="20"/>
        </w:trPr>
        <w:tc>
          <w:tcPr>
            <w:tcW w:w="59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0924"/>
          </w:cols>
          <w:pgMar w:left="436" w:top="269" w:right="539" w:bottom="1440" w:gutter="0" w:footer="0" w:header="0"/>
          <w:type w:val="continuous"/>
        </w:sectPr>
      </w:pPr>
    </w:p>
    <w:bookmarkStart w:id="33" w:name="page34"/>
    <w:bookmarkEnd w:id="33"/>
    <w:p>
      <w:pPr>
        <w:ind w:left="424" w:hanging="424"/>
        <w:spacing w:after="0"/>
        <w:tabs>
          <w:tab w:leader="none" w:pos="42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are the revenue categories in the Digital Division that offer solutions to SLB’s customers?</w:t>
      </w:r>
    </w:p>
    <w:p>
      <w:pPr>
        <w:spacing w:after="0" w:line="103" w:lineRule="exact"/>
        <w:rPr>
          <w:rFonts w:ascii="Arial" w:cs="Arial" w:eastAsia="Arial" w:hAnsi="Arial"/>
          <w:sz w:val="18"/>
          <w:szCs w:val="18"/>
          <w:b w:val="1"/>
          <w:bCs w:val="1"/>
          <w:color w:val="auto"/>
        </w:rPr>
      </w:pPr>
    </w:p>
    <w:p>
      <w:pPr>
        <w:ind w:left="444" w:right="20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Within Digital, revenue is generated from four key solutions — Platforms &amp; Applications, Digital Operations, Digital Exploration and Professional Services.</w:t>
      </w:r>
    </w:p>
    <w:p>
      <w:pPr>
        <w:spacing w:after="0" w:line="45" w:lineRule="exact"/>
        <w:rPr>
          <w:rFonts w:ascii="Arial" w:cs="Arial" w:eastAsia="Arial" w:hAnsi="Arial"/>
          <w:sz w:val="18"/>
          <w:szCs w:val="18"/>
          <w:b w:val="1"/>
          <w:bCs w:val="1"/>
          <w:color w:val="auto"/>
        </w:rPr>
      </w:pPr>
    </w:p>
    <w:p>
      <w:pPr>
        <w:ind w:left="444" w:right="20"/>
        <w:spacing w:after="0" w:line="24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Platforms &amp; Applications </w:t>
      </w:r>
      <w:r>
        <w:rPr>
          <w:rFonts w:ascii="Arial" w:cs="Arial" w:eastAsia="Arial" w:hAnsi="Arial"/>
          <w:sz w:val="18"/>
          <w:szCs w:val="18"/>
          <w:color w:val="auto"/>
        </w:rPr>
        <w:t>includes SLB’s cloud technologies such as the Delfi™ and Lumi platforms, along with a suite of</w:t>
      </w:r>
      <w:r>
        <w:rPr>
          <w:rFonts w:ascii="Arial" w:cs="Arial" w:eastAsia="Arial" w:hAnsi="Arial"/>
          <w:sz w:val="18"/>
          <w:szCs w:val="18"/>
          <w:b w:val="1"/>
          <w:bCs w:val="1"/>
          <w:color w:val="auto"/>
        </w:rPr>
        <w:t xml:space="preserve"> </w:t>
      </w:r>
      <w:r>
        <w:rPr>
          <w:rFonts w:ascii="Arial" w:cs="Arial" w:eastAsia="Arial" w:hAnsi="Arial"/>
          <w:sz w:val="18"/>
          <w:szCs w:val="18"/>
          <w:color w:val="auto"/>
        </w:rPr>
        <w:t>specialized, domain-focused applications such as Petrel™ and Techlog™ offered as SaaS subscription or perpetual licenses. These platforms and applications automate complex models to simulate the impact of reservoir development plans and aid in the planning of key operations such as drilling, completion and production designs. Additionally, they unlock data and utilize AI and machine learning to reduce cycle time and improve efficiency of workflows to allow customers to make better, faster decisions to improve their project economics and reservoir performance.</w:t>
      </w:r>
    </w:p>
    <w:p>
      <w:pPr>
        <w:spacing w:after="0" w:line="70" w:lineRule="exact"/>
        <w:rPr>
          <w:rFonts w:ascii="Arial" w:cs="Arial" w:eastAsia="Arial" w:hAnsi="Arial"/>
          <w:sz w:val="18"/>
          <w:szCs w:val="18"/>
          <w:b w:val="1"/>
          <w:bCs w:val="1"/>
          <w:color w:val="auto"/>
        </w:rPr>
      </w:pPr>
    </w:p>
    <w:p>
      <w:pPr>
        <w:ind w:left="444" w:right="3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Revenue is recurring (with exception of one-off license sales) underpinned by a substantial base of ARR from a globally installed base, complemented by customer adoption of new cloud-based capabilities and IoT-enabled solutions.</w:t>
      </w:r>
    </w:p>
    <w:p>
      <w:pPr>
        <w:spacing w:after="0" w:line="45"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This category has best-in-class retention rates and limited churn.</w:t>
      </w:r>
    </w:p>
    <w:p>
      <w:pPr>
        <w:spacing w:after="0" w:line="103" w:lineRule="exact"/>
        <w:rPr>
          <w:rFonts w:ascii="Arial" w:cs="Arial" w:eastAsia="Arial" w:hAnsi="Arial"/>
          <w:sz w:val="18"/>
          <w:szCs w:val="18"/>
          <w:b w:val="1"/>
          <w:bCs w:val="1"/>
          <w:color w:val="auto"/>
        </w:rPr>
      </w:pPr>
    </w:p>
    <w:p>
      <w:pPr>
        <w:ind w:left="444" w:right="40"/>
        <w:spacing w:after="0" w:line="24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Digital Operations </w:t>
      </w:r>
      <w:r>
        <w:rPr>
          <w:rFonts w:ascii="Arial" w:cs="Arial" w:eastAsia="Arial" w:hAnsi="Arial"/>
          <w:sz w:val="18"/>
          <w:szCs w:val="18"/>
          <w:color w:val="auto"/>
        </w:rPr>
        <w:t>combines the unique strengths of SLB’s oilfield services with advanced digital technologies to deliver more</w:t>
      </w:r>
      <w:r>
        <w:rPr>
          <w:rFonts w:ascii="Arial" w:cs="Arial" w:eastAsia="Arial" w:hAnsi="Arial"/>
          <w:sz w:val="18"/>
          <w:szCs w:val="18"/>
          <w:b w:val="1"/>
          <w:bCs w:val="1"/>
          <w:color w:val="auto"/>
        </w:rPr>
        <w:t xml:space="preserve"> </w:t>
      </w:r>
      <w:r>
        <w:rPr>
          <w:rFonts w:ascii="Arial" w:cs="Arial" w:eastAsia="Arial" w:hAnsi="Arial"/>
          <w:sz w:val="18"/>
          <w:szCs w:val="18"/>
          <w:color w:val="auto"/>
        </w:rPr>
        <w:t>reliable, efficient and autonomous field operations. By integrating connected solutions with Performance Live™ digital service delivery centers, customers gain real-time monitoring, remote decision making and automated execution across their workflows from autonomous drilling to automated well intervention, all while reducing costs and improving project economics.</w:t>
      </w:r>
    </w:p>
    <w:p>
      <w:pPr>
        <w:spacing w:after="0" w:line="65" w:lineRule="exact"/>
        <w:rPr>
          <w:rFonts w:ascii="Arial" w:cs="Arial" w:eastAsia="Arial" w:hAnsi="Arial"/>
          <w:sz w:val="18"/>
          <w:szCs w:val="18"/>
          <w:b w:val="1"/>
          <w:bCs w:val="1"/>
          <w:color w:val="auto"/>
        </w:rPr>
      </w:pPr>
    </w:p>
    <w:p>
      <w:pPr>
        <w:ind w:left="444" w:right="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Revenue is generated from the same customer base as the Core divisions and is, therefore, repeatable. Additionally, a portion of the revenue is recurring in nature.</w:t>
      </w:r>
    </w:p>
    <w:p>
      <w:pPr>
        <w:spacing w:after="0" w:line="45" w:lineRule="exact"/>
        <w:rPr>
          <w:rFonts w:ascii="Arial" w:cs="Arial" w:eastAsia="Arial" w:hAnsi="Arial"/>
          <w:sz w:val="18"/>
          <w:szCs w:val="18"/>
          <w:b w:val="1"/>
          <w:bCs w:val="1"/>
          <w:color w:val="auto"/>
        </w:rPr>
      </w:pPr>
    </w:p>
    <w:p>
      <w:pPr>
        <w:ind w:left="44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To incentivize the Core divisions — Well Construction, Reservoir Performance and Production Systems — and Digital to develop and promote this category, the resulting revenue is recognized in both the respective Core division as well as in the Digital Division. This effect is eliminated in consolidation.</w:t>
      </w:r>
    </w:p>
    <w:p>
      <w:pPr>
        <w:spacing w:after="0" w:line="60" w:lineRule="exact"/>
        <w:rPr>
          <w:rFonts w:ascii="Arial" w:cs="Arial" w:eastAsia="Arial" w:hAnsi="Arial"/>
          <w:sz w:val="18"/>
          <w:szCs w:val="18"/>
          <w:b w:val="1"/>
          <w:bCs w:val="1"/>
          <w:color w:val="auto"/>
        </w:rPr>
      </w:pPr>
    </w:p>
    <w:p>
      <w:pPr>
        <w:ind w:left="444" w:right="40"/>
        <w:spacing w:after="0" w:line="24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Digital Exploration </w:t>
      </w:r>
      <w:r>
        <w:rPr>
          <w:rFonts w:ascii="Arial" w:cs="Arial" w:eastAsia="Arial" w:hAnsi="Arial"/>
          <w:sz w:val="18"/>
          <w:szCs w:val="18"/>
          <w:color w:val="auto"/>
        </w:rPr>
        <w:t>represents SLB’s exploration data business. The exploration data library is a differentiated asset library of</w:t>
      </w:r>
      <w:r>
        <w:rPr>
          <w:rFonts w:ascii="Arial" w:cs="Arial" w:eastAsia="Arial" w:hAnsi="Arial"/>
          <w:sz w:val="18"/>
          <w:szCs w:val="18"/>
          <w:b w:val="1"/>
          <w:bCs w:val="1"/>
          <w:color w:val="auto"/>
        </w:rPr>
        <w:t xml:space="preserve"> </w:t>
      </w:r>
      <w:r>
        <w:rPr>
          <w:rFonts w:ascii="Arial" w:cs="Arial" w:eastAsia="Arial" w:hAnsi="Arial"/>
          <w:sz w:val="18"/>
          <w:szCs w:val="18"/>
          <w:color w:val="auto"/>
        </w:rPr>
        <w:t>seismic surveys and other subsurface data that customers rely on for better exploration and development decisions. These licensed datasets also support carbon storage design and monitoring. The library covers key exploration and producing basins worldwide and datasets are refreshed and reprocessed to benefit from the latest imaging algorithms and AI technologies, enabled by high performance cloud computing.</w:t>
      </w:r>
    </w:p>
    <w:p>
      <w:pPr>
        <w:spacing w:after="0" w:line="68"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Revenue is generated from one-time, non-transferable license sales and is therefore non-recurring in nature.</w:t>
      </w:r>
    </w:p>
    <w:p>
      <w:pPr>
        <w:spacing w:after="0" w:line="103" w:lineRule="exact"/>
        <w:rPr>
          <w:rFonts w:ascii="Arial" w:cs="Arial" w:eastAsia="Arial" w:hAnsi="Arial"/>
          <w:sz w:val="18"/>
          <w:szCs w:val="18"/>
          <w:b w:val="1"/>
          <w:bCs w:val="1"/>
          <w:color w:val="auto"/>
        </w:rPr>
      </w:pPr>
    </w:p>
    <w:p>
      <w:pPr>
        <w:ind w:left="444"/>
        <w:spacing w:after="0" w:line="24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Professional Services </w:t>
      </w:r>
      <w:r>
        <w:rPr>
          <w:rFonts w:ascii="Arial" w:cs="Arial" w:eastAsia="Arial" w:hAnsi="Arial"/>
          <w:sz w:val="18"/>
          <w:szCs w:val="18"/>
          <w:color w:val="auto"/>
        </w:rPr>
        <w:t>includes consulting and other services required to support customers’ digital transformations. These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transition support from on-prem to cloud-based digital solutions, data clean-up and migration, workflow automation — including deployment of workflow solutions built within SLB’s global network of Innovation Factori workspaces — and training to further enable customers’ digital transformations.</w:t>
      </w:r>
    </w:p>
    <w:p>
      <w:pPr>
        <w:spacing w:after="0" w:line="65" w:lineRule="exact"/>
        <w:rPr>
          <w:rFonts w:ascii="Arial" w:cs="Arial" w:eastAsia="Arial" w:hAnsi="Arial"/>
          <w:sz w:val="18"/>
          <w:szCs w:val="18"/>
          <w:b w:val="1"/>
          <w:bCs w:val="1"/>
          <w:color w:val="auto"/>
        </w:rPr>
      </w:pPr>
    </w:p>
    <w:p>
      <w:pPr>
        <w:ind w:left="444" w:right="6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Revenue in this category is largely project-based, and repetitive engagements with the same customers are common. These services generate pull-through opportunities across other digital revenue streams.</w:t>
      </w:r>
    </w:p>
    <w:p>
      <w:pPr>
        <w:sectPr>
          <w:pgSz w:w="11900" w:h="16838" w:orient="portrait"/>
          <w:cols w:equalWidth="0" w:num="1">
            <w:col w:w="11004"/>
          </w:cols>
          <w:pgMar w:left="436" w:top="269" w:right="459" w:bottom="1440" w:gutter="0" w:footer="0" w:header="0"/>
        </w:sectPr>
      </w:pPr>
    </w:p>
    <w:bookmarkStart w:id="34" w:name="page35"/>
    <w:bookmarkEnd w:id="34"/>
    <w:p>
      <w:pPr>
        <w:ind w:left="424" w:right="240" w:hanging="424"/>
        <w:spacing w:after="0" w:line="281" w:lineRule="auto"/>
        <w:tabs>
          <w:tab w:leader="none" w:pos="424"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How much revenue was generated from each of the categories comprising the Digital Division in 2025 and 2024? What is the pretax operating income and adjusted EBITDA of the Digital Division for those periods?</w:t>
      </w:r>
    </w:p>
    <w:p>
      <w:pPr>
        <w:spacing w:after="0" w:line="244"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Digital revenue, pretax operating income, and adjusted EBITDA in 2025 and 2024 are detailed as follows:</w:t>
      </w:r>
    </w:p>
    <w:p>
      <w:pPr>
        <w:spacing w:after="0" w:line="248" w:lineRule="exact"/>
        <w:rPr>
          <w:sz w:val="20"/>
          <w:szCs w:val="20"/>
          <w:color w:val="auto"/>
        </w:rPr>
      </w:pPr>
    </w:p>
    <w:tbl>
      <w:tblPr>
        <w:tblLayout w:type="fixed"/>
        <w:tblInd w:w="884"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Full Year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4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Dec. 31,</w:t>
            </w: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4"/>
                <w:szCs w:val="14"/>
                <w:color w:val="auto"/>
              </w:rPr>
              <w:t>Dec. 31,</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2025</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color w:val="auto"/>
              </w:rPr>
              <w:t>2024</w:t>
            </w:r>
          </w:p>
        </w:tc>
        <w:tc>
          <w:tcPr>
            <w:tcW w:w="420" w:type="dxa"/>
            <w:vAlign w:val="bottom"/>
          </w:tcPr>
          <w:p>
            <w:pPr>
              <w:spacing w:after="0"/>
              <w:rPr>
                <w:sz w:val="15"/>
                <w:szCs w:val="15"/>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4"/>
                <w:szCs w:val="14"/>
                <w:b w:val="1"/>
                <w:bCs w:val="1"/>
                <w:u w:val="single" w:color="auto"/>
                <w:color w:val="auto"/>
              </w:rPr>
              <w:t>Year</w:t>
            </w:r>
            <w:r>
              <w:rPr>
                <w:rFonts w:ascii="Arial" w:cs="Arial" w:eastAsia="Arial" w:hAnsi="Arial"/>
                <w:sz w:val="14"/>
                <w:szCs w:val="14"/>
                <w:b w:val="1"/>
                <w:bCs w:val="1"/>
                <w:color w:val="auto"/>
              </w:rPr>
              <w:t>-on-year</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8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Platforms &amp; Applications</w:t>
            </w:r>
          </w:p>
        </w:tc>
        <w:tc>
          <w:tcPr>
            <w:tcW w:w="1800" w:type="dxa"/>
            <w:vAlign w:val="bottom"/>
            <w:gridSpan w:val="2"/>
            <w:shd w:val="clear" w:color="auto" w:fill="CCEEFF"/>
          </w:tcPr>
          <w:p>
            <w:pPr>
              <w:ind w:left="1700"/>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1,064</w:t>
            </w:r>
          </w:p>
        </w:tc>
        <w:tc>
          <w:tcPr>
            <w:tcW w:w="6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4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Digital Operations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464</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290</w:t>
            </w:r>
          </w:p>
        </w:tc>
        <w:tc>
          <w:tcPr>
            <w:tcW w:w="420" w:type="dxa"/>
            <w:vAlign w:val="bottom"/>
          </w:tcPr>
          <w:p>
            <w:pPr>
              <w:spacing w:after="0"/>
              <w:rPr>
                <w:sz w:val="18"/>
                <w:szCs w:val="18"/>
                <w:color w:val="auto"/>
              </w:rPr>
            </w:pPr>
          </w:p>
        </w:tc>
        <w:tc>
          <w:tcPr>
            <w:tcW w:w="15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Digital Exploration</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4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Professional Services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695</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700"/>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2,660</w:t>
            </w:r>
          </w:p>
        </w:tc>
        <w:tc>
          <w:tcPr>
            <w:tcW w:w="6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4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tcPr>
          <w:p>
            <w:pPr>
              <w:spacing w:after="0"/>
              <w:rPr>
                <w:sz w:val="18"/>
                <w:szCs w:val="18"/>
                <w:color w:val="auto"/>
              </w:rPr>
            </w:pPr>
          </w:p>
        </w:tc>
        <w:tc>
          <w:tcPr>
            <w:tcW w:w="1800" w:type="dxa"/>
            <w:vAlign w:val="bottom"/>
            <w:gridSpan w:val="2"/>
          </w:tcPr>
          <w:p>
            <w:pPr>
              <w:ind w:left="170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745</w:t>
            </w:r>
          </w:p>
        </w:tc>
        <w:tc>
          <w:tcPr>
            <w:tcW w:w="6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612</w:t>
            </w:r>
          </w:p>
        </w:tc>
        <w:tc>
          <w:tcPr>
            <w:tcW w:w="420" w:type="dxa"/>
            <w:vAlign w:val="bottom"/>
          </w:tcPr>
          <w:p>
            <w:pPr>
              <w:spacing w:after="0"/>
              <w:rPr>
                <w:sz w:val="18"/>
                <w:szCs w:val="18"/>
                <w:color w:val="auto"/>
              </w:rPr>
            </w:pPr>
          </w:p>
        </w:tc>
        <w:tc>
          <w:tcPr>
            <w:tcW w:w="15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b w:val="1"/>
                <w:bCs w:val="1"/>
                <w:color w:val="auto"/>
              </w:rPr>
              <w:t>28.0%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25.1%</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291 bps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Adjusted EBITDA</w:t>
            </w:r>
          </w:p>
        </w:tc>
        <w:tc>
          <w:tcPr>
            <w:tcW w:w="1800" w:type="dxa"/>
            <w:vAlign w:val="bottom"/>
            <w:gridSpan w:val="2"/>
          </w:tcPr>
          <w:p>
            <w:pPr>
              <w:ind w:left="170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928</w:t>
            </w:r>
          </w:p>
        </w:tc>
        <w:tc>
          <w:tcPr>
            <w:tcW w:w="6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784</w:t>
            </w:r>
          </w:p>
        </w:tc>
        <w:tc>
          <w:tcPr>
            <w:tcW w:w="420" w:type="dxa"/>
            <w:vAlign w:val="bottom"/>
          </w:tcPr>
          <w:p>
            <w:pPr>
              <w:spacing w:after="0"/>
              <w:rPr>
                <w:sz w:val="18"/>
                <w:szCs w:val="18"/>
                <w:color w:val="auto"/>
              </w:rPr>
            </w:pPr>
          </w:p>
        </w:tc>
        <w:tc>
          <w:tcPr>
            <w:tcW w:w="15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b w:val="1"/>
                <w:bCs w:val="1"/>
                <w:color w:val="auto"/>
              </w:rPr>
              <w:t>34.9%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272 bps</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24" w:hanging="424"/>
        <w:spacing w:after="0"/>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 Digital, what is the definition of ARR and what is the ARR as of December 31, 2025?</w:t>
      </w:r>
    </w:p>
    <w:p>
      <w:pPr>
        <w:spacing w:after="0" w:line="103" w:lineRule="exact"/>
        <w:rPr>
          <w:rFonts w:ascii="Arial" w:cs="Arial" w:eastAsia="Arial" w:hAnsi="Arial"/>
          <w:sz w:val="18"/>
          <w:szCs w:val="18"/>
          <w:b w:val="1"/>
          <w:bCs w:val="1"/>
          <w:color w:val="auto"/>
        </w:rPr>
      </w:pPr>
    </w:p>
    <w:p>
      <w:pPr>
        <w:ind w:left="44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ARR represents the annual value of recurring subscription and maintenance revenues from Platforms &amp; Applications, along with the recurring portion of Digital Operations, providing a measure of predictable revenue over the next 12 months. This is calculated based on the trailing twelve months revenue and excludes one-time license sales and variable usage fees.</w:t>
      </w:r>
    </w:p>
    <w:p>
      <w:pPr>
        <w:spacing w:after="0" w:line="60" w:lineRule="exact"/>
        <w:rPr>
          <w:rFonts w:ascii="Arial" w:cs="Arial" w:eastAsia="Arial" w:hAnsi="Arial"/>
          <w:sz w:val="18"/>
          <w:szCs w:val="18"/>
          <w:b w:val="1"/>
          <w:bCs w:val="1"/>
          <w:color w:val="auto"/>
        </w:rPr>
      </w:pPr>
    </w:p>
    <w:p>
      <w:pPr>
        <w:ind w:left="444" w:right="2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ARR as of December 31, 2025, was $1.00 billion, compared to $876 million as of December 31, 2024, resulting in a 15% increase year over year.</w:t>
      </w:r>
    </w:p>
    <w:p>
      <w:pPr>
        <w:spacing w:after="0" w:line="302" w:lineRule="exact"/>
        <w:rPr>
          <w:rFonts w:ascii="Arial" w:cs="Arial" w:eastAsia="Arial" w:hAnsi="Arial"/>
          <w:sz w:val="18"/>
          <w:szCs w:val="18"/>
          <w:b w:val="1"/>
          <w:bCs w:val="1"/>
          <w:color w:val="auto"/>
        </w:rPr>
      </w:pPr>
    </w:p>
    <w:p>
      <w:pPr>
        <w:ind w:left="424" w:hanging="424"/>
        <w:spacing w:after="0"/>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Data Center Solutions business and where is it reported?</w:t>
      </w:r>
    </w:p>
    <w:p>
      <w:pPr>
        <w:spacing w:after="0" w:line="103" w:lineRule="exact"/>
        <w:rPr>
          <w:rFonts w:ascii="Arial" w:cs="Arial" w:eastAsia="Arial" w:hAnsi="Arial"/>
          <w:sz w:val="18"/>
          <w:szCs w:val="18"/>
          <w:b w:val="1"/>
          <w:bCs w:val="1"/>
          <w:color w:val="auto"/>
        </w:rPr>
      </w:pPr>
    </w:p>
    <w:p>
      <w:pPr>
        <w:ind w:left="444" w:right="26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Data Center Solutions business designs and manufactures critical infrastructure components — such as modular data center enclosures, cooling systems and other hardware — for hyperscalers and enterprises. By leveraging scalable, standardized production with rapid lead times, and rigorous quality assurance, SLB provides configurable solutions that balance cost efficiency, reliability and customization to meet accelerating data center demand.</w:t>
      </w:r>
    </w:p>
    <w:p>
      <w:pPr>
        <w:spacing w:after="0" w:line="65" w:lineRule="exact"/>
        <w:rPr>
          <w:rFonts w:ascii="Arial" w:cs="Arial" w:eastAsia="Arial" w:hAnsi="Arial"/>
          <w:sz w:val="18"/>
          <w:szCs w:val="18"/>
          <w:b w:val="1"/>
          <w:bCs w:val="1"/>
          <w:color w:val="auto"/>
        </w:rPr>
      </w:pPr>
    </w:p>
    <w:p>
      <w:pPr>
        <w:ind w:left="444" w:right="5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AI-driven data demand is fueling rapid growth, and this business is going to be a material and meaningful contributor to SLB’s portfolio in the future. This business is reported in All Other category.</w:t>
      </w:r>
    </w:p>
    <w:p>
      <w:pPr>
        <w:spacing w:after="0" w:line="302" w:lineRule="exact"/>
        <w:rPr>
          <w:rFonts w:ascii="Arial" w:cs="Arial" w:eastAsia="Arial" w:hAnsi="Arial"/>
          <w:sz w:val="18"/>
          <w:szCs w:val="18"/>
          <w:b w:val="1"/>
          <w:bCs w:val="1"/>
          <w:color w:val="auto"/>
        </w:rPr>
      </w:pPr>
    </w:p>
    <w:p>
      <w:pPr>
        <w:ind w:left="424" w:hanging="424"/>
        <w:spacing w:after="0"/>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How much revenue was generated from the Data Center Solutions business?</w:t>
      </w:r>
    </w:p>
    <w:p>
      <w:pPr>
        <w:spacing w:after="0" w:line="103" w:lineRule="exact"/>
        <w:rPr>
          <w:rFonts w:ascii="Arial" w:cs="Arial" w:eastAsia="Arial" w:hAnsi="Arial"/>
          <w:sz w:val="18"/>
          <w:szCs w:val="18"/>
          <w:b w:val="1"/>
          <w:bCs w:val="1"/>
          <w:color w:val="auto"/>
        </w:rPr>
      </w:pPr>
    </w:p>
    <w:p>
      <w:pPr>
        <w:ind w:left="444" w:right="3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Data Center Solutions revenue was $460 million for the full year of 2025 and $208 million for the full year of 2024, representing a 121% increase year on year.</w:t>
      </w:r>
    </w:p>
    <w:p>
      <w:pPr>
        <w:sectPr>
          <w:pgSz w:w="11900" w:h="16838" w:orient="portrait"/>
          <w:cols w:equalWidth="0" w:num="1">
            <w:col w:w="10984"/>
          </w:cols>
          <w:pgMar w:left="436" w:top="269" w:right="479" w:bottom="1440" w:gutter="0" w:footer="0" w:header="0"/>
        </w:sectPr>
      </w:pPr>
    </w:p>
    <w:bookmarkStart w:id="35" w:name="page36"/>
    <w:bookmarkEnd w:id="35"/>
    <w:p>
      <w:pPr>
        <w:ind w:left="424" w:right="460" w:hanging="424"/>
        <w:spacing w:after="0" w:line="311" w:lineRule="auto"/>
        <w:tabs>
          <w:tab w:leader="none" w:pos="424"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Divisions comprise SLB’s Core business and what were their revenue and pretax operating income for the fourth quarter of 2025, the third quarter of 2025, the fourth quarter of 2024, the full year of 2025 and the full year of 2024?</w:t>
      </w:r>
    </w:p>
    <w:p>
      <w:pPr>
        <w:spacing w:after="0" w:line="6" w:lineRule="exact"/>
        <w:rPr>
          <w:rFonts w:ascii="Arial" w:cs="Arial" w:eastAsia="Arial" w:hAnsi="Arial"/>
          <w:sz w:val="17"/>
          <w:szCs w:val="17"/>
          <w:b w:val="1"/>
          <w:bCs w:val="1"/>
          <w:color w:val="auto"/>
        </w:rPr>
      </w:pPr>
    </w:p>
    <w:p>
      <w:pPr>
        <w:jc w:val="both"/>
        <w:ind w:left="444" w:right="460"/>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SLB’s Core business comprises the Reservoir Performance, Well Construction, and Production Systems Divisions. SLB’s Core business revenue and pretax operating income for the fourth quarter of 2025, the third quarter of 2025, and the fourth quarter of</w:t>
      </w:r>
    </w:p>
    <w:p>
      <w:pPr>
        <w:spacing w:after="0" w:line="1" w:lineRule="exact"/>
        <w:rPr>
          <w:rFonts w:ascii="Arial" w:cs="Arial" w:eastAsia="Arial" w:hAnsi="Arial"/>
          <w:sz w:val="17"/>
          <w:szCs w:val="17"/>
          <w:b w:val="1"/>
          <w:bCs w:val="1"/>
          <w:color w:val="auto"/>
        </w:rPr>
      </w:pPr>
    </w:p>
    <w:p>
      <w:pPr>
        <w:ind w:left="444"/>
        <w:spacing w:after="0"/>
        <w:rPr>
          <w:rFonts w:ascii="Arial" w:cs="Arial" w:eastAsia="Arial" w:hAnsi="Arial"/>
          <w:sz w:val="17"/>
          <w:szCs w:val="17"/>
          <w:b w:val="1"/>
          <w:bCs w:val="1"/>
          <w:color w:val="auto"/>
        </w:rPr>
      </w:pPr>
      <w:r>
        <w:rPr>
          <w:rFonts w:ascii="Arial" w:cs="Arial" w:eastAsia="Arial" w:hAnsi="Arial"/>
          <w:sz w:val="18"/>
          <w:szCs w:val="18"/>
          <w:color w:val="auto"/>
        </w:rPr>
        <w:t>2024 are calculated as follows:</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1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Dec. 31,</w:t>
            </w: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Sept. 30,</w:t>
            </w:r>
          </w:p>
        </w:tc>
        <w:tc>
          <w:tcPr>
            <w:tcW w:w="58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Dec. 31,</w:t>
            </w:r>
          </w:p>
        </w:tc>
        <w:tc>
          <w:tcPr>
            <w:tcW w:w="4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b w:val="1"/>
                <w:bCs w:val="1"/>
                <w:color w:val="auto"/>
              </w:rPr>
              <w:t>2025</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2025</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2024</w:t>
            </w:r>
          </w:p>
        </w:tc>
        <w:tc>
          <w:tcPr>
            <w:tcW w:w="4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Sequential</w:t>
            </w:r>
          </w:p>
        </w:tc>
        <w:tc>
          <w:tcPr>
            <w:tcW w:w="280" w:type="dxa"/>
            <w:vAlign w:val="bottom"/>
          </w:tcPr>
          <w:p>
            <w:pPr>
              <w:spacing w:after="0"/>
              <w:rPr>
                <w:sz w:val="14"/>
                <w:szCs w:val="14"/>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Year-on-year</w:t>
            </w: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1680" w:type="dxa"/>
            <w:vAlign w:val="bottom"/>
            <w:gridSpan w:val="2"/>
          </w:tcPr>
          <w:p>
            <w:pPr>
              <w:ind w:left="158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w w:val="97"/>
              </w:rPr>
              <w:t>1,748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1,682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1,810</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b w:val="1"/>
                <w:bCs w:val="1"/>
                <w:color w:val="auto"/>
                <w:w w:val="97"/>
              </w:rPr>
              <w:t>2,949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2,967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3,267</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w w:val="97"/>
              </w:rPr>
              <w:t>4,078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3,474</w:t>
            </w:r>
          </w:p>
        </w:tc>
        <w:tc>
          <w:tcPr>
            <w:tcW w:w="12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3,127</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b w:val="1"/>
                <w:bCs w:val="1"/>
                <w:color w:val="auto"/>
                <w:w w:val="97"/>
              </w:rPr>
              <w:t>8,775</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8,123</w:t>
            </w:r>
          </w:p>
        </w:tc>
        <w:tc>
          <w:tcPr>
            <w:tcW w:w="12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99"/>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8,204</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Reservoir Performance</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b w:val="1"/>
                <w:bCs w:val="1"/>
                <w:color w:val="auto"/>
              </w:rPr>
              <w:t>342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Well Construction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550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681</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Production Systems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b w:val="1"/>
                <w:bCs w:val="1"/>
                <w:color w:val="auto"/>
              </w:rPr>
              <w:t>664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509</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w w:val="97"/>
              </w:rPr>
              <w:t>1,556</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1,429</w:t>
            </w:r>
          </w:p>
        </w:tc>
        <w:tc>
          <w:tcPr>
            <w:tcW w:w="120" w:type="dxa"/>
            <w:vAlign w:val="bottom"/>
          </w:tcPr>
          <w:p>
            <w:pPr>
              <w:spacing w:after="0"/>
              <w:rPr>
                <w:sz w:val="20"/>
                <w:szCs w:val="20"/>
                <w:color w:val="auto"/>
              </w:rPr>
            </w:pPr>
            <w:r>
              <w:rPr>
                <w:rFonts w:ascii="Arial" w:cs="Arial" w:eastAsia="Arial" w:hAnsi="Arial"/>
                <w:sz w:val="18"/>
                <w:szCs w:val="18"/>
                <w:u w:val="single" w:color="auto"/>
                <w:color w:val="auto"/>
                <w:w w:val="99"/>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1,560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Pretax Operating Margin</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19.6%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20.5%</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18.7%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20.8%</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16.3%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16.3%</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17.7%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 bps</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 bps</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44" w:right="100"/>
        <w:spacing w:after="0" w:line="247" w:lineRule="auto"/>
        <w:rPr>
          <w:sz w:val="20"/>
          <w:szCs w:val="20"/>
          <w:color w:val="auto"/>
        </w:rPr>
      </w:pPr>
      <w:r>
        <w:rPr>
          <w:rFonts w:ascii="Arial" w:cs="Arial" w:eastAsia="Arial" w:hAnsi="Arial"/>
          <w:sz w:val="18"/>
          <w:szCs w:val="18"/>
          <w:color w:val="auto"/>
        </w:rPr>
        <w:t>Fourth-quarter 2025 results reflect a full quarter of activity from ChampionX, which contributed $874 million of revenue to Production Systems. Third-quarter 2025 results reflect two months of activity from ChampionX, which contributed $575 million of revenue to Production Systems. Excluding the impact of this acquisition, Core revenue increased 5% sequentially and decreased 4% year on year.</w:t>
      </w:r>
    </w:p>
    <w:p>
      <w:pPr>
        <w:spacing w:after="0" w:line="66" w:lineRule="exact"/>
        <w:rPr>
          <w:sz w:val="20"/>
          <w:szCs w:val="20"/>
          <w:color w:val="auto"/>
        </w:rPr>
      </w:pPr>
    </w:p>
    <w:p>
      <w:pPr>
        <w:ind w:left="444" w:right="600"/>
        <w:spacing w:after="0" w:line="271" w:lineRule="auto"/>
        <w:rPr>
          <w:sz w:val="20"/>
          <w:szCs w:val="20"/>
          <w:color w:val="auto"/>
        </w:rPr>
      </w:pPr>
      <w:r>
        <w:rPr>
          <w:rFonts w:ascii="Arial" w:cs="Arial" w:eastAsia="Arial" w:hAnsi="Arial"/>
          <w:sz w:val="18"/>
          <w:szCs w:val="18"/>
          <w:color w:val="auto"/>
        </w:rPr>
        <w:t>SLB’s Core business revenue and pretax operating income for the full year of 2025 and the full year of 2024 are calculated as follows:</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tcPr>
          <w:p>
            <w:pPr>
              <w:jc w:val="right"/>
              <w:ind w:right="620"/>
              <w:spacing w:after="0"/>
              <w:rPr>
                <w:sz w:val="20"/>
                <w:szCs w:val="20"/>
                <w:color w:val="auto"/>
              </w:rPr>
            </w:pPr>
            <w:r>
              <w:rPr>
                <w:rFonts w:ascii="Arial" w:cs="Arial" w:eastAsia="Arial" w:hAnsi="Arial"/>
                <w:sz w:val="14"/>
                <w:szCs w:val="14"/>
                <w:color w:val="auto"/>
              </w:rPr>
              <w:t>(Stated in millions)</w:t>
            </w:r>
          </w:p>
        </w:tc>
      </w:tr>
      <w:tr>
        <w:trPr>
          <w:trHeight w:val="171"/>
        </w:trPr>
        <w:tc>
          <w:tcPr>
            <w:tcW w:w="40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Twelve Months Ended</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6"/>
        </w:trPr>
        <w:tc>
          <w:tcPr>
            <w:tcW w:w="4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 31,</w:t>
            </w:r>
          </w:p>
        </w:tc>
        <w:tc>
          <w:tcPr>
            <w:tcW w:w="540" w:type="dxa"/>
            <w:vAlign w:val="bottom"/>
          </w:tcPr>
          <w:p>
            <w:pPr>
              <w:spacing w:after="0"/>
              <w:rPr>
                <w:sz w:val="12"/>
                <w:szCs w:val="12"/>
                <w:color w:val="auto"/>
              </w:rPr>
            </w:pPr>
          </w:p>
        </w:tc>
        <w:tc>
          <w:tcPr>
            <w:tcW w:w="118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Dec. 31,</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40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b w:val="1"/>
                <w:bCs w:val="1"/>
                <w:color w:val="auto"/>
              </w:rPr>
              <w:t>2025</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4"/>
              <w:spacing w:after="0"/>
              <w:rPr>
                <w:sz w:val="20"/>
                <w:szCs w:val="20"/>
                <w:color w:val="auto"/>
              </w:rPr>
            </w:pPr>
            <w:r>
              <w:rPr>
                <w:rFonts w:ascii="Arial" w:cs="Arial" w:eastAsia="Arial" w:hAnsi="Arial"/>
                <w:sz w:val="14"/>
                <w:szCs w:val="14"/>
                <w:b w:val="1"/>
                <w:bCs w:val="1"/>
                <w:color w:val="auto"/>
              </w:rPr>
              <w:t>2024</w:t>
            </w:r>
          </w:p>
        </w:tc>
        <w:tc>
          <w:tcPr>
            <w:tcW w:w="52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Reservoir Performance</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6,820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7,177</w:t>
            </w: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11,856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13,357</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Production Systems</w:t>
            </w: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13,325</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11,935</w:t>
            </w:r>
          </w:p>
        </w:tc>
        <w:tc>
          <w:tcPr>
            <w:tcW w:w="5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40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32,001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32,469</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w:t>
            </w:r>
          </w:p>
        </w:tc>
      </w:tr>
      <w:tr>
        <w:trPr>
          <w:trHeight w:val="223"/>
        </w:trPr>
        <w:tc>
          <w:tcPr>
            <w:tcW w:w="4000" w:type="dxa"/>
            <w:vAlign w:val="bottom"/>
          </w:tcPr>
          <w:p>
            <w:pPr>
              <w:spacing w:after="0"/>
              <w:rPr>
                <w:sz w:val="20"/>
                <w:szCs w:val="20"/>
                <w:color w:val="auto"/>
              </w:rPr>
            </w:pPr>
            <w:r>
              <w:rPr>
                <w:rFonts w:ascii="Arial" w:cs="Arial" w:eastAsia="Arial" w:hAnsi="Arial"/>
                <w:sz w:val="18"/>
                <w:szCs w:val="18"/>
                <w:b w:val="1"/>
                <w:bCs w:val="1"/>
                <w:color w:val="auto"/>
              </w:rPr>
              <w:t>Pretax Operating Income</w:t>
            </w:r>
          </w:p>
        </w:tc>
        <w:tc>
          <w:tcPr>
            <w:tcW w:w="1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Reservoir Performance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Well Construction</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2,248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2,826</w:t>
            </w: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Production Systems</w:t>
            </w:r>
          </w:p>
        </w:tc>
        <w:tc>
          <w:tcPr>
            <w:tcW w:w="1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2,184</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5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3"/>
        </w:trPr>
        <w:tc>
          <w:tcPr>
            <w:tcW w:w="4000" w:type="dxa"/>
            <w:vAlign w:val="bottom"/>
          </w:tcPr>
          <w:p>
            <w:pPr>
              <w:spacing w:after="0"/>
              <w:rPr>
                <w:sz w:val="19"/>
                <w:szCs w:val="19"/>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5,682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6,178</w:t>
            </w:r>
          </w:p>
        </w:tc>
        <w:tc>
          <w:tcPr>
            <w:tcW w:w="5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w:t>
            </w:r>
          </w:p>
        </w:tc>
      </w:tr>
    </w:tbl>
    <w:p>
      <w:pPr>
        <w:spacing w:after="0" w:line="1" w:lineRule="exact"/>
        <w:rPr>
          <w:sz w:val="20"/>
          <w:szCs w:val="20"/>
          <w:color w:val="auto"/>
        </w:rPr>
      </w:pPr>
    </w:p>
    <w:tbl>
      <w:tblPr>
        <w:tblLayout w:type="fixed"/>
        <w:tblInd w:w="884" w:type="dxa"/>
        <w:tblCellMar>
          <w:top w:w="0" w:type="dxa"/>
          <w:left w:w="0" w:type="dxa"/>
          <w:bottom w:w="0" w:type="dxa"/>
          <w:right w:w="0" w:type="dxa"/>
        </w:tblCellMar>
      </w:tblPr>
      <w:tr>
        <w:trPr>
          <w:trHeight w:val="223"/>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Pretax Operating Margin</w:t>
            </w:r>
          </w:p>
        </w:tc>
        <w:tc>
          <w:tcPr>
            <w:tcW w:w="660" w:type="dxa"/>
            <w:vAlign w:val="bottom"/>
            <w:tcBorders>
              <w:top w:val="single" w:sz="8" w:color="auto"/>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Reservoir Performance</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18 .3%</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20.2%</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19 .0%</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Production Systems</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16.4%</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15.9%</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
        </w:trPr>
        <w:tc>
          <w:tcPr>
            <w:tcW w:w="58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8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17.8%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-127 bps</w:t>
            </w:r>
          </w:p>
        </w:tc>
      </w:tr>
      <w:tr>
        <w:trPr>
          <w:trHeight w:val="20"/>
        </w:trPr>
        <w:tc>
          <w:tcPr>
            <w:tcW w:w="5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3" w:lineRule="exact"/>
        <w:rPr>
          <w:sz w:val="20"/>
          <w:szCs w:val="20"/>
          <w:color w:val="auto"/>
        </w:rPr>
      </w:pPr>
    </w:p>
    <w:p>
      <w:pPr>
        <w:ind w:left="444" w:right="100"/>
        <w:spacing w:after="0" w:line="271" w:lineRule="auto"/>
        <w:rPr>
          <w:sz w:val="20"/>
          <w:szCs w:val="20"/>
          <w:color w:val="auto"/>
        </w:rPr>
      </w:pPr>
      <w:r>
        <w:rPr>
          <w:rFonts w:ascii="Arial" w:cs="Arial" w:eastAsia="Arial" w:hAnsi="Arial"/>
          <w:sz w:val="18"/>
          <w:szCs w:val="18"/>
          <w:color w:val="auto"/>
        </w:rPr>
        <w:t>Production Systems results reflect five months of activity from ChampionX, which contributed $1.45 billion of revenue. Excluding the impact of this acquisition, Core revenue decreased 6% year on year.</w:t>
      </w:r>
    </w:p>
    <w:p>
      <w:pPr>
        <w:sectPr>
          <w:pgSz w:w="11900" w:h="16838" w:orient="portrait"/>
          <w:cols w:equalWidth="0" w:num="1">
            <w:col w:w="11024"/>
          </w:cols>
          <w:pgMar w:left="436" w:top="269"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SLB</w:t>
      </w:r>
    </w:p>
    <w:p>
      <w:pPr>
        <w:spacing w:after="0" w:line="104"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SLB (NYSE: SLB) is a global technology company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SLB will hold a conference call to discuss the earnings press release and business outlook on Friday, January 23, 2026. The call is scheduled to begin at 9:30 a.m. U.S. Eastern time. To access the call, which is open to the public, please contact the conference call operator at +1 (833) 470-1428 within North America, or +1 (646) 844-6383 outside of North America, approximately 10 minutes prior to the call’s scheduled start time, and provide the access code 122785. At the conclusion of the conference call, an audio replay will be available until January 30, 2026, by dialling +1 (866) 813-9403 within North America, or +1 (929) 458-6194 outside of North America, and providing the access code 163278. The conference call will be webcasted simultaneously at https://events.q4inc.com/attendee/391273915 on a listen-only basis. A replay of the webcast will also be available at the same website until January 30, 2026.</w:t>
      </w:r>
    </w:p>
    <w:p>
      <w:pPr>
        <w:sectPr>
          <w:pgSz w:w="11900" w:h="16838" w:orient="portrait"/>
          <w:cols w:equalWidth="0" w:num="1">
            <w:col w:w="11000"/>
          </w:cols>
          <w:pgMar w:left="440" w:top="269" w:right="45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color w:val="auto"/>
        </w:rPr>
        <w:t>Investors</w:t>
      </w:r>
    </w:p>
    <w:p>
      <w:pPr>
        <w:spacing w:after="0" w:line="20" w:lineRule="exact"/>
        <w:rPr>
          <w:sz w:val="20"/>
          <w:szCs w:val="20"/>
          <w:color w:val="auto"/>
        </w:rPr>
      </w:pPr>
      <w:r>
        <w:rPr>
          <w:sz w:val="20"/>
          <w:szCs w:val="20"/>
          <w:color w:val="auto"/>
        </w:rPr>
        <w:br w:type="column"/>
      </w:r>
    </w:p>
    <w:p>
      <w:pPr>
        <w:jc w:val="center"/>
        <w:ind w:right="4880"/>
        <w:spacing w:after="0"/>
        <w:rPr>
          <w:sz w:val="20"/>
          <w:szCs w:val="20"/>
          <w:color w:val="auto"/>
        </w:rPr>
      </w:pPr>
      <w:r>
        <w:rPr>
          <w:rFonts w:ascii="Arial" w:cs="Arial" w:eastAsia="Arial" w:hAnsi="Arial"/>
          <w:sz w:val="14"/>
          <w:szCs w:val="14"/>
          <w:b w:val="1"/>
          <w:bCs w:val="1"/>
          <w:color w:val="auto"/>
        </w:rPr>
        <w:t>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-189865</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5020" w:space="720"/>
            <w:col w:w="5280"/>
          </w:cols>
          <w:pgMar w:left="440" w:top="279" w:right="439" w:bottom="1440" w:gutter="0" w:footer="0" w:header="0"/>
        </w:sectPr>
      </w:pPr>
    </w:p>
    <w:p>
      <w:pPr>
        <w:spacing w:after="0"/>
        <w:rPr>
          <w:sz w:val="20"/>
          <w:szCs w:val="20"/>
          <w:color w:val="auto"/>
        </w:rPr>
      </w:pPr>
      <w:r>
        <w:rPr>
          <w:rFonts w:ascii="Arial" w:cs="Arial" w:eastAsia="Arial" w:hAnsi="Arial"/>
          <w:sz w:val="17"/>
          <w:szCs w:val="17"/>
          <w:color w:val="auto"/>
        </w:rPr>
        <w:t>James R. McDonald — SVP, Investor Relations &amp; Industry Affairs,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SLB Joy V. Domingo — Director of Investor Relations, SLB</w:t>
      </w:r>
    </w:p>
    <w:p>
      <w:pPr>
        <w:spacing w:after="0" w:line="234" w:lineRule="auto"/>
        <w:rPr>
          <w:sz w:val="20"/>
          <w:szCs w:val="20"/>
          <w:color w:val="auto"/>
        </w:rPr>
      </w:pPr>
      <w:r>
        <w:rPr>
          <w:rFonts w:ascii="Arial" w:cs="Arial" w:eastAsia="Arial" w:hAnsi="Arial"/>
          <w:sz w:val="18"/>
          <w:szCs w:val="18"/>
          <w:color w:val="auto"/>
        </w:rPr>
        <w:t>Tel: +1 (713) 375-3535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Josh Byerly — SVP of Global Communications, SLB Moira Duff —</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Director of External Communications, SLB</w:t>
      </w:r>
    </w:p>
    <w:p>
      <w:pPr>
        <w:spacing w:after="0" w:line="234" w:lineRule="auto"/>
        <w:rPr>
          <w:sz w:val="20"/>
          <w:szCs w:val="20"/>
          <w:color w:val="auto"/>
        </w:rPr>
      </w:pPr>
      <w:r>
        <w:rPr>
          <w:rFonts w:ascii="Arial" w:cs="Arial" w:eastAsia="Arial" w:hAnsi="Arial"/>
          <w:sz w:val="18"/>
          <w:szCs w:val="18"/>
          <w:color w:val="auto"/>
        </w:rPr>
        <w:t>Tel: +1 (713) 375-3407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media@slb.com</w:t>
      </w:r>
    </w:p>
    <w:p>
      <w:pPr>
        <w:spacing w:after="0" w:line="200" w:lineRule="exact"/>
        <w:rPr>
          <w:sz w:val="20"/>
          <w:szCs w:val="20"/>
          <w:color w:val="auto"/>
        </w:rPr>
      </w:pPr>
    </w:p>
    <w:p>
      <w:pPr>
        <w:sectPr>
          <w:pgSz w:w="11900" w:h="16838" w:orient="portrait"/>
          <w:cols w:equalWidth="0" w:num="2">
            <w:col w:w="5240" w:space="500"/>
            <w:col w:w="5280"/>
          </w:cols>
          <w:pgMar w:left="440" w:top="279" w:right="4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This fourth-quarter and full-year 2025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the benefits of the ChampionX acquisition, including the ability of SLB to integrate the ChampionX business successfully and to achieve anticipated synergies and value creation from the acquisition;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programs; our APS projects, joint ventures, and other alliances; the impact of the ongoing or escalating conflicts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foreign currency risk; inflation; changes in monetary policy by governments; tariffs;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(the “SEC”).</w:t>
      </w:r>
    </w:p>
    <w:p>
      <w:pPr>
        <w:spacing w:after="0" w:line="18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SLB disclaims any intention or obligation to update publicly or revise such statements, whether as a result of new information, future events, or otherwise.</w:t>
      </w:r>
    </w:p>
    <w:sectPr>
      <w:pgSz w:w="11900" w:h="16838" w:orient="portrait"/>
      <w:cols w:equalWidth="0" w:num="1">
        <w:col w:w="11020"/>
      </w:cols>
      <w:pgMar w:left="440" w:top="27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lowerLetter"/>
      <w:start w:val="4"/>
    </w:lvl>
  </w:abstractNum>
  <w:abstractNum w:abstractNumId="2">
    <w:nsid w:val="25E45D32"/>
    <w:multiLevelType w:val="hybridMultilevel"/>
    <w:lvl w:ilvl="0">
      <w:lvlJc w:val="left"/>
      <w:lvlText w:val=" "/>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8"/>
    </w:lvl>
  </w:abstractNum>
  <w:abstractNum w:abstractNumId="25">
    <w:nsid w:val="836C40E"/>
    <w:multiLevelType w:val="hybridMultilevel"/>
    <w:lvl w:ilvl="0">
      <w:lvlJc w:val="left"/>
      <w:lvlText w:val="%1)"/>
      <w:numFmt w:val="decimal"/>
      <w:start w:val="9"/>
    </w:lvl>
  </w:abstractNum>
  <w:abstractNum w:abstractNumId="26">
    <w:nsid w:val="2901D82"/>
    <w:multiLevelType w:val="hybridMultilevel"/>
    <w:lvl w:ilvl="0">
      <w:lvlJc w:val="left"/>
      <w:lvlText w:val="%1)"/>
      <w:numFmt w:val="decimal"/>
      <w:start w:val="10"/>
    </w:lvl>
  </w:abstractNum>
  <w:abstractNum w:abstractNumId="27">
    <w:nsid w:val="3A95F874"/>
    <w:multiLevelType w:val="hybridMultilevel"/>
    <w:lvl w:ilvl="0">
      <w:lvlJc w:val="left"/>
      <w:lvlText w:val="%1)"/>
      <w:numFmt w:val="decimal"/>
      <w:start w:val="11"/>
    </w:lvl>
  </w:abstractNum>
  <w:abstractNum w:abstractNumId="28">
    <w:nsid w:val="8138641"/>
    <w:multiLevelType w:val="hybridMultilevel"/>
    <w:lvl w:ilvl="0">
      <w:lvlJc w:val="left"/>
      <w:lvlText w:val="%1)"/>
      <w:numFmt w:val="decimal"/>
      <w:start w:val="12"/>
    </w:lvl>
  </w:abstractNum>
  <w:abstractNum w:abstractNumId="29">
    <w:nsid w:val="1E7FF521"/>
    <w:multiLevelType w:val="hybridMultilevel"/>
    <w:lvl w:ilvl="0">
      <w:lvlJc w:val="left"/>
      <w:lvlText w:val="%1)"/>
      <w:numFmt w:val="decimal"/>
      <w:start w:val="13"/>
    </w:lvl>
  </w:abstractNum>
  <w:abstractNum w:abstractNumId="30">
    <w:nsid w:val="7C3DBD3D"/>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2026-01-23T06:09:46Z</dcterms:created>
  <dcterms:modified xsi:type="dcterms:W3CDTF">2026-01-23T06:09:46Z</dcterms:modified>
</cp:coreProperties>
</file>