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January 26, 2022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20" w:right="180" w:hanging="419"/>
        <w:spacing w:after="0" w:line="277" w:lineRule="auto"/>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Annual Report Under Section 219 of the Iran Threat Reduction and Syria Human Rights Act of 2012 and Section 13(r) of the Exchange Act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300" w:firstLine="440"/>
        <w:spacing w:after="0" w:line="301" w:lineRule="auto"/>
        <w:rPr>
          <w:sz w:val="20"/>
          <w:szCs w:val="20"/>
          <w:color w:val="auto"/>
        </w:rPr>
      </w:pPr>
      <w:r>
        <w:rPr>
          <w:rFonts w:ascii="Arial" w:cs="Arial" w:eastAsia="Arial" w:hAnsi="Arial"/>
          <w:sz w:val="16"/>
          <w:szCs w:val="16"/>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Annual Report on Form 10-K for the fiscal year ended December 31, 2021, which was filed with the U.S. Securities and Exchange Commission on January 26, 2022. Such disclosure appears on page 68 of the Annual Report on Form 10-K and is incorporated by reference herein.</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Samantha Blons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Samantha Blons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1020"/>
      </w:cols>
      <w:pgMar w:left="440" w:top="2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2022-01-26T13:38:09Z</dcterms:created>
  <dcterms:modified xsi:type="dcterms:W3CDTF">2022-01-26T13:38:09Z</dcterms:modified>
</cp:coreProperties>
</file>