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108585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94615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1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92710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9" w:lineRule="exact"/>
        <w:rPr>
          <w:sz w:val="24"/>
          <w:szCs w:val="24"/>
          <w:color w:val="auto"/>
        </w:rPr>
      </w:pPr>
    </w:p>
    <w:tbl>
      <w:tblPr>
        <w:tblLayout w:type="fixed"/>
        <w:tblInd w:w="1520" w:type="dxa"/>
        <w:tblCellMar>
          <w:top w:w="0" w:type="dxa"/>
          <w:left w:w="0" w:type="dxa"/>
          <w:bottom w:w="0" w:type="dxa"/>
          <w:right w:w="0" w:type="dxa"/>
        </w:tblCellMar>
      </w:tblPr>
      <w:tr>
        <w:trPr>
          <w:trHeight w:val="208"/>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7"/>
              </w:rPr>
              <w:t>CURAÇAO</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w w:val="98"/>
              </w:rPr>
              <w:t>52-0684746</w:t>
            </w:r>
          </w:p>
        </w:tc>
      </w:tr>
      <w:tr>
        <w:trPr>
          <w:trHeight w:val="146"/>
        </w:trPr>
        <w:tc>
          <w:tcPr>
            <w:tcW w:w="4560" w:type="dxa"/>
            <w:vAlign w:val="bottom"/>
          </w:tcPr>
          <w:p>
            <w:pPr>
              <w:jc w:val="center"/>
              <w:ind w:right="191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91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7"/>
              </w:rPr>
              <w:t>42 RUE SAINT-DOMINIQUE</w:t>
            </w:r>
          </w:p>
        </w:tc>
        <w:tc>
          <w:tcPr>
            <w:tcW w:w="3100" w:type="dxa"/>
            <w:vAlign w:val="bottom"/>
          </w:tcPr>
          <w:p>
            <w:pPr>
              <w:spacing w:after="0"/>
              <w:rPr>
                <w:sz w:val="24"/>
                <w:szCs w:val="24"/>
                <w:color w:val="auto"/>
              </w:rPr>
            </w:pPr>
          </w:p>
        </w:tc>
      </w:tr>
      <w:tr>
        <w:trPr>
          <w:trHeight w:val="234"/>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7"/>
              </w:rPr>
              <w:t>PARIS, FRANCE</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311"/>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8"/>
              </w:rPr>
              <w:t>5599 SAN FELIPE</w:t>
            </w:r>
          </w:p>
        </w:tc>
        <w:tc>
          <w:tcPr>
            <w:tcW w:w="3100" w:type="dxa"/>
            <w:vAlign w:val="bottom"/>
          </w:tcPr>
          <w:p>
            <w:pPr>
              <w:spacing w:after="0"/>
              <w:rPr>
                <w:sz w:val="24"/>
                <w:szCs w:val="24"/>
                <w:color w:val="auto"/>
              </w:rPr>
            </w:pPr>
          </w:p>
        </w:tc>
      </w:tr>
      <w:tr>
        <w:trPr>
          <w:trHeight w:val="234"/>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8"/>
              </w:rPr>
              <w:t>HOUSTON, TEXAS, U.S.A.</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311"/>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8"/>
              </w:rPr>
              <w:t>62 BUCKINGHAM GATE</w:t>
            </w:r>
          </w:p>
        </w:tc>
        <w:tc>
          <w:tcPr>
            <w:tcW w:w="3100" w:type="dxa"/>
            <w:vAlign w:val="bottom"/>
          </w:tcPr>
          <w:p>
            <w:pPr>
              <w:spacing w:after="0"/>
              <w:rPr>
                <w:sz w:val="24"/>
                <w:szCs w:val="24"/>
                <w:color w:val="auto"/>
              </w:rPr>
            </w:pPr>
          </w:p>
        </w:tc>
      </w:tr>
      <w:tr>
        <w:trPr>
          <w:trHeight w:val="234"/>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8"/>
              </w:rPr>
              <w:t>LONDON, UNITED KINGDOM</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w w:val="96"/>
              </w:rPr>
              <w:t>SW1E 6AJ</w:t>
            </w:r>
          </w:p>
        </w:tc>
      </w:tr>
      <w:tr>
        <w:trPr>
          <w:trHeight w:val="311"/>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6"/>
              </w:rPr>
              <w:t>PARKSTRAAT 83 THE HAGUE,</w:t>
            </w:r>
          </w:p>
        </w:tc>
        <w:tc>
          <w:tcPr>
            <w:tcW w:w="3100" w:type="dxa"/>
            <w:vAlign w:val="bottom"/>
          </w:tcPr>
          <w:p>
            <w:pPr>
              <w:spacing w:after="0"/>
              <w:rPr>
                <w:sz w:val="24"/>
                <w:szCs w:val="24"/>
                <w:color w:val="auto"/>
              </w:rPr>
            </w:pPr>
          </w:p>
        </w:tc>
      </w:tr>
      <w:tr>
        <w:trPr>
          <w:trHeight w:val="208"/>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86"/>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4"/>
                <w:szCs w:val="14"/>
                <w:b w:val="1"/>
                <w:bCs w:val="1"/>
                <w:color w:val="auto"/>
                <w:w w:val="99"/>
              </w:rPr>
              <w:t>(Zip Codes)</w:t>
            </w:r>
          </w:p>
        </w:tc>
      </w:tr>
    </w:tbl>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is:  (713) 513-2000</w:t>
      </w:r>
    </w:p>
    <w:p>
      <w:pPr>
        <w:spacing w:after="0" w:line="118"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0" w:lineRule="exact"/>
        <w:rPr>
          <w:sz w:val="24"/>
          <w:szCs w:val="24"/>
          <w:color w:val="auto"/>
        </w:rPr>
      </w:pPr>
    </w:p>
    <w:p>
      <w:pPr>
        <w:ind w:right="240"/>
        <w:spacing w:after="0" w:line="26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00" w:val="left"/>
          <w:tab w:leader="none" w:pos="112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ectPr>
          <w:pgSz w:w="11900" w:h="16838" w:orient="portrait"/>
          <w:cols w:equalWidth="0" w:num="1">
            <w:col w:w="11440"/>
          </w:cols>
          <w:pgMar w:left="240" w:top="199" w:right="219" w:bottom="1440" w:gutter="0" w:footer="0" w:header="0"/>
        </w:sectPr>
      </w:pP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53"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7" w:lineRule="exact"/>
        <w:rPr>
          <w:sz w:val="24"/>
          <w:szCs w:val="24"/>
          <w:color w:val="auto"/>
        </w:rPr>
      </w:pPr>
    </w:p>
    <w:p>
      <w:pPr>
        <w:sectPr>
          <w:pgSz w:w="11900" w:h="16838" w:orient="portrait"/>
          <w:cols w:equalWidth="0" w:num="2">
            <w:col w:w="1740" w:space="560"/>
            <w:col w:w="9140"/>
          </w:cols>
          <w:pgMar w:left="240" w:top="199" w:right="219" w:bottom="1440" w:gutter="0" w:footer="0" w:header="0"/>
          <w:type w:val="continuous"/>
        </w:sectPr>
      </w:pPr>
    </w:p>
    <w:p>
      <w:pPr>
        <w:ind w:right="3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794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tc>
        <w:tc>
          <w:tcPr>
            <w:tcW w:w="350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88"/>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1"/>
        </w:trPr>
        <w:tc>
          <w:tcPr>
            <w:tcW w:w="7940" w:type="dxa"/>
            <w:vAlign w:val="bottom"/>
            <w:gridSpan w:val="3"/>
          </w:tcPr>
          <w:p>
            <w:pPr>
              <w:ind w:left="38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580" w:type="dxa"/>
            <w:vAlign w:val="bottom"/>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Outstanding at September 30, 2017</w:t>
            </w:r>
          </w:p>
        </w:tc>
        <w:tc>
          <w:tcPr>
            <w:tcW w:w="520" w:type="dxa"/>
            <w:vAlign w:val="bottom"/>
          </w:tcPr>
          <w:p>
            <w:pPr>
              <w:spacing w:after="0"/>
              <w:rPr>
                <w:sz w:val="24"/>
                <w:szCs w:val="24"/>
                <w:color w:val="auto"/>
              </w:rPr>
            </w:pPr>
          </w:p>
        </w:tc>
      </w:tr>
      <w:tr>
        <w:trPr>
          <w:trHeight w:val="221"/>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29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1,385,261,690</w:t>
            </w:r>
          </w:p>
        </w:tc>
        <w:tc>
          <w:tcPr>
            <w:tcW w:w="520" w:type="dxa"/>
            <w:vAlign w:val="bottom"/>
          </w:tcPr>
          <w:p>
            <w:pPr>
              <w:spacing w:after="0"/>
              <w:rPr>
                <w:sz w:val="19"/>
                <w:szCs w:val="19"/>
                <w:color w:val="auto"/>
              </w:rPr>
            </w:pPr>
          </w:p>
        </w:tc>
      </w:tr>
      <w:tr>
        <w:trPr>
          <w:trHeight w:val="131"/>
        </w:trPr>
        <w:tc>
          <w:tcPr>
            <w:tcW w:w="38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7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4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99" w:right="2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Third Quarter 2017 Form 10-Q</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9660" w:type="dxa"/>
            <w:vAlign w:val="bottom"/>
            <w:gridSpan w:val="11"/>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3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Quantitative and Qualitative Disclosures about Market Risk</w:t>
              </w:r>
            </w:hyperlink>
          </w:p>
        </w:tc>
        <w:tc>
          <w:tcPr>
            <w:tcW w:w="33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Controls and Procedures</w:t>
              </w:r>
            </w:hyperlink>
          </w:p>
        </w:tc>
        <w:tc>
          <w:tcPr>
            <w:tcW w:w="2480" w:type="dxa"/>
            <w:vAlign w:val="bottom"/>
            <w:tcBorders>
              <w:top w:val="single" w:sz="8" w:color="0000EE"/>
            </w:tcBorders>
            <w:gridSpan w:val="2"/>
          </w:tcPr>
          <w:p>
            <w:pPr>
              <w:spacing w:after="0"/>
              <w:rPr>
                <w:sz w:val="23"/>
                <w:szCs w:val="23"/>
                <w:color w:val="auto"/>
              </w:rPr>
            </w:pPr>
          </w:p>
        </w:tc>
        <w:tc>
          <w:tcPr>
            <w:tcW w:w="54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3"/>
                <w:szCs w:val="23"/>
                <w:color w:val="auto"/>
              </w:rPr>
            </w:pPr>
          </w:p>
        </w:tc>
        <w:tc>
          <w:tcPr>
            <w:tcW w:w="83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3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Defaults Upon Senior Securities</w:t>
              </w:r>
            </w:hyperlink>
          </w:p>
        </w:tc>
        <w:tc>
          <w:tcPr>
            <w:tcW w:w="1980" w:type="dxa"/>
            <w:vAlign w:val="bottom"/>
            <w:tcBorders>
              <w:top w:val="single" w:sz="8" w:color="0000EE"/>
            </w:tcBorders>
            <w:gridSpan w:val="2"/>
          </w:tcPr>
          <w:p>
            <w:pPr>
              <w:spacing w:after="0"/>
              <w:rPr>
                <w:sz w:val="23"/>
                <w:szCs w:val="23"/>
                <w:color w:val="auto"/>
              </w:rPr>
            </w:pPr>
          </w:p>
        </w:tc>
        <w:tc>
          <w:tcPr>
            <w:tcW w:w="538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Mine Safety Disclosures</w:t>
              </w:r>
            </w:hyperlink>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2"/>
          </w:tcPr>
          <w:p>
            <w:pPr>
              <w:spacing w:after="0"/>
              <w:rPr>
                <w:sz w:val="23"/>
                <w:szCs w:val="23"/>
                <w:color w:val="auto"/>
              </w:rPr>
            </w:pPr>
          </w:p>
        </w:tc>
        <w:tc>
          <w:tcPr>
            <w:tcW w:w="8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3"/>
        </w:trPr>
        <w:tc>
          <w:tcPr>
            <w:tcW w:w="114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69850</wp:posOffset>
            </wp:positionV>
            <wp:extent cx="72910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80"/>
          </w:cols>
          <w:pgMar w:left="320" w:top="119"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INCOME (LOSS)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4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r>
              <w:rPr>
                <w:rFonts w:ascii="Times New Roman" w:cs="Times New Roman" w:eastAsia="Times New Roman" w:hAnsi="Times New Roman"/>
                <w:sz w:val="14"/>
                <w:szCs w:val="14"/>
                <w:color w:val="auto"/>
              </w:rPr>
              <w:t>)</w:t>
            </w:r>
          </w:p>
        </w:tc>
      </w:tr>
      <w:tr>
        <w:trPr>
          <w:trHeight w:val="436"/>
        </w:trPr>
        <w:tc>
          <w:tcPr>
            <w:tcW w:w="588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58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5,895</w:t>
            </w:r>
          </w:p>
        </w:tc>
        <w:tc>
          <w:tcPr>
            <w:tcW w:w="240" w:type="dxa"/>
            <w:vAlign w:val="bottom"/>
          </w:tcPr>
          <w:p>
            <w:pPr>
              <w:spacing w:after="0"/>
              <w:rPr>
                <w:sz w:val="19"/>
                <w:szCs w:val="19"/>
                <w:color w:val="auto"/>
              </w:rPr>
            </w:pPr>
          </w:p>
        </w:tc>
        <w:tc>
          <w:tcPr>
            <w:tcW w:w="78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5,023</w:t>
            </w:r>
          </w:p>
        </w:tc>
        <w:tc>
          <w:tcPr>
            <w:tcW w:w="48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16,308</w:t>
            </w:r>
          </w:p>
        </w:tc>
        <w:tc>
          <w:tcPr>
            <w:tcW w:w="62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2,010</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1,996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5,953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7,905</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7,019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22,261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Interest &amp; other income</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services</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4,939</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4,355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1,858</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&amp; engineering</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Impairments &amp; other</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Merger &amp; integration</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(loss) before taxes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Taxes on income (loss)</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 (loss)</w:t>
            </w: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9"/>
                <w:szCs w:val="19"/>
                <w:color w:val="auto"/>
              </w:rPr>
            </w:pPr>
          </w:p>
        </w:tc>
      </w:tr>
      <w:tr>
        <w:trPr>
          <w:trHeight w:val="259"/>
        </w:trPr>
        <w:tc>
          <w:tcPr>
            <w:tcW w:w="5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Schlumberger</w:t>
            </w:r>
          </w:p>
        </w:tc>
        <w:tc>
          <w:tcPr>
            <w:tcW w:w="7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24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2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FF0FC"/>
            </w:tcBorders>
          </w:tcPr>
          <w:p>
            <w:pPr>
              <w:spacing w:after="0"/>
              <w:rPr>
                <w:sz w:val="22"/>
                <w:szCs w:val="22"/>
                <w:color w:val="auto"/>
              </w:rPr>
            </w:pPr>
          </w:p>
        </w:tc>
      </w:tr>
      <w:tr>
        <w:trPr>
          <w:trHeight w:val="206"/>
        </w:trPr>
        <w:tc>
          <w:tcPr>
            <w:tcW w:w="58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6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 of Schlumberger</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240" w:type="dxa"/>
            <w:vAlign w:val="bottom"/>
          </w:tcPr>
          <w:p>
            <w:pPr>
              <w:spacing w:after="0"/>
              <w:rPr>
                <w:sz w:val="23"/>
                <w:szCs w:val="23"/>
                <w:color w:val="auto"/>
              </w:rPr>
            </w:pPr>
          </w:p>
        </w:tc>
        <w:tc>
          <w:tcPr>
            <w:tcW w:w="78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0.54</w:t>
            </w:r>
          </w:p>
        </w:tc>
        <w:tc>
          <w:tcPr>
            <w:tcW w:w="62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06"/>
        </w:trPr>
        <w:tc>
          <w:tcPr>
            <w:tcW w:w="58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6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 of Schlumberger</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240" w:type="dxa"/>
            <w:vAlign w:val="bottom"/>
          </w:tcPr>
          <w:p>
            <w:pPr>
              <w:spacing w:after="0"/>
              <w:rPr>
                <w:sz w:val="23"/>
                <w:szCs w:val="23"/>
                <w:color w:val="auto"/>
              </w:rPr>
            </w:pPr>
          </w:p>
        </w:tc>
        <w:tc>
          <w:tcPr>
            <w:tcW w:w="78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0.54</w:t>
            </w:r>
          </w:p>
        </w:tc>
        <w:tc>
          <w:tcPr>
            <w:tcW w:w="62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06"/>
        </w:trPr>
        <w:tc>
          <w:tcPr>
            <w:tcW w:w="58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1,385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1,392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FF0FC"/>
          </w:tcPr>
          <w:p>
            <w:pPr>
              <w:spacing w:after="0"/>
              <w:rPr>
                <w:sz w:val="19"/>
                <w:szCs w:val="19"/>
                <w:color w:val="auto"/>
              </w:rPr>
            </w:pPr>
          </w:p>
        </w:tc>
      </w:tr>
      <w:tr>
        <w:trPr>
          <w:trHeight w:val="234"/>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Assuming dilution</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1,392</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1,401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 w:name="page4"/>
    <w:bookmarkEnd w:id="3"/>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COMPREHENSIVE INCOME (LOSS)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58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 (loss)</w:t>
            </w:r>
          </w:p>
        </w:tc>
        <w:tc>
          <w:tcPr>
            <w:tcW w:w="820" w:type="dxa"/>
            <w:vAlign w:val="bottom"/>
            <w:shd w:val="clear" w:color="auto" w:fill="CFF0FC"/>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net change arising during the period</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loss arising during the period</w:t>
            </w: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(41)</w:t>
            </w: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gain (loss) on cash flow hedges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net income (loss) of net realized loss (gain)</w:t>
            </w: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to net income (loss) of net actuarial loss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Prior service cost</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to net income (loss) of net prior service cost</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on pension and other postretirement benefit plans</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Comprehensive income (loss) attributable to Schlumberger</w:t>
            </w:r>
          </w:p>
        </w:tc>
        <w:tc>
          <w:tcPr>
            <w:tcW w:w="820" w:type="dxa"/>
            <w:vAlign w:val="bottom"/>
            <w:tcBorders>
              <w:bottom w:val="single" w:sz="8" w:color="auto"/>
            </w:tcBorders>
            <w:shd w:val="clear" w:color="auto" w:fill="CFF0FC"/>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9"/>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Dec. 31,</w:t>
            </w:r>
          </w:p>
        </w:tc>
      </w:tr>
      <w:tr>
        <w:trPr>
          <w:trHeight w:val="233"/>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r>
      <w:tr>
        <w:trPr>
          <w:trHeight w:val="232"/>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Receivables less allowance for doubtful accounts (2017 - $321; 2016 - $397)</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9,436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19,914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Fixed Income Investments, held to maturity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25,113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4,191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shd w:val="clear" w:color="auto" w:fill="CFF0FC"/>
          </w:tcPr>
          <w:p>
            <w:pPr>
              <w:spacing w:after="0"/>
              <w:rPr>
                <w:sz w:val="19"/>
                <w:szCs w:val="19"/>
                <w:color w:val="auto"/>
              </w:rPr>
            </w:pPr>
          </w:p>
        </w:tc>
      </w:tr>
      <w:tr>
        <w:trPr>
          <w:trHeight w:val="259"/>
        </w:trPr>
        <w:tc>
          <w:tcPr>
            <w:tcW w:w="78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73,569</w:t>
            </w:r>
          </w:p>
        </w:tc>
        <w:tc>
          <w:tcPr>
            <w:tcW w:w="2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77,956</w:t>
            </w:r>
          </w:p>
        </w:tc>
        <w:tc>
          <w:tcPr>
            <w:tcW w:w="100" w:type="dxa"/>
            <w:vAlign w:val="bottom"/>
            <w:tcBorders>
              <w:bottom w:val="single" w:sz="8" w:color="CFF0FC"/>
            </w:tcBorders>
          </w:tcPr>
          <w:p>
            <w:pPr>
              <w:spacing w:after="0"/>
              <w:rPr>
                <w:sz w:val="22"/>
                <w:szCs w:val="22"/>
                <w:color w:val="auto"/>
              </w:rPr>
            </w:pPr>
          </w:p>
        </w:tc>
      </w:tr>
      <w:tr>
        <w:trPr>
          <w:trHeight w:val="206"/>
        </w:trPr>
        <w:tc>
          <w:tcPr>
            <w:tcW w:w="782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9,715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13,014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12,863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(3,966)</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(3,550)</w:t>
            </w: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35,136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(4,460)</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(4,643)</w:t>
            </w:r>
          </w:p>
        </w:tc>
      </w:tr>
      <w:tr>
        <w:trPr>
          <w:trHeight w:val="21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39,573</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40,010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41,529</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73,569</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 w:name="page6"/>
    <w:bookmarkEnd w:id="5"/>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CASH FLOWS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04"/>
        </w:trPr>
        <w:tc>
          <w:tcPr>
            <w:tcW w:w="6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20" w:type="dxa"/>
            <w:vAlign w:val="bottom"/>
            <w:gridSpan w:val="7"/>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53"/>
        </w:trPr>
        <w:tc>
          <w:tcPr>
            <w:tcW w:w="672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2017</w:t>
            </w:r>
          </w:p>
        </w:tc>
        <w:tc>
          <w:tcPr>
            <w:tcW w:w="5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tcBorders>
              <w:bottom w:val="single" w:sz="8" w:color="CFF0FC"/>
            </w:tcBorders>
          </w:tcPr>
          <w:p>
            <w:pPr>
              <w:spacing w:after="0"/>
              <w:rPr>
                <w:sz w:val="13"/>
                <w:szCs w:val="13"/>
                <w:color w:val="auto"/>
              </w:rPr>
            </w:pPr>
          </w:p>
        </w:tc>
      </w:tr>
      <w:tr>
        <w:trPr>
          <w:trHeight w:val="20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2200" w:type="dxa"/>
            <w:vAlign w:val="bottom"/>
            <w:gridSpan w:val="2"/>
          </w:tcPr>
          <w:p>
            <w:pPr>
              <w:jc w:val="right"/>
              <w:ind w:right="88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758</w:t>
            </w: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(1,432)</w:t>
            </w:r>
          </w:p>
        </w:tc>
      </w:tr>
      <w:tr>
        <w:trPr>
          <w:trHeight w:val="214"/>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Impairments and other charges</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600"/>
              <w:spacing w:after="0" w:line="214" w:lineRule="exact"/>
              <w:rPr>
                <w:sz w:val="20"/>
                <w:szCs w:val="20"/>
                <w:color w:val="auto"/>
              </w:rPr>
            </w:pPr>
            <w:r>
              <w:rPr>
                <w:rFonts w:ascii="Times New Roman" w:cs="Times New Roman" w:eastAsia="Times New Roman" w:hAnsi="Times New Roman"/>
                <w:sz w:val="15"/>
                <w:szCs w:val="15"/>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Pension and other postretirement benefits expense</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Pension and other postretirement benefits funding</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r>
      <w:tr>
        <w:trPr>
          <w:trHeight w:val="214"/>
        </w:trPr>
        <w:tc>
          <w:tcPr>
            <w:tcW w:w="6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Earnings of equity method investments, less dividends received</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6720" w:type="dxa"/>
            <w:vAlign w:val="bottom"/>
          </w:tcPr>
          <w:p>
            <w:pPr>
              <w:ind w:left="240"/>
              <w:spacing w:after="0" w:line="212" w:lineRule="exact"/>
              <w:rPr>
                <w:sz w:val="20"/>
                <w:szCs w:val="20"/>
                <w:color w:val="auto"/>
              </w:rPr>
            </w:pPr>
            <w:r>
              <w:rPr>
                <w:rFonts w:ascii="Times New Roman" w:cs="Times New Roman" w:eastAsia="Times New Roman" w:hAnsi="Times New Roman"/>
                <w:sz w:val="15"/>
                <w:szCs w:val="15"/>
                <w:color w:val="auto"/>
              </w:rPr>
              <w:t xml:space="preserve">Change in assets and liabilities: </w:t>
            </w:r>
            <w:r>
              <w:rPr>
                <w:rFonts w:ascii="Times New Roman" w:cs="Times New Roman" w:eastAsia="Times New Roman" w:hAnsi="Times New Roman"/>
                <w:sz w:val="24"/>
                <w:szCs w:val="24"/>
                <w:color w:val="auto"/>
                <w:vertAlign w:val="superscript"/>
              </w:rPr>
              <w:t>(2)</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(1,049)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 inventories</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(Increase) decrease in other current assets</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(335)</w:t>
            </w:r>
          </w:p>
        </w:tc>
      </w:tr>
      <w:tr>
        <w:trPr>
          <w:trHeight w:val="214"/>
        </w:trPr>
        <w:tc>
          <w:tcPr>
            <w:tcW w:w="6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(533)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(1,684)</w:t>
            </w:r>
          </w:p>
        </w:tc>
      </w:tr>
      <w:tr>
        <w:trPr>
          <w:trHeight w:val="211"/>
        </w:trPr>
        <w:tc>
          <w:tcPr>
            <w:tcW w:w="67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Increase (decrease) in estimated liability for taxes on income</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w:t>
            </w:r>
          </w:p>
        </w:tc>
      </w:tr>
      <w:tr>
        <w:trPr>
          <w:trHeight w:val="214"/>
        </w:trPr>
        <w:tc>
          <w:tcPr>
            <w:tcW w:w="6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(Decrease) increase in other liabilities</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(195)</w:t>
            </w:r>
          </w:p>
        </w:tc>
      </w:tr>
      <w:tr>
        <w:trPr>
          <w:trHeight w:val="207"/>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3,412</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(1,482)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(1,401)</w:t>
            </w: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SPM investments</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(869)</w:t>
            </w: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Multiclient seismic data costs capitalized</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(497)</w:t>
            </w: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 acquisitions and investments, net of cash acquired</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(2,251)</w:t>
            </w: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Sale of investments, net</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207"/>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1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639</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(2,086)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(1,951)</w:t>
            </w: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 repurchase program</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(662)</w:t>
            </w: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(4,749)</w:t>
            </w: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(decrease) increase in short-term borrowings</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(1,110)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(5,311)</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before translation effect</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7"/>
                <w:szCs w:val="17"/>
                <w:color w:val="auto"/>
              </w:rPr>
            </w:pPr>
          </w:p>
        </w:tc>
      </w:tr>
      <w:tr>
        <w:trPr>
          <w:trHeight w:val="215"/>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Translation effect on cash</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11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0" w:type="dxa"/>
            <w:vAlign w:val="bottom"/>
            <w:tcBorders>
              <w:bottom w:val="single" w:sz="8" w:color="CFF0FC"/>
            </w:tcBorders>
          </w:tcPr>
          <w:p>
            <w:pPr>
              <w:spacing w:after="0"/>
              <w:rPr>
                <w:sz w:val="18"/>
                <w:szCs w:val="18"/>
                <w:color w:val="auto"/>
              </w:rPr>
            </w:pPr>
          </w:p>
        </w:tc>
      </w:tr>
      <w:tr>
        <w:trPr>
          <w:trHeight w:val="206"/>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11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88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280" w:hanging="194"/>
        <w:spacing w:after="0"/>
        <w:tabs>
          <w:tab w:leader="none" w:pos="28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depreciation of property, plant and equipment and amortization of intangible assets, multiclient seismic data costs and SPM investments.</w:t>
      </w:r>
    </w:p>
    <w:p>
      <w:pPr>
        <w:spacing w:after="0" w:line="22" w:lineRule="exact"/>
        <w:rPr>
          <w:rFonts w:ascii="Times New Roman" w:cs="Times New Roman" w:eastAsia="Times New Roman" w:hAnsi="Times New Roman"/>
          <w:sz w:val="23"/>
          <w:szCs w:val="23"/>
          <w:color w:val="auto"/>
          <w:vertAlign w:val="superscript"/>
        </w:rPr>
      </w:pPr>
    </w:p>
    <w:p>
      <w:pPr>
        <w:ind w:left="280" w:hanging="194"/>
        <w:spacing w:after="0" w:line="180" w:lineRule="auto"/>
        <w:tabs>
          <w:tab w:leader="none" w:pos="28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Net of the effect of business acquisitions.</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69850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00"/>
          </w:cols>
          <w:pgMar w:left="160" w:top="119" w:right="239" w:bottom="1440" w:gutter="0" w:footer="0" w:header="0"/>
        </w:sectPr>
      </w:pPr>
    </w:p>
    <w:bookmarkStart w:id="6" w:name="page7"/>
    <w:bookmarkEnd w:id="6"/>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EQUITY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5"/>
          </w:tcPr>
          <w:p>
            <w:pPr>
              <w:ind w:left="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2"/>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4"/>
                <w:szCs w:val="14"/>
                <w:color w:val="auto"/>
              </w:rPr>
            </w:pPr>
          </w:p>
        </w:tc>
        <w:tc>
          <w:tcPr>
            <w:tcW w:w="12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1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January 1, 2017 – September 30, 2017</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80"/>
              <w:spacing w:after="0" w:line="153" w:lineRule="exact"/>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09"/>
              <w:spacing w:after="0" w:line="153"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60"/>
              <w:spacing w:after="0" w:line="15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3"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80"/>
              <w:spacing w:after="0" w:line="153"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January 1, 2017</w:t>
            </w:r>
          </w:p>
        </w:tc>
        <w:tc>
          <w:tcPr>
            <w:tcW w:w="22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12,801</w:t>
            </w: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(3,550)</w:t>
            </w: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gridSpan w:val="2"/>
            <w:shd w:val="clear" w:color="auto" w:fill="CFF0FC"/>
          </w:tcPr>
          <w:p>
            <w:pPr>
              <w:jc w:val="right"/>
              <w:ind w:right="64"/>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36,470</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jc w:val="right"/>
              <w:ind w:right="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(4,643)</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41,529</w:t>
            </w:r>
          </w:p>
        </w:tc>
        <w:tc>
          <w:tcPr>
            <w:tcW w:w="20" w:type="dxa"/>
            <w:vAlign w:val="bottom"/>
            <w:tcBorders>
              <w:top w:val="single" w:sz="8" w:color="CFF0FC"/>
            </w:tcBorders>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758</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177</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88</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(52)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264</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212</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(868)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(868</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261</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261</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Dividends declared ($1.50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(2,083)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(2,083</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CFF0FC"/>
          </w:tcPr>
          <w:p>
            <w:pPr>
              <w:spacing w:after="0"/>
              <w:rPr>
                <w:sz w:val="13"/>
                <w:szCs w:val="13"/>
                <w:color w:val="auto"/>
              </w:rPr>
            </w:pP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Balance, September 30, 2017</w:t>
            </w:r>
          </w:p>
        </w:tc>
        <w:tc>
          <w:tcPr>
            <w:tcW w:w="22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12,863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(3,966)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64"/>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35,136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(4,460)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40,010</w:t>
            </w:r>
          </w:p>
        </w:tc>
        <w:tc>
          <w:tcPr>
            <w:tcW w:w="20" w:type="dxa"/>
            <w:vAlign w:val="bottom"/>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(Stated in million</w:t>
            </w:r>
          </w:p>
        </w:tc>
      </w:tr>
      <w:tr>
        <w:trPr>
          <w:trHeight w:val="292"/>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January 1, 2016 – September 30, 2016</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60"/>
              <w:spacing w:after="0" w:line="153" w:lineRule="exact"/>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00"/>
              <w:spacing w:after="0" w:line="15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380"/>
              <w:spacing w:after="0" w:line="153"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January 1, 2016</w:t>
            </w:r>
          </w:p>
        </w:tc>
        <w:tc>
          <w:tcPr>
            <w:tcW w:w="220" w:type="dxa"/>
            <w:vAlign w:val="bottom"/>
            <w:tcBorders>
              <w:top w:val="single" w:sz="8" w:color="auto"/>
            </w:tcBorders>
            <w:gridSpan w:val="2"/>
            <w:shd w:val="clear" w:color="auto" w:fill="CFF0FC"/>
          </w:tcPr>
          <w:p>
            <w:pPr>
              <w:jc w:val="right"/>
              <w:ind w:right="49"/>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12,693</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(13,372)</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40,870</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(4,558)</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35,90</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(1,482)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(1,43</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17</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(52)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(84)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(55)</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286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23</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(66</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Dividends declared ($1.50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(2,018)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(2,01</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Acquisition of Cameron International Corporation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103</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9,924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10,08</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r>
      <w:tr>
        <w:trPr>
          <w:trHeight w:val="153"/>
        </w:trPr>
        <w:tc>
          <w:tcPr>
            <w:tcW w:w="386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September 30, 2016</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12,823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(3,571)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2"/>
            <w:shd w:val="clear" w:color="auto" w:fill="CFF0FC"/>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37,370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(4,388)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340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42,57</w:t>
            </w: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SHARES OF COMMON STOCK</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63"/>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33"/>
        </w:trPr>
        <w:tc>
          <w:tcPr>
            <w:tcW w:w="6720" w:type="dxa"/>
            <w:vAlign w:val="bottom"/>
          </w:tcPr>
          <w:p>
            <w:pPr>
              <w:spacing w:after="0"/>
              <w:rPr>
                <w:sz w:val="20"/>
                <w:szCs w:val="20"/>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 Treasury</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2017</w:t>
            </w:r>
          </w:p>
        </w:tc>
        <w:tc>
          <w:tcPr>
            <w:tcW w:w="9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19" w:right="139" w:bottom="1440" w:gutter="0" w:footer="0" w:header="0"/>
        </w:sectPr>
      </w:pPr>
    </w:p>
    <w:bookmarkStart w:id="7" w:name="page8"/>
    <w:bookmarkEnd w:id="7"/>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2017 are not necessarily indicative of the results that may be expected for the full year ending December 31, 2017. The December 31, 2016 balance sheet information has been derived from the Schlumberger 2016 audited financial statements. For further information, refer to the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and notes thereto included in the Schlumberger Annual Report on Form 10-K for the year ended December 31, 2016,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Securities and Exchange Commission on January 25,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This ASU amends the existing accounting standards for revenue recognition and is based on the principle that revenue should be recognized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depict the transfer of goods or services to a customer at an amount that reflects the consideration a company expects to receive in exchange for those goods or services. Schlumberger will adopt this ASU on January 1, 2018. Schlumberger has concluded that the adoption of this ASU will not have a material impact on its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This ASU requires lessees to recognize a right of use asset and lease liability on the balance sheet for all leases, with the exception of short-term leases. Schlumberger will adopt this ASU on January 1, 2019. Based on its current lease portfolio, Schlumberger estimates that the adoption of this ASU will result in approximately $1.3 billion of additional assets and liabilities being reflected on its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280" w:hanging="274"/>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recorded the following charges and credits during the first nine months of 2017: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2017:</w:t>
      </w:r>
    </w:p>
    <w:p>
      <w:pPr>
        <w:spacing w:after="0" w:line="110" w:lineRule="exact"/>
        <w:rPr>
          <w:sz w:val="20"/>
          <w:szCs w:val="20"/>
          <w:color w:val="auto"/>
        </w:rPr>
      </w:pPr>
    </w:p>
    <w:p>
      <w:pPr>
        <w:jc w:val="both"/>
        <w:ind w:left="760" w:hanging="382"/>
        <w:spacing w:after="0" w:line="26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Schlumberger’s 2016 acquisition of Cameron International Corporation (“Cameron”) (See Note 4 – </w:t>
      </w:r>
      <w:r>
        <w:rPr>
          <w:rFonts w:ascii="Times New Roman" w:cs="Times New Roman" w:eastAsia="Times New Roman" w:hAnsi="Times New Roman"/>
          <w:sz w:val="18"/>
          <w:szCs w:val="18"/>
          <w:i w:val="1"/>
          <w:iCs w:val="1"/>
          <w:color w:val="auto"/>
        </w:rPr>
        <w:t>Acquisition of Cameron</w:t>
      </w:r>
      <w:r>
        <w:rPr>
          <w:rFonts w:ascii="Times New Roman" w:cs="Times New Roman" w:eastAsia="Times New Roman" w:hAnsi="Times New Roman"/>
          <w:sz w:val="18"/>
          <w:szCs w:val="18"/>
          <w:color w:val="auto"/>
        </w:rPr>
        <w:t xml:space="preserve">), Schlumberger recorded $49 million of charges relating to employee benefits, facility closures and other merger and integration-related costs. These charges are classified in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2017:</w:t>
      </w:r>
    </w:p>
    <w:p>
      <w:pPr>
        <w:spacing w:after="0" w:line="112" w:lineRule="exact"/>
        <w:rPr>
          <w:sz w:val="20"/>
          <w:szCs w:val="20"/>
          <w:color w:val="auto"/>
        </w:rPr>
      </w:pPr>
    </w:p>
    <w:p>
      <w:pPr>
        <w:jc w:val="both"/>
        <w:ind w:left="760" w:hanging="382"/>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of 2017, Schlumberger entered into a financing agreement with its primary customer in Venezuela. This agreement resulted in the exchange of $700 million of outstanding accounts receivable for a promissory note with a three-year term that bears interest at the rate of 6.50% per annum. Schlumberger recorded this note at its estimated fair value on the date of the exchange, which resulted in a charge of $460 million. Schlumberger is accounting for the promissory note as an available-for-sale security reported at fair value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with unrealized gains and losses included as a component of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The fair value of the promissory notes, which was $184 million as of September 30, 2017, is based on management’s estimate of pricing assumptions that market participants would use.</w:t>
      </w:r>
    </w:p>
    <w:p>
      <w:pPr>
        <w:spacing w:after="0" w:line="184" w:lineRule="exact"/>
        <w:rPr>
          <w:rFonts w:ascii="Times New Roman" w:cs="Times New Roman" w:eastAsia="Times New Roman" w:hAnsi="Times New Roman"/>
          <w:sz w:val="18"/>
          <w:szCs w:val="18"/>
          <w:color w:val="auto"/>
        </w:rPr>
      </w:pPr>
    </w:p>
    <w:p>
      <w:pPr>
        <w:jc w:val="both"/>
        <w:ind w:left="7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2017, Schlumberger also entered into discussions with another customer relating to certain of its outstanding accounts receivable. As a result of these ongoing discussions, Schlumberger recorded a charge of $50 million to adjust these receivables to their estimated net realizable value.</w:t>
      </w:r>
    </w:p>
    <w:p>
      <w:pPr>
        <w:spacing w:after="0" w:line="17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charges are classified in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8" w:name="page9"/>
    <w:bookmarkEnd w:id="8"/>
    <w:p>
      <w:pPr>
        <w:jc w:val="both"/>
        <w:ind w:left="760" w:hanging="382"/>
        <w:spacing w:after="0" w:line="26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Schlumberger’s acquisition of Cameron, Schlumberger recorded $81 million of charges relating to employee benefits, facility closures and other merger and integration-related costs. These charges are classified in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(Loss)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of 2017:</w:t>
      </w:r>
    </w:p>
    <w:p>
      <w:pPr>
        <w:spacing w:after="0" w:line="112" w:lineRule="exact"/>
        <w:rPr>
          <w:sz w:val="20"/>
          <w:szCs w:val="20"/>
          <w:color w:val="auto"/>
        </w:rPr>
      </w:pPr>
    </w:p>
    <w:p>
      <w:pPr>
        <w:jc w:val="both"/>
        <w:ind w:left="760" w:hanging="382"/>
        <w:spacing w:after="0" w:line="26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Schlumberger’s acquisition of Cameron, Schlumberger recorded $82 million of charges relating to employee benefits, facility closures and other merger and integration-related costs. These charges are classified in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(Loss)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charges and credits recorded during the first nine months of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1"/>
        </w:trPr>
        <w:tc>
          <w:tcPr>
            <w:tcW w:w="5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58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Tax</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 fair value adjustment and other</w:t>
            </w:r>
          </w:p>
        </w:tc>
        <w:tc>
          <w:tcPr>
            <w:tcW w:w="840" w:type="dxa"/>
            <w:vAlign w:val="bottom"/>
            <w:tcBorders>
              <w:top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Merger &amp; integration</w:t>
            </w: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recorded the following charges and credits during the first nine months of 2016: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of 2016:</w:t>
      </w:r>
    </w:p>
    <w:p>
      <w:pPr>
        <w:spacing w:after="0" w:line="110" w:lineRule="exact"/>
        <w:rPr>
          <w:sz w:val="20"/>
          <w:szCs w:val="20"/>
          <w:color w:val="auto"/>
        </w:rPr>
      </w:pPr>
    </w:p>
    <w:p>
      <w:pPr>
        <w:jc w:val="both"/>
        <w:ind w:left="560" w:hanging="368"/>
        <w:spacing w:after="0" w:line="25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Schlumberger’s acquisition of Cameron, Schlumberger recorded $88 million of charges, classified in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 xml:space="preserve">Consolidated Statement of Income (Loss), </w:t>
      </w:r>
      <w:r>
        <w:rPr>
          <w:rFonts w:ascii="Times New Roman" w:cs="Times New Roman" w:eastAsia="Times New Roman" w:hAnsi="Times New Roman"/>
          <w:sz w:val="18"/>
          <w:szCs w:val="18"/>
          <w:color w:val="auto"/>
        </w:rPr>
        <w:t>relating to employee benefits, facility closures; and other merger and integration-related costs. Additionally,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Schlumberger recorded $149 million of charges relating to the amortization of purchase accounting adjustments associated with the write-up of acquired inventory to its estimated fair value, which is classified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 xml:space="preserve">. This amortization was historically presented as a component of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prior year; however, Schlumberger reclassified this prior period item to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in the current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of 2016:</w:t>
      </w:r>
    </w:p>
    <w:p>
      <w:pPr>
        <w:spacing w:after="0" w:line="112" w:lineRule="exact"/>
        <w:rPr>
          <w:sz w:val="20"/>
          <w:szCs w:val="20"/>
          <w:color w:val="auto"/>
        </w:rPr>
      </w:pPr>
    </w:p>
    <w:p>
      <w:pPr>
        <w:jc w:val="both"/>
        <w:ind w:left="760" w:hanging="382"/>
        <w:spacing w:after="0" w:line="25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result of the persistent unfavorable oil and gas industry market conditions that continued to deteriorate in the first half of 2016, and the related impact on 2016 first-half operating results and expected customer activity levels, Schlumberger determined that the carrying values of certain assets were no longer recoverable and took certain decisions that resulted in the following impairments and other charges, all of which are classified in </w:t>
      </w:r>
      <w:r>
        <w:rPr>
          <w:rFonts w:ascii="Times New Roman" w:cs="Times New Roman" w:eastAsia="Times New Roman" w:hAnsi="Times New Roman"/>
          <w:sz w:val="18"/>
          <w:szCs w:val="18"/>
          <w:i w:val="1"/>
          <w:iCs w:val="1"/>
          <w:color w:val="auto"/>
        </w:rPr>
        <w:t xml:space="preserve">Impairments &amp; other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Statement of Income (Loss)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20" w:hanging="363"/>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$646 million of severance costs associated with further headcount reductions.</w:t>
      </w:r>
    </w:p>
    <w:p>
      <w:pPr>
        <w:spacing w:after="0" w:line="24" w:lineRule="exact"/>
        <w:rPr>
          <w:rFonts w:ascii="Times New Roman" w:cs="Times New Roman" w:eastAsia="Times New Roman" w:hAnsi="Times New Roman"/>
          <w:sz w:val="18"/>
          <w:szCs w:val="18"/>
          <w:color w:val="auto"/>
        </w:rPr>
      </w:pPr>
    </w:p>
    <w:p>
      <w:pPr>
        <w:ind w:left="1220" w:hanging="363"/>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 million impairment of pressure pumping equipment in North America.</w:t>
      </w:r>
    </w:p>
    <w:p>
      <w:pPr>
        <w:spacing w:after="0" w:line="5" w:lineRule="exact"/>
        <w:rPr>
          <w:rFonts w:ascii="Times New Roman" w:cs="Times New Roman" w:eastAsia="Times New Roman" w:hAnsi="Times New Roman"/>
          <w:sz w:val="18"/>
          <w:szCs w:val="18"/>
          <w:color w:val="auto"/>
        </w:rPr>
      </w:pPr>
    </w:p>
    <w:p>
      <w:pPr>
        <w:ind w:left="1220" w:hanging="363"/>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 million impairment of facilities in North America.</w:t>
      </w:r>
    </w:p>
    <w:p>
      <w:pPr>
        <w:spacing w:after="0" w:line="5" w:lineRule="exact"/>
        <w:rPr>
          <w:rFonts w:ascii="Times New Roman" w:cs="Times New Roman" w:eastAsia="Times New Roman" w:hAnsi="Times New Roman"/>
          <w:sz w:val="18"/>
          <w:szCs w:val="18"/>
          <w:color w:val="auto"/>
        </w:rPr>
      </w:pPr>
    </w:p>
    <w:p>
      <w:pPr>
        <w:ind w:left="1220" w:hanging="363"/>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 million of other fixed asset impairments primarily relating to other underutilized equipment.</w:t>
      </w:r>
    </w:p>
    <w:p>
      <w:pPr>
        <w:spacing w:after="0" w:line="5" w:lineRule="exact"/>
        <w:rPr>
          <w:rFonts w:ascii="Times New Roman" w:cs="Times New Roman" w:eastAsia="Times New Roman" w:hAnsi="Times New Roman"/>
          <w:sz w:val="18"/>
          <w:szCs w:val="18"/>
          <w:color w:val="auto"/>
        </w:rPr>
      </w:pPr>
    </w:p>
    <w:p>
      <w:pPr>
        <w:ind w:left="1220" w:hanging="363"/>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 million write-down of the carrying value of certain inventory to its net realizable value.</w:t>
      </w:r>
    </w:p>
    <w:p>
      <w:pPr>
        <w:spacing w:after="0" w:line="5" w:lineRule="exact"/>
        <w:rPr>
          <w:rFonts w:ascii="Times New Roman" w:cs="Times New Roman" w:eastAsia="Times New Roman" w:hAnsi="Times New Roman"/>
          <w:sz w:val="18"/>
          <w:szCs w:val="18"/>
          <w:color w:val="auto"/>
        </w:rPr>
      </w:pPr>
    </w:p>
    <w:p>
      <w:pPr>
        <w:ind w:left="1220" w:hanging="363"/>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 million impairment of certain multiclient seismic data, largely related to the US Gulf of Mexico.</w:t>
      </w:r>
    </w:p>
    <w:p>
      <w:pPr>
        <w:spacing w:after="0" w:line="5" w:lineRule="exact"/>
        <w:rPr>
          <w:rFonts w:ascii="Times New Roman" w:cs="Times New Roman" w:eastAsia="Times New Roman" w:hAnsi="Times New Roman"/>
          <w:sz w:val="18"/>
          <w:szCs w:val="18"/>
          <w:color w:val="auto"/>
        </w:rPr>
      </w:pPr>
    </w:p>
    <w:p>
      <w:pPr>
        <w:ind w:left="1220" w:hanging="363"/>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of other costs, primarily relating to facility closure costs.</w:t>
      </w:r>
    </w:p>
    <w:p>
      <w:pPr>
        <w:spacing w:after="0" w:line="197" w:lineRule="exact"/>
        <w:rPr>
          <w:rFonts w:ascii="Times New Roman" w:cs="Times New Roman" w:eastAsia="Times New Roman" w:hAnsi="Times New Roman"/>
          <w:sz w:val="18"/>
          <w:szCs w:val="18"/>
          <w:color w:val="auto"/>
        </w:rPr>
      </w:pPr>
    </w:p>
    <w:p>
      <w:pPr>
        <w:jc w:val="both"/>
        <w:ind w:left="760" w:hanging="382"/>
        <w:spacing w:after="0" w:line="25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Schlumberger’s acquisition of Cameron, Schlumberger recorded $185 million of charges, classified in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 xml:space="preserve">Consolidated Statement of Income (Loss), </w:t>
      </w:r>
      <w:r>
        <w:rPr>
          <w:rFonts w:ascii="Times New Roman" w:cs="Times New Roman" w:eastAsia="Times New Roman" w:hAnsi="Times New Roman"/>
          <w:sz w:val="18"/>
          <w:szCs w:val="18"/>
          <w:color w:val="auto"/>
        </w:rPr>
        <w:t>consisting of the following: $47 million relating to employee benefits for change-in-control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retention bonuses; $45 million of transaction costs, including advisory and legal fees; $40 million of facility closure costs, and $53 million of other merger and integration-related costs. Additionally, Schlumberger recorded $150 million of charges related to the amortization of purchase accounting adjustments associated with the write-up of acquired inventory to its estimated fair value, which is classified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There were no charges or credits recorded during the first quarter of 2016.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charges and credits recorded during the first nine months of 2016:</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Tax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Workforce reduction</w:t>
            </w:r>
          </w:p>
        </w:tc>
        <w:tc>
          <w:tcPr>
            <w:tcW w:w="92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0" w:type="dxa"/>
            <w:vAlign w:val="bottom"/>
            <w:gridSpan w:val="2"/>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9"/>
                <w:szCs w:val="19"/>
                <w:color w:val="auto"/>
              </w:rPr>
            </w:pP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 America pressure pumping asset impairments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Facilities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fixed asset impairments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 write-downs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Multiclient seismic data impairment</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Merger &amp; integration</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Merger-related employee benefits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Professional fees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Facility closure costs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merger and integration-related</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sales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inventory fair value adjustment</w:t>
            </w: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19"/>
                <w:szCs w:val="19"/>
                <w:color w:val="auto"/>
              </w:rPr>
            </w:pPr>
          </w:p>
        </w:tc>
      </w:tr>
      <w:tr>
        <w:trPr>
          <w:trHeight w:val="219"/>
        </w:trPr>
        <w:tc>
          <w:tcPr>
            <w:tcW w:w="6720" w:type="dxa"/>
            <w:vAlign w:val="bottom"/>
          </w:tcPr>
          <w:p>
            <w:pPr>
              <w:spacing w:after="0"/>
              <w:rPr>
                <w:sz w:val="19"/>
                <w:szCs w:val="19"/>
                <w:color w:val="auto"/>
              </w:rPr>
            </w:pPr>
          </w:p>
        </w:tc>
        <w:tc>
          <w:tcPr>
            <w:tcW w:w="92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3,144</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80" w:hanging="274"/>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earnings per share of Schlumberger to diluted earnings per share of Schlumberger: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60" w:type="dxa"/>
            <w:vAlign w:val="bottom"/>
          </w:tcPr>
          <w:p>
            <w:pPr>
              <w:spacing w:after="0"/>
              <w:rPr>
                <w:sz w:val="16"/>
                <w:szCs w:val="16"/>
                <w:color w:val="auto"/>
              </w:rPr>
            </w:pPr>
          </w:p>
        </w:tc>
      </w:tr>
      <w:tr>
        <w:trPr>
          <w:trHeight w:val="421"/>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color w:val="auto"/>
                <w:w w:val="99"/>
              </w:rPr>
              <w:t>2016</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3"/>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6"/>
                <w:szCs w:val="16"/>
                <w:color w:val="auto"/>
                <w:w w:val="95"/>
              </w:rPr>
              <w:t>Average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Schlumberger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Earnings per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Schlumberger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color w:val="auto"/>
                <w:w w:val="98"/>
              </w:rPr>
              <w:t>Shares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Earnings per</w:t>
            </w:r>
          </w:p>
        </w:tc>
        <w:tc>
          <w:tcPr>
            <w:tcW w:w="60" w:type="dxa"/>
            <w:vAlign w:val="bottom"/>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Net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Net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color w:val="auto"/>
                <w:w w:val="99"/>
              </w:rPr>
              <w:t>Outstanding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Share</w:t>
            </w:r>
          </w:p>
        </w:tc>
        <w:tc>
          <w:tcPr>
            <w:tcW w:w="60" w:type="dxa"/>
            <w:vAlign w:val="bottom"/>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4"/>
              </w:rPr>
              <w:t>Third Quarter</w:t>
            </w:r>
          </w:p>
        </w:tc>
        <w:tc>
          <w:tcPr>
            <w:tcW w:w="1740" w:type="dxa"/>
            <w:vAlign w:val="bottom"/>
            <w:tcBorders>
              <w:top w:val="single" w:sz="8" w:color="CFF0FC"/>
              <w:bottom w:val="single" w:sz="8" w:color="CFF0FC"/>
            </w:tcBorders>
            <w:shd w:val="clear" w:color="auto" w:fill="CFF0FC"/>
          </w:tcPr>
          <w:p>
            <w:pPr>
              <w:spacing w:after="0"/>
              <w:rPr>
                <w:sz w:val="17"/>
                <w:szCs w:val="17"/>
                <w:color w:val="auto"/>
              </w:rPr>
            </w:pPr>
          </w:p>
        </w:tc>
        <w:tc>
          <w:tcPr>
            <w:tcW w:w="4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40" w:type="dxa"/>
            <w:vAlign w:val="bottom"/>
          </w:tcPr>
          <w:p>
            <w:pPr>
              <w:spacing w:after="0"/>
              <w:rPr>
                <w:sz w:val="23"/>
                <w:szCs w:val="2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CFF0FC"/>
            </w:tcBorders>
            <w:gridSpan w:val="3"/>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Assumed exercise of stock options</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26"/>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color w:val="auto"/>
                <w:w w:val="99"/>
              </w:rPr>
              <w:t>2016</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3"/>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6"/>
                <w:szCs w:val="16"/>
                <w:color w:val="auto"/>
                <w:w w:val="95"/>
              </w:rPr>
              <w:t>Average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Schlumberger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Earnings per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Schlumberger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color w:val="auto"/>
                <w:w w:val="98"/>
              </w:rPr>
              <w:t>Shares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Net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color w:val="auto"/>
                <w:w w:val="99"/>
              </w:rPr>
              <w:t>Outstanding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Loss per Share</w:t>
            </w:r>
          </w:p>
        </w:tc>
        <w:tc>
          <w:tcPr>
            <w:tcW w:w="60" w:type="dxa"/>
            <w:vAlign w:val="bottom"/>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6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4"/>
              </w:rPr>
              <w:t>Nine Months</w:t>
            </w:r>
          </w:p>
        </w:tc>
        <w:tc>
          <w:tcPr>
            <w:tcW w:w="18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4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c>
          <w:tcPr>
            <w:tcW w:w="140" w:type="dxa"/>
            <w:vAlign w:val="bottom"/>
          </w:tcPr>
          <w:p>
            <w:pPr>
              <w:spacing w:after="0"/>
              <w:rPr>
                <w:sz w:val="23"/>
                <w:szCs w:val="2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23"/>
                <w:szCs w:val="23"/>
                <w:color w:val="auto"/>
              </w:rPr>
            </w:pPr>
          </w:p>
        </w:tc>
      </w:tr>
      <w:tr>
        <w:trPr>
          <w:trHeight w:val="20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CFF0FC"/>
            </w:tcBorders>
            <w:gridSpan w:val="3"/>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Assumed exercise of stock options</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26"/>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6"/>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0" w:name="page11"/>
    <w:bookmarkEnd w:id="10"/>
    <w:p>
      <w:pPr>
        <w:ind w:right="20"/>
        <w:spacing w:after="0" w:line="275" w:lineRule="auto"/>
        <w:rPr>
          <w:sz w:val="20"/>
          <w:szCs w:val="20"/>
          <w:color w:val="auto"/>
        </w:rPr>
      </w:pPr>
      <w:r>
        <w:rPr>
          <w:rFonts w:ascii="Times New Roman" w:cs="Times New Roman" w:eastAsia="Times New Roman" w:hAnsi="Times New Roman"/>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9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4"/>
                <w:szCs w:val="24"/>
                <w:color w:val="auto"/>
              </w:rPr>
            </w:pP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1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 Months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r>
    </w:tbl>
    <w:p>
      <w:pPr>
        <w:spacing w:after="0" w:line="304" w:lineRule="exact"/>
        <w:rPr>
          <w:sz w:val="20"/>
          <w:szCs w:val="20"/>
          <w:color w:val="auto"/>
        </w:rPr>
      </w:pPr>
    </w:p>
    <w:p>
      <w:pPr>
        <w:ind w:left="280" w:hanging="274"/>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 of Cameron</w:t>
      </w:r>
    </w:p>
    <w:p>
      <w:pPr>
        <w:spacing w:after="0" w:line="1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April 1, 2016, Schlumberger acquired all of the outstanding shares of Cameron, a leading provider of flow equipment products, systems and services to the oil and gas industry worldwide. Schlumberger issued approximately 138 million shares of its common stock, which were valued at $9.9 billion at the time of closing, and paid cash of $2.8 billion.</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Financial Information</w:t>
      </w:r>
    </w:p>
    <w:p>
      <w:pPr>
        <w:spacing w:after="0" w:line="22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following supplemental pro forma results of operations assume that Cameron had been acquired as of January 1, 2015. The supplemental pro forma financial information was prepared based on the historical financial information of Schlumberger and Cameron and has been adjusted to give effect to pro forma adjustments that are both directly attributable to the transaction and factually supportable. The pro forma amounts reflect certain adjustments to intangible asset amortization expense, interest and income taxes resulting from purchase accounting. The pro forma amounts also reflect adjustments to the 2016 results to exclude the amortization of purchase accounting adjustments associated with the write-up of acquired inventory to its estimated fair value and other merger and integration costs of $177 million and $430 million, net of taxes, for the three and nine months ended September 30, 2016, respectively.</w:t>
      </w:r>
    </w:p>
    <w:p>
      <w:pPr>
        <w:spacing w:after="0" w:line="18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supplemental pro forma financial information presented below does not include any anticipated cost savings or the expected realization of other synergies associated with this transaction. Accordingly, this supplemental pro forma financial information is presented for informational purposes only and is not necessarily indicative of what the actual results of operations of the combined company would have been had the acquisition occurred on January 1, 2015, nor is it indicative of future results of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Third Quarter</w:t>
            </w:r>
          </w:p>
        </w:tc>
        <w:tc>
          <w:tcPr>
            <w:tcW w:w="200" w:type="dxa"/>
            <w:vAlign w:val="bottom"/>
          </w:tcPr>
          <w:p>
            <w:pPr>
              <w:spacing w:after="0"/>
              <w:rPr>
                <w:sz w:val="19"/>
                <w:szCs w:val="19"/>
                <w:color w:val="auto"/>
              </w:rPr>
            </w:pPr>
          </w:p>
        </w:tc>
        <w:tc>
          <w:tcPr>
            <w:tcW w:w="1420" w:type="dxa"/>
            <w:vAlign w:val="bottom"/>
          </w:tcPr>
          <w:p>
            <w:pPr>
              <w:jc w:val="center"/>
              <w:ind w:right="113"/>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attributable to Schlumberger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8"/>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inventories, which are stated at the lower of average cost or market,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20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8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67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1,873</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ind w:left="56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78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7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ind w:left="280" w:hanging="274"/>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Fixed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fixed assets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9"/>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3"/>
        </w:trPr>
        <w:tc>
          <w:tcPr>
            <w:tcW w:w="78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40,421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28,083</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relating to fixed assets was as follows:</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78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Nine Months</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1,796</w:t>
            </w:r>
          </w:p>
        </w:tc>
        <w:tc>
          <w:tcPr>
            <w:tcW w:w="28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280" w:hanging="274"/>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Multiclient Seismic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for the nine months ended September 30, 2017 was as follows:</w:t>
      </w:r>
    </w:p>
    <w:p>
      <w:pPr>
        <w:spacing w:after="0" w:line="225"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4"/>
          <w:szCs w:val="14"/>
          <w:i w:val="1"/>
          <w:iCs w:val="1"/>
          <w:color w:val="auto"/>
        </w:rPr>
        <w:t>(Stated in millions)</w:t>
      </w:r>
    </w:p>
    <w:p>
      <w:pPr>
        <w:sectPr>
          <w:pgSz w:w="11900" w:h="16838" w:orient="portrait"/>
          <w:cols w:equalWidth="0" w:num="1">
            <w:col w:w="11420"/>
          </w:cols>
          <w:pgMar w:left="240" w:top="119" w:right="23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48525"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2017</w:t>
      </w:r>
    </w:p>
    <w:p>
      <w:pPr>
        <w:spacing w:after="0" w:line="349" w:lineRule="exact"/>
        <w:rPr>
          <w:sz w:val="20"/>
          <w:szCs w:val="20"/>
          <w:color w:val="auto"/>
        </w:rPr>
      </w:pPr>
    </w:p>
    <w:p>
      <w:pPr>
        <w:ind w:left="280" w:hanging="274"/>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gross book value, accumulated amortization and net book value of intangible assets were as follows: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967" w:hanging="967"/>
        <w:spacing w:after="0"/>
        <w:tabs>
          <w:tab w:leader="none" w:pos="9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1,073</w:t>
      </w:r>
    </w:p>
    <w:p>
      <w:pPr>
        <w:spacing w:after="0" w:line="24" w:lineRule="exact"/>
        <w:rPr>
          <w:rFonts w:ascii="Times New Roman" w:cs="Times New Roman" w:eastAsia="Times New Roman" w:hAnsi="Times New Roman"/>
          <w:sz w:val="18"/>
          <w:szCs w:val="18"/>
          <w:color w:val="auto"/>
        </w:rPr>
      </w:pPr>
    </w:p>
    <w:p>
      <w:pPr>
        <w:ind w:left="10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6" w:lineRule="exact"/>
        <w:rPr>
          <w:sz w:val="20"/>
          <w:szCs w:val="20"/>
          <w:color w:val="auto"/>
        </w:rPr>
      </w:pPr>
    </w:p>
    <w:p>
      <w:pPr>
        <w:ind w:left="1087" w:hanging="1087"/>
        <w:spacing w:after="0"/>
        <w:tabs>
          <w:tab w:leader="none" w:pos="10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869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869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065" w:lineRule="exact"/>
        <w:rPr>
          <w:sz w:val="20"/>
          <w:szCs w:val="20"/>
          <w:color w:val="auto"/>
        </w:rPr>
      </w:pPr>
    </w:p>
    <w:p>
      <w:pPr>
        <w:sectPr>
          <w:pgSz w:w="11900" w:h="16838" w:orient="portrait"/>
          <w:cols w:equalWidth="0" w:num="2">
            <w:col w:w="9213" w:space="720"/>
            <w:col w:w="1487"/>
          </w:cols>
          <w:pgMar w:left="240" w:top="119" w:right="239" w:bottom="1440" w:gutter="0" w:footer="0" w:header="0"/>
          <w:type w:val="continuous"/>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4"/>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w w:val="97"/>
              </w:rPr>
              <w:t>Sept. 30, 2017</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Dec. 31, 2016</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6"/>
              </w:rPr>
              <w:t>Gross</w:t>
            </w:r>
          </w:p>
        </w:tc>
        <w:tc>
          <w:tcPr>
            <w:tcW w:w="100" w:type="dxa"/>
            <w:vAlign w:val="bottom"/>
          </w:tcPr>
          <w:p>
            <w:pPr>
              <w:spacing w:after="0"/>
              <w:rPr>
                <w:sz w:val="17"/>
                <w:szCs w:val="17"/>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6"/>
                <w:szCs w:val="16"/>
                <w:color w:val="auto"/>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Net Book</w:t>
            </w:r>
          </w:p>
        </w:tc>
        <w:tc>
          <w:tcPr>
            <w:tcW w:w="100" w:type="dxa"/>
            <w:vAlign w:val="bottom"/>
          </w:tcPr>
          <w:p>
            <w:pPr>
              <w:spacing w:after="0"/>
              <w:rPr>
                <w:sz w:val="17"/>
                <w:szCs w:val="17"/>
                <w:color w:val="auto"/>
              </w:rPr>
            </w:pPr>
          </w:p>
        </w:tc>
      </w:tr>
      <w:tr>
        <w:trPr>
          <w:trHeight w:val="239"/>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Book Value</w:t>
            </w:r>
          </w:p>
        </w:tc>
        <w:tc>
          <w:tcPr>
            <w:tcW w:w="8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Book Value</w:t>
            </w:r>
          </w:p>
        </w:tc>
        <w:tc>
          <w:tcPr>
            <w:tcW w:w="100" w:type="dxa"/>
            <w:vAlign w:val="bottom"/>
          </w:tcPr>
          <w:p>
            <w:pPr>
              <w:spacing w:after="0"/>
              <w:rPr>
                <w:sz w:val="20"/>
                <w:szCs w:val="20"/>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Value</w:t>
            </w:r>
          </w:p>
        </w:tc>
      </w:tr>
      <w:tr>
        <w:trPr>
          <w:trHeight w:val="222"/>
        </w:trPr>
        <w:tc>
          <w:tcPr>
            <w:tcW w:w="3280" w:type="dxa"/>
            <w:vAlign w:val="bottom"/>
            <w:tcBorders>
              <w:top w:val="single" w:sz="8" w:color="CFEFFC"/>
            </w:tcBorders>
            <w:shd w:val="clear" w:color="auto" w:fill="CFEF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8"/>
                <w:szCs w:val="18"/>
                <w:b w:val="1"/>
                <w:bCs w:val="1"/>
                <w:color w:val="auto"/>
              </w:rPr>
              <w:t>4,969</w:t>
            </w:r>
          </w:p>
        </w:tc>
        <w:tc>
          <w:tcPr>
            <w:tcW w:w="240" w:type="dxa"/>
            <w:vAlign w:val="bottom"/>
            <w:tcBorders>
              <w:top w:val="single" w:sz="8" w:color="CFEFFC"/>
            </w:tcBorders>
            <w:shd w:val="clear" w:color="auto" w:fill="CFEFFC"/>
          </w:tcPr>
          <w:p>
            <w:pPr>
              <w:spacing w:after="0"/>
              <w:rPr>
                <w:sz w:val="19"/>
                <w:szCs w:val="19"/>
                <w:color w:val="auto"/>
              </w:rPr>
            </w:pPr>
          </w:p>
        </w:tc>
        <w:tc>
          <w:tcPr>
            <w:tcW w:w="8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8"/>
                <w:szCs w:val="18"/>
                <w:b w:val="1"/>
                <w:bCs w:val="1"/>
                <w:color w:val="auto"/>
              </w:rPr>
              <w:t>1,053</w:t>
            </w:r>
          </w:p>
        </w:tc>
        <w:tc>
          <w:tcPr>
            <w:tcW w:w="240" w:type="dxa"/>
            <w:vAlign w:val="bottom"/>
            <w:tcBorders>
              <w:top w:val="single" w:sz="8" w:color="CFEFFC"/>
            </w:tcBorders>
            <w:shd w:val="clear" w:color="auto" w:fill="CFEFFC"/>
          </w:tcPr>
          <w:p>
            <w:pPr>
              <w:spacing w:after="0"/>
              <w:rPr>
                <w:sz w:val="19"/>
                <w:szCs w:val="19"/>
                <w:color w:val="auto"/>
              </w:rPr>
            </w:pPr>
          </w:p>
        </w:tc>
        <w:tc>
          <w:tcPr>
            <w:tcW w:w="18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8"/>
                <w:szCs w:val="18"/>
                <w:b w:val="1"/>
                <w:bCs w:val="1"/>
                <w:color w:val="auto"/>
              </w:rPr>
              <w:t>3,916</w:t>
            </w:r>
          </w:p>
        </w:tc>
        <w:tc>
          <w:tcPr>
            <w:tcW w:w="240" w:type="dxa"/>
            <w:vAlign w:val="bottom"/>
            <w:tcBorders>
              <w:top w:val="single" w:sz="8" w:color="CFEFFC"/>
            </w:tcBorders>
            <w:shd w:val="clear" w:color="auto" w:fill="CFEFFC"/>
          </w:tcPr>
          <w:p>
            <w:pPr>
              <w:spacing w:after="0"/>
              <w:rPr>
                <w:sz w:val="19"/>
                <w:szCs w:val="19"/>
                <w:color w:val="auto"/>
              </w:rPr>
            </w:pPr>
          </w:p>
        </w:tc>
        <w:tc>
          <w:tcPr>
            <w:tcW w:w="14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240" w:type="dxa"/>
            <w:vAlign w:val="bottom"/>
            <w:tcBorders>
              <w:top w:val="single" w:sz="8" w:color="CFEFFC"/>
            </w:tcBorders>
            <w:shd w:val="clear" w:color="auto" w:fill="CFEFFC"/>
          </w:tcPr>
          <w:p>
            <w:pPr>
              <w:spacing w:after="0"/>
              <w:rPr>
                <w:sz w:val="19"/>
                <w:szCs w:val="19"/>
                <w:color w:val="auto"/>
              </w:rPr>
            </w:pPr>
          </w:p>
        </w:tc>
        <w:tc>
          <w:tcPr>
            <w:tcW w:w="10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top w:val="single" w:sz="8" w:color="CFEFFC"/>
            </w:tcBorders>
            <w:shd w:val="clear" w:color="auto" w:fill="CFEFFC"/>
          </w:tcPr>
          <w:p>
            <w:pPr>
              <w:spacing w:after="0"/>
              <w:rPr>
                <w:sz w:val="19"/>
                <w:szCs w:val="19"/>
                <w:color w:val="auto"/>
              </w:rPr>
            </w:pPr>
          </w:p>
        </w:tc>
        <w:tc>
          <w:tcPr>
            <w:tcW w:w="180" w:type="dxa"/>
            <w:vAlign w:val="bottom"/>
            <w:tcBorders>
              <w:top w:val="single" w:sz="8" w:color="auto"/>
            </w:tcBorders>
            <w:shd w:val="clear" w:color="auto" w:fill="CFEF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EFFC"/>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Borders>
              <w:top w:val="single" w:sz="8" w:color="CFEFFC"/>
            </w:tcBorders>
            <w:shd w:val="clear" w:color="auto" w:fill="CFEFFC"/>
          </w:tcPr>
          <w:p>
            <w:pPr>
              <w:spacing w:after="0"/>
              <w:rPr>
                <w:sz w:val="19"/>
                <w:szCs w:val="19"/>
                <w:color w:val="auto"/>
              </w:rPr>
            </w:pPr>
          </w:p>
        </w:tc>
      </w:tr>
      <w:tr>
        <w:trPr>
          <w:trHeight w:val="22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r>
      <w:tr>
        <w:trPr>
          <w:trHeight w:val="226"/>
        </w:trPr>
        <w:tc>
          <w:tcPr>
            <w:tcW w:w="3280" w:type="dxa"/>
            <w:vAlign w:val="bottom"/>
            <w:shd w:val="clear" w:color="auto" w:fill="CFEF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0" w:type="dxa"/>
            <w:vAlign w:val="bottom"/>
            <w:shd w:val="clear" w:color="auto" w:fill="CFEFFC"/>
          </w:tcPr>
          <w:p>
            <w:pPr>
              <w:spacing w:after="0"/>
              <w:rPr>
                <w:sz w:val="19"/>
                <w:szCs w:val="19"/>
                <w:color w:val="auto"/>
              </w:rPr>
            </w:pPr>
          </w:p>
        </w:tc>
        <w:tc>
          <w:tcPr>
            <w:tcW w:w="1000" w:type="dxa"/>
            <w:vAlign w:val="bottom"/>
            <w:shd w:val="clear" w:color="auto" w:fill="CFEFFC"/>
          </w:tcPr>
          <w:p>
            <w:pPr>
              <w:jc w:val="right"/>
              <w:spacing w:after="0"/>
              <w:rPr>
                <w:sz w:val="20"/>
                <w:szCs w:val="20"/>
                <w:color w:val="auto"/>
              </w:rPr>
            </w:pPr>
            <w:r>
              <w:rPr>
                <w:rFonts w:ascii="Times New Roman" w:cs="Times New Roman" w:eastAsia="Times New Roman" w:hAnsi="Times New Roman"/>
                <w:sz w:val="18"/>
                <w:szCs w:val="18"/>
                <w:b w:val="1"/>
                <w:bCs w:val="1"/>
                <w:color w:val="auto"/>
              </w:rPr>
              <w:t>2,847</w:t>
            </w:r>
          </w:p>
        </w:tc>
        <w:tc>
          <w:tcPr>
            <w:tcW w:w="240" w:type="dxa"/>
            <w:vAlign w:val="bottom"/>
            <w:shd w:val="clear" w:color="auto" w:fill="CFEFFC"/>
          </w:tcPr>
          <w:p>
            <w:pPr>
              <w:spacing w:after="0"/>
              <w:rPr>
                <w:sz w:val="19"/>
                <w:szCs w:val="19"/>
                <w:color w:val="auto"/>
              </w:rPr>
            </w:pPr>
          </w:p>
        </w:tc>
        <w:tc>
          <w:tcPr>
            <w:tcW w:w="80" w:type="dxa"/>
            <w:vAlign w:val="bottom"/>
            <w:shd w:val="clear" w:color="auto" w:fill="CFEFFC"/>
          </w:tcPr>
          <w:p>
            <w:pPr>
              <w:spacing w:after="0"/>
              <w:rPr>
                <w:sz w:val="19"/>
                <w:szCs w:val="19"/>
                <w:color w:val="auto"/>
              </w:rPr>
            </w:pPr>
          </w:p>
        </w:tc>
        <w:tc>
          <w:tcPr>
            <w:tcW w:w="1040" w:type="dxa"/>
            <w:vAlign w:val="bottom"/>
            <w:shd w:val="clear" w:color="auto" w:fill="CFEFFC"/>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240" w:type="dxa"/>
            <w:vAlign w:val="bottom"/>
            <w:shd w:val="clear" w:color="auto" w:fill="CFEFFC"/>
          </w:tcPr>
          <w:p>
            <w:pPr>
              <w:spacing w:after="0"/>
              <w:rPr>
                <w:sz w:val="19"/>
                <w:szCs w:val="19"/>
                <w:color w:val="auto"/>
              </w:rPr>
            </w:pPr>
          </w:p>
        </w:tc>
        <w:tc>
          <w:tcPr>
            <w:tcW w:w="180" w:type="dxa"/>
            <w:vAlign w:val="bottom"/>
            <w:shd w:val="clear" w:color="auto" w:fill="CFEFFC"/>
          </w:tcPr>
          <w:p>
            <w:pPr>
              <w:spacing w:after="0"/>
              <w:rPr>
                <w:sz w:val="19"/>
                <w:szCs w:val="19"/>
                <w:color w:val="auto"/>
              </w:rPr>
            </w:pPr>
          </w:p>
        </w:tc>
        <w:tc>
          <w:tcPr>
            <w:tcW w:w="960" w:type="dxa"/>
            <w:vAlign w:val="bottom"/>
            <w:shd w:val="clear" w:color="auto" w:fill="CFEFFC"/>
          </w:tcPr>
          <w:p>
            <w:pPr>
              <w:jc w:val="right"/>
              <w:spacing w:after="0"/>
              <w:rPr>
                <w:sz w:val="20"/>
                <w:szCs w:val="20"/>
                <w:color w:val="auto"/>
              </w:rPr>
            </w:pPr>
            <w:r>
              <w:rPr>
                <w:rFonts w:ascii="Times New Roman" w:cs="Times New Roman" w:eastAsia="Times New Roman" w:hAnsi="Times New Roman"/>
                <w:sz w:val="18"/>
                <w:szCs w:val="18"/>
                <w:b w:val="1"/>
                <w:bCs w:val="1"/>
                <w:color w:val="auto"/>
              </w:rPr>
              <w:t>2,310</w:t>
            </w:r>
          </w:p>
        </w:tc>
        <w:tc>
          <w:tcPr>
            <w:tcW w:w="240" w:type="dxa"/>
            <w:vAlign w:val="bottom"/>
            <w:shd w:val="clear" w:color="auto" w:fill="CFEFFC"/>
          </w:tcPr>
          <w:p>
            <w:pPr>
              <w:spacing w:after="0"/>
              <w:rPr>
                <w:sz w:val="19"/>
                <w:szCs w:val="19"/>
                <w:color w:val="auto"/>
              </w:rPr>
            </w:pPr>
          </w:p>
        </w:tc>
        <w:tc>
          <w:tcPr>
            <w:tcW w:w="140" w:type="dxa"/>
            <w:vAlign w:val="bottom"/>
            <w:shd w:val="clear" w:color="auto" w:fill="CFEFFC"/>
          </w:tcPr>
          <w:p>
            <w:pPr>
              <w:spacing w:after="0"/>
              <w:rPr>
                <w:sz w:val="19"/>
                <w:szCs w:val="19"/>
                <w:color w:val="auto"/>
              </w:rPr>
            </w:pPr>
          </w:p>
        </w:tc>
        <w:tc>
          <w:tcPr>
            <w:tcW w:w="1000" w:type="dxa"/>
            <w:vAlign w:val="bottom"/>
            <w:shd w:val="clear" w:color="auto" w:fill="CFEFFC"/>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40" w:type="dxa"/>
            <w:vAlign w:val="bottom"/>
            <w:shd w:val="clear" w:color="auto" w:fill="CFEFFC"/>
          </w:tcPr>
          <w:p>
            <w:pPr>
              <w:spacing w:after="0"/>
              <w:rPr>
                <w:sz w:val="19"/>
                <w:szCs w:val="19"/>
                <w:color w:val="auto"/>
              </w:rPr>
            </w:pPr>
          </w:p>
        </w:tc>
        <w:tc>
          <w:tcPr>
            <w:tcW w:w="100" w:type="dxa"/>
            <w:vAlign w:val="bottom"/>
            <w:shd w:val="clear" w:color="auto" w:fill="CFEFFC"/>
          </w:tcPr>
          <w:p>
            <w:pPr>
              <w:spacing w:after="0"/>
              <w:rPr>
                <w:sz w:val="19"/>
                <w:szCs w:val="19"/>
                <w:color w:val="auto"/>
              </w:rPr>
            </w:pPr>
          </w:p>
        </w:tc>
        <w:tc>
          <w:tcPr>
            <w:tcW w:w="1040" w:type="dxa"/>
            <w:vAlign w:val="bottom"/>
            <w:shd w:val="clear" w:color="auto" w:fill="CFEF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FEFFC"/>
          </w:tcPr>
          <w:p>
            <w:pPr>
              <w:spacing w:after="0"/>
              <w:rPr>
                <w:sz w:val="19"/>
                <w:szCs w:val="19"/>
                <w:color w:val="auto"/>
              </w:rPr>
            </w:pPr>
          </w:p>
        </w:tc>
        <w:tc>
          <w:tcPr>
            <w:tcW w:w="180" w:type="dxa"/>
            <w:vAlign w:val="bottom"/>
            <w:shd w:val="clear" w:color="auto" w:fill="CFEFFC"/>
          </w:tcPr>
          <w:p>
            <w:pPr>
              <w:spacing w:after="0"/>
              <w:rPr>
                <w:sz w:val="19"/>
                <w:szCs w:val="19"/>
                <w:color w:val="auto"/>
              </w:rPr>
            </w:pPr>
          </w:p>
        </w:tc>
        <w:tc>
          <w:tcPr>
            <w:tcW w:w="980" w:type="dxa"/>
            <w:vAlign w:val="bottom"/>
            <w:shd w:val="clear" w:color="auto" w:fill="CFEF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FEFFC"/>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FF0FC"/>
            </w:tcBorders>
          </w:tcPr>
          <w:p>
            <w:pPr>
              <w:spacing w:after="0"/>
              <w:rPr>
                <w:sz w:val="19"/>
                <w:szCs w:val="19"/>
                <w:color w:val="auto"/>
              </w:rPr>
            </w:pPr>
          </w:p>
        </w:tc>
      </w:tr>
      <w:tr>
        <w:trPr>
          <w:trHeight w:val="219"/>
        </w:trPr>
        <w:tc>
          <w:tcPr>
            <w:tcW w:w="3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9,540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charged to income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70"/>
        </w:trPr>
        <w:tc>
          <w:tcPr>
            <w:tcW w:w="78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9"/>
                <w:szCs w:val="19"/>
                <w:color w:val="auto"/>
              </w:rPr>
            </w:pP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Nine Months</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28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r>
    </w:tbl>
    <w:p>
      <w:pPr>
        <w:spacing w:after="0" w:line="18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Based on the net book value of intangible assets at September 30, 2017, amortization charged to income for the subsequent five years is estimated to be: fourth quarter of 2017—$170 million; 2018—$687 million; 2019—$675 million; 2020—$628 million; 2021—$603 million; and 2022—$592 million.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12" w:name="page13"/>
    <w:bookmarkEnd w:id="12"/>
    <w:p>
      <w:pPr>
        <w:ind w:left="280" w:hanging="274"/>
        <w:spacing w:after="0"/>
        <w:tabs>
          <w:tab w:leader="none" w:pos="2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9"/>
        </w:trPr>
        <w:tc>
          <w:tcPr>
            <w:tcW w:w="4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r>
      <w:tr>
        <w:trPr>
          <w:trHeight w:val="233"/>
        </w:trPr>
        <w:tc>
          <w:tcPr>
            <w:tcW w:w="480" w:type="dxa"/>
            <w:vAlign w:val="bottom"/>
            <w:tcBorders>
              <w:bottom w:val="single" w:sz="8" w:color="CFF0FC"/>
            </w:tcBorders>
          </w:tcPr>
          <w:p>
            <w:pPr>
              <w:spacing w:after="0"/>
              <w:rPr>
                <w:sz w:val="20"/>
                <w:szCs w:val="20"/>
                <w:color w:val="auto"/>
              </w:rPr>
            </w:pPr>
          </w:p>
        </w:tc>
        <w:tc>
          <w:tcPr>
            <w:tcW w:w="73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20"/>
                <w:szCs w:val="20"/>
                <w:color w:val="auto"/>
              </w:rPr>
            </w:pPr>
          </w:p>
        </w:tc>
      </w:tr>
      <w:tr>
        <w:trPr>
          <w:trHeight w:val="219"/>
        </w:trPr>
        <w:tc>
          <w:tcPr>
            <w:tcW w:w="7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3.30%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3.00%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2020</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3.65%</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2.35%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4.20%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2.40%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3.63%</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0.63%</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Notes due 2019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1.50%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Guaranteed Notes due 2019</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7.00%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2038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4.50%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2021</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5.95%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3.60%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5.13%</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2043</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2023</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3.70%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6.38%</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2018</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FF0FC"/>
            </w:tcBorders>
          </w:tcPr>
          <w:p>
            <w:pPr>
              <w:spacing w:after="0"/>
              <w:rPr>
                <w:sz w:val="19"/>
                <w:szCs w:val="19"/>
                <w:color w:val="auto"/>
              </w:rPr>
            </w:pPr>
          </w:p>
        </w:tc>
      </w:tr>
      <w:tr>
        <w:trPr>
          <w:trHeight w:val="219"/>
        </w:trPr>
        <w:tc>
          <w:tcPr>
            <w:tcW w:w="480" w:type="dxa"/>
            <w:vAlign w:val="bottom"/>
            <w:tcBorders>
              <w:bottom w:val="single" w:sz="8" w:color="CFF0FC"/>
            </w:tcBorders>
            <w:shd w:val="clear" w:color="auto" w:fill="CFF0FC"/>
          </w:tcPr>
          <w:p>
            <w:pPr>
              <w:spacing w:after="0"/>
              <w:rPr>
                <w:sz w:val="19"/>
                <w:szCs w:val="19"/>
                <w:color w:val="auto"/>
              </w:rPr>
            </w:pPr>
          </w:p>
        </w:tc>
        <w:tc>
          <w:tcPr>
            <w:tcW w:w="7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15,871</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estimated fair value of Schlumberger’s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based on quoted market prices at September 30, 2017 and December 31, 2016, was $16.2 billion and $16.8 billion, respectively.</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Borrowings under the commercial paper program at September 30, 2017 were $2.4 billion, all of which was classified within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At December 31, 2016, borrowings under the commercial paper program were $2.6 billion, of which $2.4 billion was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$0.2 billion was classified in </w:t>
      </w:r>
      <w:r>
        <w:rPr>
          <w:rFonts w:ascii="Times New Roman" w:cs="Times New Roman" w:eastAsia="Times New Roman" w:hAnsi="Times New Roman"/>
          <w:sz w:val="18"/>
          <w:szCs w:val="18"/>
          <w:i w:val="1"/>
          <w:iCs w:val="1"/>
          <w:color w:val="auto"/>
        </w:rPr>
        <w:t>Short-term borrowings and current portion of 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319" w:lineRule="exact"/>
        <w:rPr>
          <w:sz w:val="20"/>
          <w:szCs w:val="20"/>
          <w:color w:val="auto"/>
        </w:rPr>
      </w:pPr>
    </w:p>
    <w:p>
      <w:pPr>
        <w:ind w:left="360" w:hanging="354"/>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7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At September 30, 2017, Schlumberger had fixed rate debt of $13.0 billion and variable rate debt of $4.2 billion after taking into account the effect of the swap.</w:t>
      </w:r>
    </w:p>
    <w:p>
      <w:pPr>
        <w:spacing w:after="0" w:line="21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were $3.3 billion at September 30, 2017. The carrying value of these investments approximated fair value, which was estimated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market prices for those or similar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a multinational company, Schlumberger conducts its business in over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that is denominated in currencies other than the functional currency. Schlumberger uses foreign currency forward contracts to provide a hedge against a portion of these cash flow risks. These contracts are accounted for as cash flow hedges, with the effective portion of changes in the fair value of the hedge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Amounts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are reclassified into earnings in the same period or periods that the hedged item is recognized in earnings. The ineffective portion of changes in the fair value of hedging instruments, if any, is recorded directly to earnings.</w:t>
      </w:r>
    </w:p>
    <w:p>
      <w:pPr>
        <w:spacing w:after="0" w:line="18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At September 30, 2017, Schlumberger recognized a cumulative net gain of $4 million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7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changes in the fair value are recognized in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 xml:space="preserve"> as are changes in fair value of the hedged item.</w:t>
      </w:r>
    </w:p>
    <w:p>
      <w:pPr>
        <w:spacing w:after="0" w:line="18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At September 30, 2017, contracts were outstanding for the US dollar equivalent of $3.6 billion in various foreign currencies, of which $0.8 billion related to hedges of debt denominated in currencies other than the functional currency.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outstanding derivative instruments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4820" w:type="dxa"/>
            <w:vAlign w:val="bottom"/>
          </w:tcPr>
          <w:p>
            <w:pPr>
              <w:spacing w:after="0"/>
              <w:rPr>
                <w:sz w:val="24"/>
                <w:szCs w:val="24"/>
                <w:color w:val="auto"/>
              </w:rPr>
            </w:pPr>
          </w:p>
        </w:tc>
        <w:tc>
          <w:tcPr>
            <w:tcW w:w="2620" w:type="dxa"/>
            <w:vAlign w:val="bottom"/>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Fair Value of Derivatives</w:t>
            </w:r>
          </w:p>
        </w:tc>
        <w:tc>
          <w:tcPr>
            <w:tcW w:w="340" w:type="dxa"/>
            <w:vAlign w:val="bottom"/>
          </w:tcPr>
          <w:p>
            <w:pPr>
              <w:spacing w:after="0"/>
              <w:rPr>
                <w:sz w:val="24"/>
                <w:szCs w:val="24"/>
                <w:color w:val="auto"/>
              </w:rPr>
            </w:pPr>
          </w:p>
        </w:tc>
        <w:tc>
          <w:tcPr>
            <w:tcW w:w="3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Consolidated Balance Sheet Classification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20" w:type="dxa"/>
            <w:vAlign w:val="bottom"/>
          </w:tcPr>
          <w:p>
            <w:pPr>
              <w:spacing w:after="0"/>
              <w:rPr>
                <w:sz w:val="17"/>
                <w:szCs w:val="17"/>
                <w:color w:val="auto"/>
              </w:rPr>
            </w:pPr>
          </w:p>
        </w:tc>
        <w:tc>
          <w:tcPr>
            <w:tcW w:w="10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Dec. 31,</w:t>
            </w:r>
          </w:p>
        </w:tc>
        <w:tc>
          <w:tcPr>
            <w:tcW w:w="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2017</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rPr>
              <w:t>2016</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3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60" w:type="dxa"/>
            <w:vAlign w:val="bottom"/>
            <w:tcBorders>
              <w:bottom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6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FF0FC"/>
            </w:tcBorders>
            <w:shd w:val="clear" w:color="auto" w:fill="CFF0FC"/>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60" w:type="dxa"/>
            <w:vAlign w:val="bottom"/>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19"/>
                <w:szCs w:val="19"/>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Cross currency swap</w:t>
            </w:r>
          </w:p>
        </w:tc>
        <w:tc>
          <w:tcPr>
            <w:tcW w:w="10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60" w:type="dxa"/>
            <w:vAlign w:val="bottom"/>
            <w:tcBorders>
              <w:bottom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106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8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4" w:name="page15"/>
    <w:bookmarkEnd w:id="14"/>
    <w:p>
      <w:pPr>
        <w:ind w:right="820"/>
        <w:spacing w:after="0" w:line="275" w:lineRule="auto"/>
        <w:rPr>
          <w:sz w:val="20"/>
          <w:szCs w:val="20"/>
          <w:color w:val="auto"/>
        </w:rPr>
      </w:pPr>
      <w:r>
        <w:rPr>
          <w:rFonts w:ascii="Times New Roman" w:cs="Times New Roman" w:eastAsia="Times New Roman" w:hAnsi="Times New Roman"/>
          <w:sz w:val="18"/>
          <w:szCs w:val="18"/>
          <w:color w:val="auto"/>
        </w:rPr>
        <w:t>The fair value of all outstanding derivatives was determined using a model with inputs that are observable in the market or that can be derived from, or corroborated by, observable data.</w:t>
      </w:r>
    </w:p>
    <w:p>
      <w:pPr>
        <w:spacing w:after="0" w:line="16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 xml:space="preserve">The effect of derivative instruments designated as fair value hedges and those not designated as hedges on the </w:t>
      </w:r>
      <w:r>
        <w:rPr>
          <w:rFonts w:ascii="Times New Roman" w:cs="Times New Roman" w:eastAsia="Times New Roman" w:hAnsi="Times New Roman"/>
          <w:sz w:val="18"/>
          <w:szCs w:val="18"/>
          <w:i w:val="1"/>
          <w:iCs w:val="1"/>
          <w:color w:val="auto"/>
        </w:rPr>
        <w:t>Consolidated Statement of Income (Loss)</w:t>
      </w:r>
      <w:r>
        <w:rPr>
          <w:rFonts w:ascii="Times New Roman" w:cs="Times New Roman" w:eastAsia="Times New Roman" w:hAnsi="Times New Roman"/>
          <w:sz w:val="18"/>
          <w:szCs w:val="18"/>
          <w:color w:val="auto"/>
        </w:rPr>
        <w:t xml:space="preserve"> was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3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0"/>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Gain (Loss) Recognized in Income (Loss)</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Borders>
              <w:bottom w:val="single" w:sz="8" w:color="auto"/>
            </w:tcBorders>
            <w:gridSpan w:val="4"/>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 of Incom</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6"/>
                <w:szCs w:val="16"/>
                <w:color w:val="auto"/>
                <w:w w:val="99"/>
              </w:rPr>
              <w:t>2016</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(Loss) Classification</w:t>
            </w:r>
          </w:p>
        </w:tc>
        <w:tc>
          <w:tcPr>
            <w:tcW w:w="0" w:type="dxa"/>
            <w:vAlign w:val="bottom"/>
          </w:tcPr>
          <w:p>
            <w:pPr>
              <w:spacing w:after="0"/>
              <w:rPr>
                <w:sz w:val="1"/>
                <w:szCs w:val="1"/>
                <w:color w:val="auto"/>
              </w:rPr>
            </w:pPr>
          </w:p>
        </w:tc>
      </w:tr>
      <w:tr>
        <w:trPr>
          <w:trHeight w:val="222"/>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6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swap</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9"/>
                <w:szCs w:val="19"/>
                <w:color w:val="auto"/>
              </w:rPr>
            </w:pPr>
          </w:p>
        </w:tc>
        <w:tc>
          <w:tcPr>
            <w:tcW w:w="72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w:t>
            </w:r>
          </w:p>
        </w:tc>
        <w:tc>
          <w:tcPr>
            <w:tcW w:w="72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2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360" w:hanging="354"/>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14"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61" w:right="1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Segment Information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Third Quarter 2017</w:t>
            </w:r>
          </w:p>
        </w:tc>
        <w:tc>
          <w:tcPr>
            <w:tcW w:w="180" w:type="dxa"/>
            <w:vAlign w:val="bottom"/>
          </w:tcPr>
          <w:p>
            <w:pPr>
              <w:spacing w:after="0"/>
              <w:rPr>
                <w:sz w:val="24"/>
                <w:szCs w:val="24"/>
                <w:color w:val="auto"/>
              </w:rPr>
            </w:pPr>
          </w:p>
        </w:tc>
        <w:tc>
          <w:tcPr>
            <w:tcW w:w="25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Third Quarter 2016</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ind w:left="300" w:hanging="287"/>
        <w:spacing w:after="0" w:line="291" w:lineRule="auto"/>
        <w:tabs>
          <w:tab w:leader="none" w:pos="241"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2" w:lineRule="exact"/>
        <w:rPr>
          <w:rFonts w:ascii="Times New Roman" w:cs="Times New Roman" w:eastAsia="Times New Roman" w:hAnsi="Times New Roman"/>
          <w:sz w:val="15"/>
          <w:szCs w:val="15"/>
          <w:color w:val="auto"/>
        </w:rPr>
      </w:pPr>
    </w:p>
    <w:p>
      <w:pPr>
        <w:ind w:left="280" w:hanging="255"/>
        <w:spacing w:after="0"/>
        <w:tabs>
          <w:tab w:leader="none" w:pos="280" w:val="left"/>
        </w:tabs>
        <w:numPr>
          <w:ilvl w:val="2"/>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($4 million in 2017; $7 million in 2016).</w:t>
      </w:r>
    </w:p>
    <w:p>
      <w:pPr>
        <w:spacing w:after="0" w:line="134" w:lineRule="exact"/>
        <w:rPr>
          <w:rFonts w:ascii="Times New Roman" w:cs="Times New Roman" w:eastAsia="Times New Roman" w:hAnsi="Times New Roman"/>
          <w:sz w:val="15"/>
          <w:szCs w:val="15"/>
          <w:color w:val="auto"/>
        </w:rPr>
      </w:pPr>
    </w:p>
    <w:p>
      <w:pPr>
        <w:ind w:left="300" w:hanging="294"/>
        <w:spacing w:after="0"/>
        <w:tabs>
          <w:tab w:leader="none" w:pos="30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($13 million in 2017; $14 million in 2016).</w:t>
      </w:r>
    </w:p>
    <w:p>
      <w:pPr>
        <w:spacing w:after="0" w:line="132" w:lineRule="exact"/>
        <w:rPr>
          <w:rFonts w:ascii="Times New Roman" w:cs="Times New Roman" w:eastAsia="Times New Roman" w:hAnsi="Times New Roman"/>
          <w:sz w:val="15"/>
          <w:szCs w:val="15"/>
          <w:color w:val="auto"/>
        </w:rPr>
      </w:pPr>
    </w:p>
    <w:p>
      <w:pPr>
        <w:ind w:left="300" w:hanging="294"/>
        <w:spacing w:after="0"/>
        <w:tabs>
          <w:tab w:leader="none" w:pos="30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See Note 2 – </w:t>
      </w:r>
      <w:r>
        <w:rPr>
          <w:rFonts w:ascii="Times New Roman" w:cs="Times New Roman" w:eastAsia="Times New Roman" w:hAnsi="Times New Roman"/>
          <w:sz w:val="16"/>
          <w:szCs w:val="16"/>
          <w:i w:val="1"/>
          <w:iCs w:val="1"/>
          <w:color w:val="auto"/>
        </w:rPr>
        <w:t>Charges and Credits</w:t>
      </w:r>
      <w:r>
        <w:rPr>
          <w:rFonts w:ascii="Times New Roman" w:cs="Times New Roman" w:eastAsia="Times New Roman" w:hAnsi="Times New Roman"/>
          <w:sz w:val="16"/>
          <w:szCs w:val="16"/>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prior period items have been reclassified to conform to the current period presentation.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2017</w:t>
            </w:r>
          </w:p>
        </w:tc>
        <w:tc>
          <w:tcPr>
            <w:tcW w:w="180" w:type="dxa"/>
            <w:vAlign w:val="bottom"/>
          </w:tcPr>
          <w:p>
            <w:pPr>
              <w:spacing w:after="0"/>
              <w:rPr>
                <w:sz w:val="24"/>
                <w:szCs w:val="24"/>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Nine Months 2016</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(101)</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(723)</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w:t>
            </w: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8" w:lineRule="exact"/>
        <w:rPr>
          <w:sz w:val="20"/>
          <w:szCs w:val="20"/>
          <w:color w:val="auto"/>
        </w:rPr>
      </w:pPr>
    </w:p>
    <w:p>
      <w:pPr>
        <w:ind w:left="300" w:hanging="287"/>
        <w:spacing w:after="0" w:line="291" w:lineRule="auto"/>
        <w:tabs>
          <w:tab w:leader="none" w:pos="241"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2" w:lineRule="exact"/>
        <w:rPr>
          <w:rFonts w:ascii="Times New Roman" w:cs="Times New Roman" w:eastAsia="Times New Roman" w:hAnsi="Times New Roman"/>
          <w:sz w:val="15"/>
          <w:szCs w:val="15"/>
          <w:color w:val="auto"/>
        </w:rPr>
      </w:pPr>
    </w:p>
    <w:p>
      <w:pPr>
        <w:ind w:left="280" w:hanging="255"/>
        <w:spacing w:after="0"/>
        <w:tabs>
          <w:tab w:leader="none" w:pos="280" w:val="left"/>
        </w:tabs>
        <w:numPr>
          <w:ilvl w:val="2"/>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($15 million in 2017; $20 million in 2016).</w:t>
      </w:r>
    </w:p>
    <w:p>
      <w:pPr>
        <w:spacing w:after="0" w:line="134" w:lineRule="exact"/>
        <w:rPr>
          <w:rFonts w:ascii="Times New Roman" w:cs="Times New Roman" w:eastAsia="Times New Roman" w:hAnsi="Times New Roman"/>
          <w:sz w:val="15"/>
          <w:szCs w:val="15"/>
          <w:color w:val="auto"/>
        </w:rPr>
      </w:pPr>
    </w:p>
    <w:p>
      <w:pPr>
        <w:ind w:left="300" w:hanging="294"/>
        <w:spacing w:after="0"/>
        <w:tabs>
          <w:tab w:leader="none" w:pos="30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($39 million in 2017; $40 million in 2016).</w:t>
      </w:r>
    </w:p>
    <w:p>
      <w:pPr>
        <w:spacing w:after="0" w:line="132" w:lineRule="exact"/>
        <w:rPr>
          <w:rFonts w:ascii="Times New Roman" w:cs="Times New Roman" w:eastAsia="Times New Roman" w:hAnsi="Times New Roman"/>
          <w:sz w:val="15"/>
          <w:szCs w:val="15"/>
          <w:color w:val="auto"/>
        </w:rPr>
      </w:pPr>
    </w:p>
    <w:p>
      <w:pPr>
        <w:ind w:left="300" w:hanging="294"/>
        <w:spacing w:after="0"/>
        <w:tabs>
          <w:tab w:leader="none" w:pos="30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See Note 2 – </w:t>
      </w:r>
      <w:r>
        <w:rPr>
          <w:rFonts w:ascii="Times New Roman" w:cs="Times New Roman" w:eastAsia="Times New Roman" w:hAnsi="Times New Roman"/>
          <w:sz w:val="16"/>
          <w:szCs w:val="16"/>
          <w:i w:val="1"/>
          <w:iCs w:val="1"/>
          <w:color w:val="auto"/>
        </w:rPr>
        <w:t>Charges and Credits</w:t>
      </w:r>
      <w:r>
        <w:rPr>
          <w:rFonts w:ascii="Times New Roman" w:cs="Times New Roman" w:eastAsia="Times New Roman" w:hAnsi="Times New Roman"/>
          <w:sz w:val="16"/>
          <w:szCs w:val="16"/>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prior period items have been reclassified to conform to the current period presentation.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16" w:name="page17"/>
    <w:bookmarkEnd w:id="16"/>
    <w:p>
      <w:pPr>
        <w:ind w:left="360" w:hanging="354"/>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pension cost for the Schlumberger pension plans included the following components: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8"/>
        </w:trPr>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9"/>
        </w:trPr>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2016</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2017</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8"/>
                <w:szCs w:val="18"/>
                <w:color w:val="auto"/>
              </w:rPr>
              <w:t>2016</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9"/>
        </w:trPr>
        <w:tc>
          <w:tcPr>
            <w:tcW w:w="296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Int'l</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Int'l</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Int'l</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Int'l</w:t>
            </w:r>
          </w:p>
        </w:tc>
        <w:tc>
          <w:tcPr>
            <w:tcW w:w="220" w:type="dxa"/>
            <w:vAlign w:val="bottom"/>
            <w:tcBorders>
              <w:bottom w:val="single" w:sz="8" w:color="CFF0FC"/>
            </w:tcBorders>
          </w:tcPr>
          <w:p>
            <w:pPr>
              <w:spacing w:after="0"/>
              <w:rPr>
                <w:sz w:val="19"/>
                <w:szCs w:val="19"/>
                <w:color w:val="auto"/>
              </w:rPr>
            </w:pPr>
          </w:p>
        </w:tc>
      </w:tr>
      <w:tr>
        <w:trPr>
          <w:trHeight w:val="23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60" w:type="dxa"/>
            <w:vAlign w:val="bottom"/>
            <w:gridSpan w:val="2"/>
            <w:shd w:val="clear" w:color="auto" w:fill="CFF0FC"/>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20"/>
                <w:szCs w:val="20"/>
                <w:color w:val="auto"/>
              </w:rPr>
            </w:pPr>
          </w:p>
        </w:tc>
      </w:tr>
      <w:tr>
        <w:trPr>
          <w:trHeight w:val="23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20"/>
                <w:szCs w:val="20"/>
                <w:color w:val="auto"/>
              </w:rPr>
            </w:pPr>
          </w:p>
        </w:tc>
      </w:tr>
      <w:tr>
        <w:trPr>
          <w:trHeight w:val="23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(60)</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(135)</w:t>
            </w:r>
          </w:p>
        </w:tc>
        <w:tc>
          <w:tcPr>
            <w:tcW w:w="5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(181)</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(406)</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r>
      <w:tr>
        <w:trPr>
          <w:trHeight w:val="23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20"/>
                <w:szCs w:val="20"/>
                <w:color w:val="auto"/>
              </w:rPr>
            </w:pPr>
          </w:p>
        </w:tc>
      </w:tr>
      <w:tr>
        <w:trPr>
          <w:trHeight w:val="23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560" w:type="dxa"/>
            <w:vAlign w:val="bottom"/>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FF0FC"/>
          </w:tcPr>
          <w:p>
            <w:pPr>
              <w:spacing w:after="0"/>
              <w:rPr>
                <w:sz w:val="20"/>
                <w:szCs w:val="20"/>
                <w:color w:val="auto"/>
              </w:rPr>
            </w:pPr>
          </w:p>
        </w:tc>
      </w:tr>
      <w:tr>
        <w:trPr>
          <w:trHeight w:val="219"/>
        </w:trPr>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benefit credit for the Schlumberger US postretirement medical plan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7"/>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60" w:type="dxa"/>
            <w:vAlign w:val="bottom"/>
          </w:tcPr>
          <w:p>
            <w:pPr>
              <w:spacing w:after="0"/>
              <w:rPr>
                <w:sz w:val="24"/>
                <w:szCs w:val="24"/>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332"/>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left w:val="single" w:sz="8" w:color="CFF0FC"/>
            </w:tcBorders>
            <w:shd w:val="clear" w:color="auto" w:fill="CFF0FC"/>
          </w:tcPr>
          <w:p>
            <w:pPr>
              <w:jc w:val="right"/>
              <w:ind w:right="20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shd w:val="clear" w:color="auto" w:fill="CFF0FC"/>
          </w:tcPr>
          <w:p>
            <w:pPr>
              <w:spacing w:after="0"/>
              <w:rPr>
                <w:sz w:val="19"/>
                <w:szCs w:val="19"/>
                <w:color w:val="auto"/>
              </w:rPr>
            </w:pPr>
          </w:p>
        </w:tc>
        <w:tc>
          <w:tcPr>
            <w:tcW w:w="360" w:type="dxa"/>
            <w:vAlign w:val="bottom"/>
            <w:tcBorders>
              <w:left w:val="single" w:sz="8" w:color="CFF0FC"/>
            </w:tcBorders>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60" w:type="dxa"/>
            <w:vAlign w:val="bottom"/>
            <w:tcBorders>
              <w:left w:val="single" w:sz="8" w:color="CFF0FC"/>
            </w:tcBorders>
            <w:shd w:val="clear" w:color="auto" w:fill="CFF0FC"/>
          </w:tcPr>
          <w:p>
            <w:pPr>
              <w:jc w:val="right"/>
              <w:ind w:right="20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6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8"/>
              </w:rPr>
              <w:t xml:space="preserve">Accumulated other comprehensive loss </w:t>
            </w:r>
            <w:r>
              <w:rPr>
                <w:rFonts w:ascii="Times New Roman" w:cs="Times New Roman" w:eastAsia="Times New Roman" w:hAnsi="Times New Roman"/>
                <w:sz w:val="18"/>
                <w:szCs w:val="18"/>
                <w:color w:val="auto"/>
                <w:w w:val="98"/>
              </w:rPr>
              <w:t>consists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Pension and</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Marketable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Benefit Plans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center"/>
              <w:ind w:right="3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45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left w:val="single" w:sz="8" w:color="CFF0FC"/>
            </w:tcBorders>
            <w:shd w:val="clear" w:color="auto" w:fill="CFF0FC"/>
          </w:tcPr>
          <w:p>
            <w:pPr>
              <w:jc w:val="right"/>
              <w:ind w:right="20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gain (loss) before reclassifications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4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tcBorders>
              <w:left w:val="single" w:sz="8" w:color="CFF0FC"/>
            </w:tcBorders>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45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left w:val="single" w:sz="8" w:color="CFF0FC"/>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Balance, September 30, 2017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Pension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Marketable</w:t>
            </w: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Benefit Plans</w:t>
            </w:r>
          </w:p>
        </w:tc>
        <w:tc>
          <w:tcPr>
            <w:tcW w:w="2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Borders>
              <w:top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before reclassifications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right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tcBorders>
              <w:right w:val="single" w:sz="8" w:color="CFF0FC"/>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vMerge w:val="continue"/>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7"/>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63" w:right="219" w:bottom="1440" w:gutter="0" w:footer="0" w:header="0"/>
        </w:sectPr>
      </w:pPr>
    </w:p>
    <w:bookmarkStart w:id="18" w:name="page19"/>
    <w:bookmarkEnd w:id="18"/>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2017 Compared to Second Quarter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Third Quarter 2017</w:t>
            </w:r>
          </w:p>
        </w:tc>
        <w:tc>
          <w:tcPr>
            <w:tcW w:w="180" w:type="dxa"/>
            <w:vAlign w:val="bottom"/>
          </w:tcPr>
          <w:p>
            <w:pPr>
              <w:spacing w:after="0"/>
              <w:rPr>
                <w:sz w:val="24"/>
                <w:szCs w:val="24"/>
                <w:color w:val="auto"/>
              </w:rPr>
            </w:pPr>
          </w:p>
        </w:tc>
        <w:tc>
          <w:tcPr>
            <w:tcW w:w="25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Second Quarter 2017</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300" w:hanging="286"/>
        <w:spacing w:after="0" w:line="291" w:lineRule="auto"/>
        <w:tabs>
          <w:tab w:leader="none" w:pos="237"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2" w:lineRule="exact"/>
        <w:rPr>
          <w:rFonts w:ascii="Times New Roman" w:cs="Times New Roman" w:eastAsia="Times New Roman" w:hAnsi="Times New Roman"/>
          <w:sz w:val="15"/>
          <w:szCs w:val="15"/>
          <w:color w:val="auto"/>
        </w:rPr>
      </w:pPr>
    </w:p>
    <w:p>
      <w:pPr>
        <w:ind w:left="240" w:hanging="227"/>
        <w:spacing w:after="0"/>
        <w:tabs>
          <w:tab w:leader="none" w:pos="2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($4 million in the third quarter of 2017; $6 million in the second quarter of 2017).</w:t>
      </w:r>
    </w:p>
    <w:p>
      <w:pPr>
        <w:spacing w:after="0" w:line="134" w:lineRule="exact"/>
        <w:rPr>
          <w:rFonts w:ascii="Times New Roman" w:cs="Times New Roman" w:eastAsia="Times New Roman" w:hAnsi="Times New Roman"/>
          <w:sz w:val="15"/>
          <w:szCs w:val="15"/>
          <w:color w:val="auto"/>
        </w:rPr>
      </w:pPr>
    </w:p>
    <w:p>
      <w:pPr>
        <w:ind w:left="280" w:hanging="267"/>
        <w:spacing w:after="0"/>
        <w:tabs>
          <w:tab w:leader="none" w:pos="2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($13 million in the third quarter of 2017; $14 million in the second quarter of 2017).</w:t>
      </w:r>
    </w:p>
    <w:p>
      <w:pPr>
        <w:spacing w:after="0" w:line="132" w:lineRule="exact"/>
        <w:rPr>
          <w:rFonts w:ascii="Times New Roman" w:cs="Times New Roman" w:eastAsia="Times New Roman" w:hAnsi="Times New Roman"/>
          <w:sz w:val="15"/>
          <w:szCs w:val="15"/>
          <w:color w:val="auto"/>
        </w:rPr>
      </w:pPr>
    </w:p>
    <w:p>
      <w:pPr>
        <w:ind w:left="280" w:hanging="267"/>
        <w:spacing w:after="0"/>
        <w:tabs>
          <w:tab w:leader="none" w:pos="2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Charges and credits are described in detail in Note 2 to the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Reservoir Characterization Group revenue of $1.8 billion increased 1% sequentially primarily due to seasonally higher Wireline and Testing &amp; Process activities in the Russia &amp; Central Asia and Norway &amp; Denmark GeoMarkets. This increase was partially offset by lower WesternGeco multiclient license sales, which declined $55 million, following the strong sales in Mexico during the previous quarter.</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operating margin of 18% was 56 basis points (bps) higher sequentially as the increased contribution from high-margin Wireline activities was offset by reduced profitability in WesternGeco due to lower multiclient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Drilling Group revenue of $2.1 billion increased 1% sequentially due to improved directional drilling-related revenue in North America 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operating margin of 14% was essentially flat sequentially.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Production Group revenue of $2.9 billion was 15% higher sequentially primarily from continued market share gains in the hydraulic fracturing market in North America land.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operating margin of 10% increased 97 bps sequentially due to increased activity and improved pricing on land in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Cameron Group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Cameron Group revenue of $1.3 billion increased 3% sequentially primarily due to higher product sales in Surface Systems in North America land.</w:t>
      </w:r>
    </w:p>
    <w:p>
      <w:pPr>
        <w:spacing w:after="0" w:line="21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Pretax operating margin of 15% increased 116 bps sequentially, due mainly to increasing profitability on higher product sales and improved pricing in Surface Systems and Valves &amp; Measurement in North America land.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2017 Compared to Third Quarter 2016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Third Quarter 2017</w:t>
            </w:r>
          </w:p>
        </w:tc>
        <w:tc>
          <w:tcPr>
            <w:tcW w:w="180" w:type="dxa"/>
            <w:vAlign w:val="bottom"/>
          </w:tcPr>
          <w:p>
            <w:pPr>
              <w:spacing w:after="0"/>
              <w:rPr>
                <w:sz w:val="24"/>
                <w:szCs w:val="24"/>
                <w:color w:val="auto"/>
              </w:rPr>
            </w:pPr>
          </w:p>
        </w:tc>
        <w:tc>
          <w:tcPr>
            <w:tcW w:w="25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Third Quarter 2016</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8" w:lineRule="exact"/>
        <w:rPr>
          <w:sz w:val="20"/>
          <w:szCs w:val="20"/>
          <w:color w:val="auto"/>
        </w:rPr>
      </w:pPr>
    </w:p>
    <w:p>
      <w:pPr>
        <w:ind w:left="300" w:hanging="286"/>
        <w:spacing w:after="0" w:line="291" w:lineRule="auto"/>
        <w:tabs>
          <w:tab w:leader="none" w:pos="237"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2" w:lineRule="exact"/>
        <w:rPr>
          <w:rFonts w:ascii="Times New Roman" w:cs="Times New Roman" w:eastAsia="Times New Roman" w:hAnsi="Times New Roman"/>
          <w:sz w:val="15"/>
          <w:szCs w:val="15"/>
          <w:color w:val="auto"/>
        </w:rPr>
      </w:pPr>
    </w:p>
    <w:p>
      <w:pPr>
        <w:ind w:left="280" w:hanging="223"/>
        <w:spacing w:after="0"/>
        <w:tabs>
          <w:tab w:leader="none" w:pos="280" w:val="left"/>
        </w:tabs>
        <w:numPr>
          <w:ilvl w:val="3"/>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($4 million in 2017; $7 million in 2016).</w:t>
      </w:r>
    </w:p>
    <w:p>
      <w:pPr>
        <w:spacing w:after="0" w:line="134" w:lineRule="exact"/>
        <w:rPr>
          <w:rFonts w:ascii="Times New Roman" w:cs="Times New Roman" w:eastAsia="Times New Roman" w:hAnsi="Times New Roman"/>
          <w:sz w:val="15"/>
          <w:szCs w:val="15"/>
          <w:color w:val="auto"/>
        </w:rPr>
      </w:pPr>
    </w:p>
    <w:p>
      <w:pPr>
        <w:ind w:left="300" w:hanging="270"/>
        <w:spacing w:after="0"/>
        <w:tabs>
          <w:tab w:leader="none" w:pos="300" w:val="left"/>
        </w:tabs>
        <w:numPr>
          <w:ilvl w:val="2"/>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($13 million in 2017; $14 million in 2016).</w:t>
      </w:r>
    </w:p>
    <w:p>
      <w:pPr>
        <w:spacing w:after="0" w:line="132" w:lineRule="exact"/>
        <w:rPr>
          <w:rFonts w:ascii="Times New Roman" w:cs="Times New Roman" w:eastAsia="Times New Roman" w:hAnsi="Times New Roman"/>
          <w:sz w:val="15"/>
          <w:szCs w:val="15"/>
          <w:color w:val="auto"/>
        </w:rPr>
      </w:pPr>
    </w:p>
    <w:p>
      <w:pPr>
        <w:jc w:val="both"/>
        <w:ind w:left="300" w:right="5080" w:hanging="287"/>
        <w:spacing w:after="0" w:line="477" w:lineRule="auto"/>
        <w:tabs>
          <w:tab w:leader="none" w:pos="286"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 xml:space="preserve">Charges and credits are described in detail in Note 2 to the </w:t>
      </w:r>
      <w:r>
        <w:rPr>
          <w:rFonts w:ascii="Times New Roman" w:cs="Times New Roman" w:eastAsia="Times New Roman" w:hAnsi="Times New Roman"/>
          <w:sz w:val="15"/>
          <w:szCs w:val="15"/>
          <w:i w:val="1"/>
          <w:iCs w:val="1"/>
          <w:color w:val="auto"/>
        </w:rPr>
        <w:t>Consolidated Financial Statements</w:t>
      </w:r>
      <w:r>
        <w:rPr>
          <w:rFonts w:ascii="Times New Roman" w:cs="Times New Roman" w:eastAsia="Times New Roman" w:hAnsi="Times New Roman"/>
          <w:sz w:val="15"/>
          <w:szCs w:val="15"/>
          <w:color w:val="auto"/>
        </w:rPr>
        <w:t>. Certain prior period items have been reclassified to conform to the current period presentation.</w:t>
      </w:r>
    </w:p>
    <w:p>
      <w:pPr>
        <w:spacing w:after="0" w:line="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Third-quarter 2017 revenue of $7.9 billion increased 13% year-on-year. North America land rig count increased more than 90% versus the same period last year, while the international land rig count increased 3%. The North America offshore rig count decreased by 13%, while the international offshore rig count was 4% lower. Driven by the accelerated land activity growth in North America, Production Group revenue increased 37% year-on-year while Reservoir Characterization Group revenue increased by 6% due to increased Wireline activities and Testing &amp; Process projects. Drilling Group revenue increased by 5% and Cameron Group revenue declined 3%.</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Third-quarter 2017 pretax operating margin increased 178 bps to 13% due to improved profitability in North America driven by accelerated land activity growth that benefited the Production and Drilling Groups. As a result, Production Group pretax operating margin expanded 552 bps to 10%, while the Drilling Group increased 339 bps to 14%. Reservoir Characterization Group pretax operating margin declined 217 bps to 18% and the Cameron Group declined 110 bps to 15%.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Third-quarter 2017 revenue of $1.8 billion increased 6% year-on-year primarily due to higher Wireline activities in North America land and Russia and increased Testing &amp; Process revenue on projects in the Middle East &amp; Asia Area.</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declined 217 bps to 18% as the increased revenue was offset by higher project costs in Testing &amp;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 w:name="page21"/>
    <w:bookmarkEnd w:id="20"/>
    <w:p>
      <w:pPr>
        <w:ind w:right="20"/>
        <w:spacing w:after="0" w:line="275" w:lineRule="auto"/>
        <w:rPr>
          <w:sz w:val="20"/>
          <w:szCs w:val="20"/>
          <w:color w:val="auto"/>
        </w:rPr>
      </w:pPr>
      <w:r>
        <w:rPr>
          <w:rFonts w:ascii="Times New Roman" w:cs="Times New Roman" w:eastAsia="Times New Roman" w:hAnsi="Times New Roman"/>
          <w:sz w:val="18"/>
          <w:szCs w:val="18"/>
          <w:color w:val="auto"/>
        </w:rPr>
        <w:t>Third-quarter 2017 revenue of $2.1 billion increased 5% year-on-year primarily due to higher demand for directional drilling technologies on land in North America.</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Year-on-year, pretax operating margin increased 339 bps to 14% primarily due to improved profitability in North America due to accelerated land activity and improved pricing.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Third-quarter 2017 revenue of $2.9 billion increased 37% year-on-year, as a result of the accelerated land activity growth in North America that benefited the pressure pumping business.</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Year-on-year, pretax operating margin increased 552 bps to 10% primarily as a result of improved profitability in North America due to accelerated land activity and improved pricing.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 Group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Third-quarter revenue of $1.3 billion declined 3% year-on-year due to a declining backlog for the long-cycle businesses of Drilling Systems and OneSubsea.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operating margin of 15% declined 110 bps primarily due to the decline in high-margin Drilling Systems project volumes.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2017 Compared to Nine Months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2017</w:t>
            </w:r>
          </w:p>
        </w:tc>
        <w:tc>
          <w:tcPr>
            <w:tcW w:w="180" w:type="dxa"/>
            <w:vAlign w:val="bottom"/>
          </w:tcPr>
          <w:p>
            <w:pPr>
              <w:spacing w:after="0"/>
              <w:rPr>
                <w:sz w:val="24"/>
                <w:szCs w:val="24"/>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Nine Months 2016</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(101)</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(723)</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w:t>
            </w: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8" w:lineRule="exact"/>
        <w:rPr>
          <w:sz w:val="20"/>
          <w:szCs w:val="20"/>
          <w:color w:val="auto"/>
        </w:rPr>
      </w:pPr>
    </w:p>
    <w:p>
      <w:pPr>
        <w:ind w:left="300" w:hanging="286"/>
        <w:spacing w:after="0" w:line="291" w:lineRule="auto"/>
        <w:tabs>
          <w:tab w:leader="none" w:pos="237"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2" w:lineRule="exact"/>
        <w:rPr>
          <w:rFonts w:ascii="Times New Roman" w:cs="Times New Roman" w:eastAsia="Times New Roman" w:hAnsi="Times New Roman"/>
          <w:sz w:val="15"/>
          <w:szCs w:val="15"/>
          <w:color w:val="auto"/>
        </w:rPr>
      </w:pPr>
    </w:p>
    <w:p>
      <w:pPr>
        <w:ind w:left="280" w:hanging="223"/>
        <w:spacing w:after="0"/>
        <w:tabs>
          <w:tab w:leader="none" w:pos="280" w:val="left"/>
        </w:tabs>
        <w:numPr>
          <w:ilvl w:val="3"/>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($15 million in 2017; $20 million in 2016).</w:t>
      </w:r>
    </w:p>
    <w:p>
      <w:pPr>
        <w:spacing w:after="0" w:line="134" w:lineRule="exact"/>
        <w:rPr>
          <w:rFonts w:ascii="Times New Roman" w:cs="Times New Roman" w:eastAsia="Times New Roman" w:hAnsi="Times New Roman"/>
          <w:sz w:val="15"/>
          <w:szCs w:val="15"/>
          <w:color w:val="auto"/>
        </w:rPr>
      </w:pPr>
    </w:p>
    <w:p>
      <w:pPr>
        <w:ind w:left="300" w:hanging="270"/>
        <w:spacing w:after="0"/>
        <w:tabs>
          <w:tab w:leader="none" w:pos="300" w:val="left"/>
        </w:tabs>
        <w:numPr>
          <w:ilvl w:val="2"/>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($39 million in 2017; $40 million in 2016).</w:t>
      </w:r>
    </w:p>
    <w:p>
      <w:pPr>
        <w:spacing w:after="0" w:line="132" w:lineRule="exact"/>
        <w:rPr>
          <w:rFonts w:ascii="Times New Roman" w:cs="Times New Roman" w:eastAsia="Times New Roman" w:hAnsi="Times New Roman"/>
          <w:sz w:val="15"/>
          <w:szCs w:val="15"/>
          <w:color w:val="auto"/>
        </w:rPr>
      </w:pPr>
    </w:p>
    <w:p>
      <w:pPr>
        <w:ind w:left="300" w:right="4500" w:hanging="287"/>
        <w:spacing w:after="0" w:line="477" w:lineRule="auto"/>
        <w:tabs>
          <w:tab w:leader="none" w:pos="286"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 xml:space="preserve">Charges and credits recorded are described in detail in Note 2 to the </w:t>
      </w:r>
      <w:r>
        <w:rPr>
          <w:rFonts w:ascii="Times New Roman" w:cs="Times New Roman" w:eastAsia="Times New Roman" w:hAnsi="Times New Roman"/>
          <w:sz w:val="15"/>
          <w:szCs w:val="15"/>
          <w:i w:val="1"/>
          <w:iCs w:val="1"/>
          <w:color w:val="auto"/>
        </w:rPr>
        <w:t>Consolidated Financial Statements</w:t>
      </w:r>
      <w:r>
        <w:rPr>
          <w:rFonts w:ascii="Times New Roman" w:cs="Times New Roman" w:eastAsia="Times New Roman" w:hAnsi="Times New Roman"/>
          <w:sz w:val="15"/>
          <w:szCs w:val="15"/>
          <w:color w:val="auto"/>
        </w:rPr>
        <w:t>. Certain prior period items have been reclassified to conform to the current period presentation.</w:t>
      </w:r>
    </w:p>
    <w:p>
      <w:pPr>
        <w:spacing w:after="0" w:line="3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Nine-month 2017 revenue of $22.3 billion increased 8% year-on-year. This included a full nine months of activity from the acquired Cameron businesses versus two quarters of activity for the same period in 2016. Excluding the impact of the Cameron Group, revenue for the nine months ended September 30, 2017 increased 3% year-on-year. The growth was primarily driven by North America where the land rig count increased 90% versus the same period last year.</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Nine-month revenue for the Drilling Group declined 5% primarily driven by the 4% decline in the international rig count combined with Schlumberger’s decision in April 2016 to reduce its activities in Venezuela to align operations with cash collections. Production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1" w:name="page22"/>
    <w:bookmarkEnd w:id="21"/>
    <w:p>
      <w:pPr>
        <w:jc w:val="both"/>
        <w:spacing w:after="0" w:line="275" w:lineRule="auto"/>
        <w:rPr>
          <w:sz w:val="20"/>
          <w:szCs w:val="20"/>
          <w:color w:val="auto"/>
        </w:rPr>
      </w:pPr>
      <w:r>
        <w:rPr>
          <w:rFonts w:ascii="Times New Roman" w:cs="Times New Roman" w:eastAsia="Times New Roman" w:hAnsi="Times New Roman"/>
          <w:sz w:val="18"/>
          <w:szCs w:val="18"/>
          <w:color w:val="auto"/>
        </w:rPr>
        <w:t>Group revenue increased 15% due to the accelerated land pressure pumping activity growth in North America, while the Reservoir Characterization Group revenue improved 4%.</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Nine-month 2017 pretax operating margin was essentially flat at 12%, as improved profitability in North America due to the land activity growth that benefited the Production and Drilling Groups was offset by margin declines in the Reservoir Characterization and Cameron Groups.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Nine-month 2017 revenue of $5.1 billion increased 4% year-on-year primarily due to higher WesternGeco and Testing &amp; Process revenue on projects in the Middle East &amp; Asia Area.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140 bps to 17% due to reduced profitability in Testing &amp; Process as project costs increased.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Nine-month 2017 revenue of $6.2 billion decreased 5% year-on-year primarily due to the rig count declines internationally and in offshore North America combined with pricing pressure. Revenue also declined as a result of Schlumberger’s decision in April 2016 to reduce its activities in Venezuela to align operations with cash collections.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Year-on-year, pretax operating margin increased 178 bps to 13% primarily due to improved profitability in North America due to accelerated land activity and improved pricing. This improvement was partially offset by the negative impact of reduced activity in Venezuela.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Nine-month 2017 revenue of $7.6 billion increased 15% year-on-year with most of the revenue increase attributable to the accelerated land activity growth in North America that benefited the pressure pumping business which grew 34%. Lower Schlumberger Production Management (SPM) production levels in Ecuador partially offset the revenue increase.</w:t>
      </w:r>
    </w:p>
    <w:p>
      <w:pPr>
        <w:spacing w:after="0" w:line="17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Year-on-year, pretax operating margin increased 238 bps to 8% as a result of improved profitability in North America due to the accelerated land activity and improved pricing. This was partially offset by reduced margins in SPM due to lower production in Ecuador.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Cameron Group contributed nine-month revenue of $3.8 billion. Cameron Group revenue for the first nine months of 2016 included only two quarters of revenue following the closing of the acquisition in April 2016. Revenue in 2017 was impacted by a declining project backlog, particularly for the long-cycle businesses of Drilling Systems and OneSubsea.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of 14% decreased 224 bps as a result of lower Drilling Systems project volumes.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and Other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&amp; other income </w:t>
      </w:r>
      <w:r>
        <w:rPr>
          <w:rFonts w:ascii="Times New Roman" w:cs="Times New Roman" w:eastAsia="Times New Roman" w:hAnsi="Times New Roman"/>
          <w:sz w:val="18"/>
          <w:szCs w:val="18"/>
          <w:color w:val="auto"/>
        </w:rPr>
        <w:t>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58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net earnings of affiliated companies</w:t>
            </w:r>
          </w:p>
        </w:tc>
        <w:tc>
          <w:tcPr>
            <w:tcW w:w="860" w:type="dxa"/>
            <w:vAlign w:val="bottom"/>
            <w:shd w:val="clear" w:color="auto" w:fill="CFF0FC"/>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for the third quarter and nine months ended September 30,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2016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97"/>
              </w:rPr>
              <w:t>Third Quarter</w:t>
            </w:r>
          </w:p>
        </w:tc>
        <w:tc>
          <w:tcPr>
            <w:tcW w:w="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9"/>
        </w:trPr>
        <w:tc>
          <w:tcPr>
            <w:tcW w:w="56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Borders>
              <w:bottom w:val="single" w:sz="8" w:color="CFF0FC"/>
            </w:tcBorders>
          </w:tcPr>
          <w:p>
            <w:pPr>
              <w:spacing w:after="0"/>
              <w:rPr>
                <w:sz w:val="19"/>
                <w:szCs w:val="19"/>
                <w:color w:val="auto"/>
              </w:rPr>
            </w:pPr>
          </w:p>
        </w:tc>
      </w:tr>
      <w:tr>
        <w:trPr>
          <w:trHeight w:val="21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engineering</w:t>
            </w:r>
          </w:p>
        </w:tc>
        <w:tc>
          <w:tcPr>
            <w:tcW w:w="7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w:t>
            </w: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8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w:t>
            </w: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w:t>
            </w:r>
          </w:p>
        </w:tc>
        <w:tc>
          <w:tcPr>
            <w:tcW w:w="8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w:t>
            </w:r>
          </w:p>
        </w:tc>
        <w:tc>
          <w:tcPr>
            <w:tcW w:w="3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costs for the third quarter of 2017 and the nine months ended September 30, 2017 have decreased as compared to the same periods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by $64 million and $155 million, respectively, as a result of cost control measures.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effective tax rate for the third quarter of 2017 was 17.9% as compared to 5.1% for the same period of 2016. The charges described in Note 2 to the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decreased the effective tax rate for the third quarter of 2017 by one percentage point and by 11 percentage points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2016. Excluding the impact of these charges, the effective tax rate increased as a result of the change in the geographic mix of earnings as Schlumberger generated a greater portion of its pretax earnings in North America during the third quarter of 2017 as compared to the same period last year.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effective tax rate for the nine months ended September 30, 2017 was 26.2% as compared to 15.3% for the same period of 2016. The charges described in 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increased the effective tax rate for the nine months ended September 30, 2017 by eight percentage points and decreased the effective tax rate by one percentage point for the same period of 2016. Excluding the impact of these charges, the effective tax rate increased as a result of the change in the geographic mix of earnings as Schlumberger generated a greater portion of its pretax earnings in North America during the nine months ended September 30, 2017 as compared to the same period last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Charges and Credits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Schlumberger recorded charges during the first, second and third quarters of 2017 which are fully described in Note 2 to the </w:t>
      </w:r>
      <w:r>
        <w:rPr>
          <w:rFonts w:ascii="Times New Roman" w:cs="Times New Roman" w:eastAsia="Times New Roman" w:hAnsi="Times New Roman"/>
          <w:sz w:val="18"/>
          <w:szCs w:val="18"/>
          <w:i w:val="1"/>
          <w:iCs w:val="1"/>
          <w:color w:val="auto"/>
        </w:rPr>
        <w:t>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The following is a summary of the charges recorded during the first nine months of 2017: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1"/>
        </w:trPr>
        <w:tc>
          <w:tcPr>
            <w:tcW w:w="5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58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Tax</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 fair value adjustment and other</w:t>
            </w:r>
          </w:p>
        </w:tc>
        <w:tc>
          <w:tcPr>
            <w:tcW w:w="840" w:type="dxa"/>
            <w:vAlign w:val="bottom"/>
            <w:tcBorders>
              <w:top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Merger &amp; integration</w:t>
            </w: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3" w:name="page24"/>
    <w:bookmarkEnd w:id="23"/>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2016, Schlumberger recorded $237 million of charges associated with the acquisition of Cameron. During the second quarter of 2016, Schlumberger recorded $2.573 billion of asset impairment and workforce reduction charges and $334 million of charges associated with the acquisition of Cameron. There were no charges or credits recorded during the first quarter of 2016. These charges, which are summarized below, are more fully described in 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Pretax</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2"/>
              </w:rPr>
              <w:t>Tax</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c>
          <w:tcPr>
            <w:tcW w:w="1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Workforce reduction</w:t>
            </w:r>
          </w:p>
        </w:tc>
        <w:tc>
          <w:tcPr>
            <w:tcW w:w="142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19"/>
                <w:szCs w:val="19"/>
                <w:color w:val="auto"/>
              </w:rPr>
            </w:pPr>
          </w:p>
        </w:tc>
        <w:tc>
          <w:tcPr>
            <w:tcW w:w="32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 America pressure pumping asset impairments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Facilities impairments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fixed asset impairments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Inventory write-downs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Multiclient seismic data impairment</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Merger &amp; integration</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Merger-related employee benefits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Professional fees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Facility closure costs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merger and integration-related</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sales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inventory fair value adjustment</w:t>
            </w:r>
          </w:p>
        </w:tc>
        <w:tc>
          <w:tcPr>
            <w:tcW w:w="1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8"/>
              </w:rPr>
              <w:t>Liquidity and Capital Resources</w:t>
            </w:r>
          </w:p>
        </w:tc>
        <w:tc>
          <w:tcPr>
            <w:tcW w:w="316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360" w:type="dxa"/>
            <w:vAlign w:val="bottom"/>
            <w:tcBorders>
              <w:bottom w:val="single" w:sz="8" w:color="auto"/>
            </w:tcBorders>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Details of the components of liquidity as well as changes in liquidity follow:</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Sept.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5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Components of Liquidity</w:t>
            </w:r>
          </w:p>
        </w:tc>
        <w:tc>
          <w:tcPr>
            <w:tcW w:w="1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4"/>
              </w:rPr>
              <w:t>2016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(15,871)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(17,538)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0" w:type="dxa"/>
            <w:vAlign w:val="bottom"/>
            <w:vMerge w:val="restart"/>
          </w:tcPr>
          <w:p>
            <w:pPr>
              <w:jc w:val="right"/>
              <w:ind w:right="831"/>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36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Liquidity:</w:t>
            </w:r>
          </w:p>
        </w:tc>
        <w:tc>
          <w:tcPr>
            <w:tcW w:w="360" w:type="dxa"/>
            <w:vAlign w:val="bottom"/>
          </w:tcPr>
          <w:p>
            <w:pPr>
              <w:spacing w:after="0"/>
              <w:rPr>
                <w:sz w:val="20"/>
                <w:szCs w:val="20"/>
                <w:color w:val="auto"/>
              </w:rPr>
            </w:pPr>
          </w:p>
        </w:tc>
        <w:tc>
          <w:tcPr>
            <w:tcW w:w="32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Nine Months Ended Sept. 30,</w:t>
            </w:r>
          </w:p>
        </w:tc>
      </w:tr>
      <w:tr>
        <w:trPr>
          <w:trHeight w:val="219"/>
        </w:trPr>
        <w:tc>
          <w:tcPr>
            <w:tcW w:w="7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(2)</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funding</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Increase in working capital </w:t>
            </w:r>
            <w:r>
              <w:rPr>
                <w:rFonts w:ascii="Times New Roman" w:cs="Times New Roman" w:eastAsia="Times New Roman" w:hAnsi="Times New Roman"/>
                <w:sz w:val="15"/>
                <w:szCs w:val="15"/>
                <w:color w:val="auto"/>
              </w:rPr>
              <w:t>(3)</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(1,473)</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tax refund</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(393)</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3,412</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SPM investments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(492)</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(869)</w:t>
            </w: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Multiclient seismic data costs capitalized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(223)</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(4)</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(868)</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w:t>
            </w:r>
          </w:p>
        </w:tc>
      </w:tr>
      <w:tr>
        <w:trPr>
          <w:trHeight w:val="219"/>
        </w:trPr>
        <w:tc>
          <w:tcPr>
            <w:tcW w:w="7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(1,478)</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(227)</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debt</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(10,121)</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(5,547)</w:t>
            </w: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3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520" w:right="20" w:hanging="514"/>
        <w:spacing w:after="0" w:line="215" w:lineRule="auto"/>
        <w:tabs>
          <w:tab w:leader="none" w:pos="52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520" w:hanging="514"/>
        <w:spacing w:after="0" w:line="192" w:lineRule="auto"/>
        <w:tabs>
          <w:tab w:leader="none" w:pos="520"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SPM investments.</w:t>
      </w:r>
    </w:p>
    <w:p>
      <w:pPr>
        <w:spacing w:after="0" w:line="62" w:lineRule="exact"/>
        <w:rPr>
          <w:rFonts w:ascii="Times New Roman" w:cs="Times New Roman" w:eastAsia="Times New Roman" w:hAnsi="Times New Roman"/>
          <w:sz w:val="26"/>
          <w:szCs w:val="26"/>
          <w:color w:val="auto"/>
          <w:vertAlign w:val="superscript"/>
        </w:rPr>
      </w:pPr>
    </w:p>
    <w:p>
      <w:pPr>
        <w:ind w:left="520" w:hanging="514"/>
        <w:spacing w:after="0" w:line="180" w:lineRule="auto"/>
        <w:tabs>
          <w:tab w:leader="none" w:pos="52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Includes severance payments of approximately $347 million and $770 million during the nine months ended September 30, 2017 and 2016, respectively.</w:t>
      </w:r>
    </w:p>
    <w:p>
      <w:pPr>
        <w:spacing w:after="0" w:line="49" w:lineRule="exact"/>
        <w:rPr>
          <w:rFonts w:ascii="Times New Roman" w:cs="Times New Roman" w:eastAsia="Times New Roman" w:hAnsi="Times New Roman"/>
          <w:sz w:val="22"/>
          <w:szCs w:val="22"/>
          <w:color w:val="auto"/>
          <w:vertAlign w:val="superscript"/>
        </w:rPr>
      </w:pPr>
    </w:p>
    <w:p>
      <w:pPr>
        <w:jc w:val="both"/>
        <w:ind w:left="520" w:right="20" w:hanging="514"/>
        <w:spacing w:after="0" w:line="226" w:lineRule="auto"/>
        <w:tabs>
          <w:tab w:leader="none" w:pos="52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Key liquidity events during the first nine months of 2017 and 2016 included:</w:t>
      </w:r>
    </w:p>
    <w:p>
      <w:pPr>
        <w:spacing w:after="0" w:line="112" w:lineRule="exact"/>
        <w:rPr>
          <w:sz w:val="20"/>
          <w:szCs w:val="20"/>
          <w:color w:val="auto"/>
        </w:rPr>
      </w:pPr>
    </w:p>
    <w:p>
      <w:pPr>
        <w:jc w:val="both"/>
        <w:ind w:left="1020" w:right="20" w:hanging="376"/>
        <w:spacing w:after="0" w:line="25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2013, the Schlumberger Board of Directors (the “Board”) approved a $10 billion share repurchase program to be completed at the latest by June 30, 2018. This program was completed during May 2017. On January 21, 2016, the Board approved a new $10 billion share repurchase program for Schlumberger common stock. Schlumberger had repurchased $223 million of shares under the new program as of September 30, 2017.</w:t>
      </w:r>
    </w:p>
    <w:p>
      <w:pPr>
        <w:spacing w:after="0" w:line="7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following table summarizes the activity under these share repurchase programs: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1160" w:type="dxa"/>
            <w:vAlign w:val="bottom"/>
          </w:tcPr>
          <w:p>
            <w:pPr>
              <w:spacing w:after="0"/>
              <w:rPr>
                <w:sz w:val="16"/>
                <w:szCs w:val="16"/>
                <w:color w:val="auto"/>
              </w:rPr>
            </w:pPr>
          </w:p>
        </w:tc>
      </w:tr>
      <w:tr>
        <w:trPr>
          <w:trHeight w:val="418"/>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6"/>
                <w:szCs w:val="16"/>
                <w:color w:val="auto"/>
                <w:w w:val="97"/>
              </w:rPr>
              <w:t>Total cost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Total number</w:t>
            </w: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Average price</w:t>
            </w:r>
          </w:p>
        </w:tc>
        <w:tc>
          <w:tcPr>
            <w:tcW w:w="1160" w:type="dxa"/>
            <w:vAlign w:val="bottom"/>
          </w:tcPr>
          <w:p>
            <w:pPr>
              <w:spacing w:after="0"/>
              <w:rPr>
                <w:sz w:val="24"/>
                <w:szCs w:val="24"/>
                <w:color w:val="auto"/>
              </w:rPr>
            </w:pPr>
          </w:p>
        </w:tc>
      </w:tr>
      <w:tr>
        <w:trPr>
          <w:trHeight w:val="213"/>
        </w:trPr>
        <w:tc>
          <w:tcPr>
            <w:tcW w:w="11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color w:val="auto"/>
                <w:w w:val="97"/>
              </w:rPr>
              <w:t>of shares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of shares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paid per</w:t>
            </w:r>
          </w:p>
        </w:tc>
        <w:tc>
          <w:tcPr>
            <w:tcW w:w="116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color w:val="auto"/>
                <w:w w:val="98"/>
              </w:rPr>
              <w:t>purchased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purchased</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share</w:t>
            </w:r>
          </w:p>
        </w:tc>
        <w:tc>
          <w:tcPr>
            <w:tcW w:w="116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2017</w:t>
            </w:r>
          </w:p>
        </w:tc>
        <w:tc>
          <w:tcPr>
            <w:tcW w:w="15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74.21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2"/>
        </w:trPr>
        <w:tc>
          <w:tcPr>
            <w:tcW w:w="1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2016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845"/>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 w:name="page26"/>
    <w:bookmarkEnd w:id="25"/>
    <w:p>
      <w:pPr>
        <w:ind w:left="1020" w:hanging="363"/>
        <w:spacing w:after="0" w:line="27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$1.5 billion during the first nine months of 2017 compared to $1.4 billion during the first nine months of 2016. Capital expenditures for full-year 2017 are expected to be approximately $2.1 billion as compared to expenditures of $2.1 billion in 2016.</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weak economic environments or when there is an extended period of weakness in oil and gas prices, Schlumberger typically experiences delays in the payment of its receivables. However, Schlumberger has not had material write-offs due to uncollectible accounts receivable over the recent industry downturn. Schlumberger operates in more than 85 countries. As a large multinational company with a long history of operating in a cyclical industry, Schlumberger has extensive experience in working with its customers during difficult times to manage its accounts receivable. As of September 30, 2017, only five of those countries individually accounted for greater than 5% of Schlumberger’s net receivable balance, of which only two (the United States and Ecuador) accounted for greater than 10% of such receivables.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April 2016, Schlumberger announced that it would reduce its activity in Venezuela to align operations with cash collections as a result of insufficient payments received in recent quarters. As of September 30, 2017, Schlumberger’s net accounts receivable balance in Venezuela was approximately $0.5 billion, which excludes the $0.2 billion of the promissory notes described below.</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Receivables, less allowance for doubtful accounts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as of September 30, 2017 is approximately $1.1 billion of receivables relating to Ecuador.</w:t>
      </w:r>
    </w:p>
    <w:p>
      <w:pPr>
        <w:spacing w:after="0" w:line="1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Schlumberger’s receivables from its primary customers in Venezuela and Ecuador are not in dispute and Schlumberger has not historically had any material write-offs due to uncollectible accounts receivable relating to these customers.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October 2017, Schlumberger reached an agreement to settle its overdue receivables in Ecuador.</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second quarter of 2017, Schlumberger entered into a financing agreement with its primary customer in Venezuela. This agreement resulted in the exchange of $700 million of outstanding accounts receivable for promissory notes with a three-year term that bear interest at the rate of 6.50% per annum. Schlumberger recorded these notes at their estimated fair value on the date of the exchange, which resulted in a pretax and after-tax charge of $460 million. As a result, the cost basis of the promissory note is $240 million. Schlumberger is accounting for the promissory notes as available-for-sale securities reported at fair value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with unrealized gains and losses included as a component of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The fair value of the promissory notes, which is based on management’s estimate of the pricing assumptions that market participants would use, was $184 million at September 30, 2017. If Schlumberger were to conclude that these securities were other-than-temporarily impaired, it would be required to write-down its cost basis to fair value and record a corresponding charge to earnings.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Schlumberger’s judgment regarding the collectibility of its receivables and promissory notes in Venezuela is sensitive to the political and economic conditions in the country. If conditions in Venezuela worsen, Schlumberger may be required to record adjustments to the carrying value of these assets.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 from operations for the nine months ended September 30, 2017 decreased by approximately $0.8 billion as compared to the same period in 2016. This decrease was primarily driven by delays in collecting certain receivables combined with the working capital effects of the activity growth experienced during the nine months ended September 30, 2017. These effects were partially offset by the collection of a US federal tax refund of approximately $685 million during the third quarter of 2017.</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24, 2017, Schlumberger and Weatherford announced an agreement to create OneStim</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a joint venture to deliver completions products and services for the development of unconventional resource plays in the United States and Canada land markets. The joint venture will offer one of the broadest multistage completions portfolios in the market combined with one of the largest hydraulic fracturing fleets in the industry. Schlumberger and Weatherford will have a 70%/30% ownership of the joint venture, respectively. The transaction is expected to close in the fourth quarter of 2017 and is subject to regulatory approvals and other customary closing conditions. Under the terms of the formation agreement, Schlumberger and Weatherford will contribute all their respective North America land hydraulic fracturing pressure pumping assets, multistage completions, and pump-down perforating businesses. Subject to the terms of the agreement, Schlumberger will also make a cash payment of up to $535 million to Weatherford. Schlumberger will manage the joint venture and consolidate it for financial reporting purposes.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October 2017, Schlumberger announced that it and Torxen Energy have entered into a definitive agreement for the purchase of the Palliser Block located in Alberta, Canada, from Cenovus Energy, an integrated Canadian oil company, for cash consideration 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both"/>
        <w:spacing w:after="0" w:line="275" w:lineRule="auto"/>
        <w:rPr>
          <w:sz w:val="20"/>
          <w:szCs w:val="20"/>
          <w:color w:val="auto"/>
        </w:rPr>
      </w:pPr>
      <w:r>
        <w:rPr>
          <w:rFonts w:ascii="Times New Roman" w:cs="Times New Roman" w:eastAsia="Times New Roman" w:hAnsi="Times New Roman"/>
          <w:sz w:val="18"/>
          <w:szCs w:val="18"/>
          <w:color w:val="auto"/>
        </w:rPr>
        <w:t>approximately $1 billion. Under the agreement, which is subject to customary closing conditions, Schlumberger will be the majority non-operating owner and Torxen Energy will be the operator.</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2017, Schlumberger had $5.0 billion of cash and short-term investments on hand. Schlumberger had separate committed debt facility agreements aggregating $6.6 billion with commercial banks, of which $4.2 billion was available and unused as of September 30, 2017. The $6.6 billion of committed debt facility agreements included $6.3 billion of committed facilities that support commercial paper programs. Schlumberger believes these amounts are sufficient to meet future business requirements for at least the next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commercial paper programs at September 30, 2017 were $2.4 billion.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retain key employees; and other risks and uncertainties detailed in this third-quarter 2017 Form 10-Q and our most recent Form 10-K, and Forms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2016. Schlumberger’s exposure to market risk has not changed materially since December 31, 2016.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with respect to this Item 1 is set forth under Note 11—</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from the risk factors previously disclosed in Part 1, Item 1A, of Schlumberger’s Annual Report on Form 10-K for the fiscal year ended December 31,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July 18, 2013, the Board approved a $10 billion share repurchase program for shares of Schlumberger common stock, to be completed at the latest by June 30, 2018. This program was completed during May 2017. On January 21, 2016, the Board approved a new $10 billion share repurchase program for Schlumberger common stock. This new program took effect once the July 18, 2013 program was exhausted.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common stock repurchase activity for the three months ended September 30, 2017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409"/>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Maximum value</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24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7"/>
              </w:rPr>
              <w:t>of shares that may</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as part of publicly</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yet be purchased</w:t>
            </w:r>
          </w:p>
        </w:tc>
      </w:tr>
      <w:tr>
        <w:trPr>
          <w:trHeight w:val="199"/>
        </w:trPr>
        <w:tc>
          <w:tcPr>
            <w:tcW w:w="588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Total number of</w:t>
            </w:r>
          </w:p>
        </w:tc>
        <w:tc>
          <w:tcPr>
            <w:tcW w:w="12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w w:val="99"/>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announced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under the</w:t>
            </w:r>
          </w:p>
        </w:tc>
      </w:tr>
      <w:tr>
        <w:trPr>
          <w:trHeight w:val="211"/>
        </w:trPr>
        <w:tc>
          <w:tcPr>
            <w:tcW w:w="58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12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rPr>
              <w:t>paid per share</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programs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programs</w:t>
            </w:r>
          </w:p>
        </w:tc>
      </w:tr>
      <w:tr>
        <w:trPr>
          <w:trHeight w:val="222"/>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2017</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9,821,155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August 2017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9,798,137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2017</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9,777,135</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completed the wind down of its service operations in Iran during 2013. Prior to this, certain non-US subsidiaries of Schlumberger provided oilfield services to the National Iranian Oil Company and certain of its affiliates (“NIOC”).</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Schlumberger’s residual transactions or dealings with the government of Iran in the third quarter of 2017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maintains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Schlumberger’s 2017 Annual General Meeting of Stockholders, Schlumberger’s stockholders voted on, among other matters, a proposal regarding the frequency of future advisory votes on executive compensation (say on pay). As previously reported, the Board views an annual advisory vote on executive compensation as the most appropriate option, and a majority of the votes cast on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8" w:name="page29"/>
    <w:bookmarkEnd w:id="28"/>
    <w:p>
      <w:pPr>
        <w:spacing w:after="0" w:line="275" w:lineRule="auto"/>
        <w:rPr>
          <w:sz w:val="20"/>
          <w:szCs w:val="20"/>
          <w:color w:val="auto"/>
        </w:rPr>
      </w:pPr>
      <w:r>
        <w:rPr>
          <w:rFonts w:ascii="Times New Roman" w:cs="Times New Roman" w:eastAsia="Times New Roman" w:hAnsi="Times New Roman"/>
          <w:sz w:val="18"/>
          <w:szCs w:val="18"/>
          <w:color w:val="auto"/>
        </w:rPr>
        <w:t>frequency proposal supported the Board’s recommendation of holding an advisory vote to approve executive compensation on an annual basis. Accordingly, Schlumberger will hold an annual advisory vote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00" w:lineRule="exact"/>
        <w:rPr>
          <w:sz w:val="20"/>
          <w:szCs w:val="20"/>
          <w:color w:val="auto"/>
        </w:rPr>
      </w:pPr>
    </w:p>
    <w:p>
      <w:pPr>
        <w:spacing w:after="0" w:line="233" w:lineRule="exact"/>
        <w:rPr>
          <w:sz w:val="20"/>
          <w:szCs w:val="20"/>
          <w:color w:val="auto"/>
        </w:rPr>
      </w:pPr>
    </w:p>
    <w:p>
      <w:pPr>
        <w:ind w:left="440"/>
        <w:spacing w:after="0" w:line="275" w:lineRule="auto"/>
        <w:rPr>
          <w:rFonts w:ascii="Times New Roman" w:cs="Times New Roman" w:eastAsia="Times New Roman" w:hAnsi="Times New Roman"/>
          <w:sz w:val="18"/>
          <w:szCs w:val="18"/>
          <w:u w:val="single" w:color="auto"/>
          <w:color w:val="0000EE"/>
        </w:rPr>
      </w:pPr>
      <w:hyperlink r:id="rId55">
        <w:r>
          <w:rPr>
            <w:rFonts w:ascii="Times New Roman" w:cs="Times New Roman" w:eastAsia="Times New Roman" w:hAnsi="Times New Roman"/>
            <w:sz w:val="18"/>
            <w:szCs w:val="18"/>
            <w:color w:val="auto"/>
          </w:rPr>
          <w:t>Exhibit 3.1—</w:t>
        </w:r>
        <w:r>
          <w:rPr>
            <w:rFonts w:ascii="Times New Roman" w:cs="Times New Roman" w:eastAsia="Times New Roman" w:hAnsi="Times New Roman"/>
            <w:sz w:val="18"/>
            <w:szCs w:val="18"/>
            <w:u w:val="single" w:color="auto"/>
            <w:color w:val="0000EE"/>
          </w:rPr>
          <w:t>Articles of Incorporation of Schlumberger Limited (Schlumberger N.V.) (incorporated by reference to Exhibit 3.1 to Schlumberger’s Current</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Report on Form 8-K filed on April 6, 2016)</w:t>
        </w:r>
      </w:hyperlink>
    </w:p>
    <w:p>
      <w:pPr>
        <w:spacing w:after="0" w:line="71" w:lineRule="exact"/>
        <w:rPr>
          <w:sz w:val="20"/>
          <w:szCs w:val="20"/>
          <w:color w:val="auto"/>
        </w:rPr>
      </w:pPr>
    </w:p>
    <w:p>
      <w:pPr>
        <w:ind w:left="440" w:right="80"/>
        <w:spacing w:after="0" w:line="275" w:lineRule="auto"/>
        <w:rPr>
          <w:rFonts w:ascii="Times New Roman" w:cs="Times New Roman" w:eastAsia="Times New Roman" w:hAnsi="Times New Roman"/>
          <w:sz w:val="18"/>
          <w:szCs w:val="18"/>
          <w:u w:val="single" w:color="auto"/>
          <w:color w:val="0000EE"/>
        </w:rPr>
      </w:pPr>
      <w:hyperlink r:id="rId56">
        <w:r>
          <w:rPr>
            <w:rFonts w:ascii="Times New Roman" w:cs="Times New Roman" w:eastAsia="Times New Roman" w:hAnsi="Times New Roman"/>
            <w:sz w:val="18"/>
            <w:szCs w:val="18"/>
            <w:color w:val="auto"/>
          </w:rPr>
          <w:t>Exhibit 3.2—</w:t>
        </w:r>
        <w:r>
          <w:rPr>
            <w:rFonts w:ascii="Times New Roman" w:cs="Times New Roman" w:eastAsia="Times New Roman" w:hAnsi="Times New Roman"/>
            <w:sz w:val="18"/>
            <w:szCs w:val="18"/>
            <w:u w:val="single" w:color="auto"/>
            <w:color w:val="0000EE"/>
          </w:rPr>
          <w:t>Amended and Restated By-laws of Schlumberger Limited (Schlumberger N.V.) (incorporated by reference to Exhibit 3.1 to Schlumberger’s</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Current Report on Form 8-K filed on January 19, 2017)</w:t>
        </w:r>
      </w:hyperlink>
    </w:p>
    <w:p>
      <w:pPr>
        <w:spacing w:after="0" w:line="71" w:lineRule="exact"/>
        <w:rPr>
          <w:sz w:val="20"/>
          <w:szCs w:val="20"/>
          <w:color w:val="auto"/>
        </w:rPr>
      </w:pPr>
    </w:p>
    <w:p>
      <w:pPr>
        <w:ind w:left="440" w:right="380"/>
        <w:spacing w:after="0" w:line="275" w:lineRule="auto"/>
        <w:tabs>
          <w:tab w:leader="none" w:pos="573" w:val="left"/>
        </w:tabs>
        <w:numPr>
          <w:ilvl w:val="0"/>
          <w:numId w:val="29"/>
        </w:numPr>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color w:val="auto"/>
          </w:rPr>
          <w:t>Exhibit 31.1—</w:t>
        </w:r>
        <w:r>
          <w:rPr>
            <w:rFonts w:ascii="Times New Roman" w:cs="Times New Roman" w:eastAsia="Times New Roman" w:hAnsi="Times New Roman"/>
            <w:sz w:val="18"/>
            <w:szCs w:val="18"/>
            <w:u w:val="single" w:color="auto"/>
            <w:color w:val="0000EE"/>
          </w:rPr>
          <w:t>Certification of Chief Executive Officer pursuant to Rule 13a-14(a) of the Securities Exchange Act of 1934, as amended, as adopted</w:t>
        </w:r>
      </w:hyperlink>
      <w:r>
        <w:rPr>
          <w:rFonts w:ascii="Times New Roman" w:cs="Times New Roman" w:eastAsia="Times New Roman" w:hAnsi="Times New Roman"/>
          <w:sz w:val="18"/>
          <w:szCs w:val="18"/>
          <w:color w:val="auto"/>
        </w:rPr>
        <w:t xml:space="preserve"> </w:t>
      </w:r>
      <w:hyperlink w:anchor="page32">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70" w:lineRule="exact"/>
        <w:rPr>
          <w:rFonts w:ascii="Times New Roman" w:cs="Times New Roman" w:eastAsia="Times New Roman" w:hAnsi="Times New Roman"/>
          <w:sz w:val="18"/>
          <w:szCs w:val="18"/>
          <w:u w:val="single" w:color="auto"/>
          <w:color w:val="0000EE"/>
        </w:rPr>
      </w:pPr>
    </w:p>
    <w:p>
      <w:pPr>
        <w:ind w:left="440" w:right="440"/>
        <w:spacing w:after="0" w:line="275" w:lineRule="auto"/>
        <w:tabs>
          <w:tab w:leader="none" w:pos="573" w:val="left"/>
        </w:tabs>
        <w:numPr>
          <w:ilvl w:val="0"/>
          <w:numId w:val="29"/>
        </w:numPr>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color w:val="auto"/>
          </w:rPr>
          <w:t>Exhibit 31.2—</w:t>
        </w:r>
        <w:r>
          <w:rPr>
            <w:rFonts w:ascii="Times New Roman" w:cs="Times New Roman" w:eastAsia="Times New Roman" w:hAnsi="Times New Roman"/>
            <w:sz w:val="18"/>
            <w:szCs w:val="18"/>
            <w:u w:val="single" w:color="auto"/>
            <w:color w:val="0000EE"/>
          </w:rPr>
          <w:t>Certification of Chief Financial Officer pursuant to Rule 13a-14(a) of the Securities Exchange Act of 1934, as amended, as adopted</w:t>
        </w:r>
      </w:hyperlink>
      <w:r>
        <w:rPr>
          <w:rFonts w:ascii="Times New Roman" w:cs="Times New Roman" w:eastAsia="Times New Roman" w:hAnsi="Times New Roman"/>
          <w:sz w:val="18"/>
          <w:szCs w:val="18"/>
          <w:color w:val="auto"/>
        </w:rPr>
        <w:t xml:space="preserve"> </w:t>
      </w:r>
      <w:hyperlink w:anchor="page33">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71" w:lineRule="exact"/>
        <w:rPr>
          <w:rFonts w:ascii="Times New Roman" w:cs="Times New Roman" w:eastAsia="Times New Roman" w:hAnsi="Times New Roman"/>
          <w:sz w:val="18"/>
          <w:szCs w:val="18"/>
          <w:color w:val="auto"/>
        </w:rPr>
      </w:pPr>
    </w:p>
    <w:p>
      <w:pPr>
        <w:ind w:left="440" w:right="100"/>
        <w:spacing w:after="0" w:line="275" w:lineRule="auto"/>
        <w:tabs>
          <w:tab w:leader="none" w:pos="661" w:val="left"/>
        </w:tabs>
        <w:numPr>
          <w:ilvl w:val="0"/>
          <w:numId w:val="30"/>
        </w:numPr>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color w:val="auto"/>
          </w:rPr>
          <w:t>Exhibit 32.1—</w:t>
        </w: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w:t>
        </w:r>
      </w:hyperlink>
      <w:r>
        <w:rPr>
          <w:rFonts w:ascii="Times New Roman" w:cs="Times New Roman" w:eastAsia="Times New Roman" w:hAnsi="Times New Roman"/>
          <w:sz w:val="18"/>
          <w:szCs w:val="18"/>
          <w:color w:val="auto"/>
        </w:rPr>
        <w:t xml:space="preserve"> </w:t>
      </w:r>
      <w:hyperlink w:anchor="page34">
        <w:r>
          <w:rPr>
            <w:rFonts w:ascii="Times New Roman" w:cs="Times New Roman" w:eastAsia="Times New Roman" w:hAnsi="Times New Roman"/>
            <w:sz w:val="18"/>
            <w:szCs w:val="18"/>
            <w:u w:val="single" w:color="auto"/>
            <w:color w:val="0000EE"/>
          </w:rPr>
          <w:t>Act of 2002</w:t>
        </w:r>
      </w:hyperlink>
    </w:p>
    <w:p>
      <w:pPr>
        <w:spacing w:after="0" w:line="70" w:lineRule="exact"/>
        <w:rPr>
          <w:rFonts w:ascii="Times New Roman" w:cs="Times New Roman" w:eastAsia="Times New Roman" w:hAnsi="Times New Roman"/>
          <w:sz w:val="18"/>
          <w:szCs w:val="18"/>
          <w:u w:val="single" w:color="auto"/>
          <w:color w:val="0000EE"/>
        </w:rPr>
      </w:pPr>
    </w:p>
    <w:p>
      <w:pPr>
        <w:ind w:left="440" w:right="140"/>
        <w:spacing w:after="0" w:line="275" w:lineRule="auto"/>
        <w:tabs>
          <w:tab w:leader="none" w:pos="661" w:val="left"/>
        </w:tabs>
        <w:numPr>
          <w:ilvl w:val="0"/>
          <w:numId w:val="30"/>
        </w:numPr>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color w:val="auto"/>
          </w:rPr>
          <w:t>Exhibit 32.2—</w:t>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w:t>
        </w:r>
      </w:hyperlink>
      <w:r>
        <w:rPr>
          <w:rFonts w:ascii="Times New Roman" w:cs="Times New Roman" w:eastAsia="Times New Roman" w:hAnsi="Times New Roman"/>
          <w:sz w:val="18"/>
          <w:szCs w:val="18"/>
          <w:color w:val="auto"/>
        </w:rPr>
        <w:t xml:space="preserve"> </w:t>
      </w:r>
      <w:hyperlink w:anchor="page35">
        <w:r>
          <w:rPr>
            <w:rFonts w:ascii="Times New Roman" w:cs="Times New Roman" w:eastAsia="Times New Roman" w:hAnsi="Times New Roman"/>
            <w:sz w:val="18"/>
            <w:szCs w:val="18"/>
            <w:u w:val="single" w:color="auto"/>
            <w:color w:val="0000EE"/>
          </w:rPr>
          <w:t>Act of 2002</w:t>
        </w:r>
      </w:hyperlink>
    </w:p>
    <w:p>
      <w:pPr>
        <w:spacing w:after="0" w:line="71" w:lineRule="exact"/>
        <w:rPr>
          <w:rFonts w:ascii="Times New Roman" w:cs="Times New Roman" w:eastAsia="Times New Roman" w:hAnsi="Times New Roman"/>
          <w:sz w:val="18"/>
          <w:szCs w:val="18"/>
          <w:color w:val="auto"/>
        </w:rPr>
      </w:pPr>
    </w:p>
    <w:p>
      <w:pPr>
        <w:ind w:left="580" w:hanging="140"/>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95—</w:t>
      </w:r>
      <w:hyperlink w:anchor="page36">
        <w:r>
          <w:rPr>
            <w:rFonts w:ascii="Times New Roman" w:cs="Times New Roman" w:eastAsia="Times New Roman" w:hAnsi="Times New Roman"/>
            <w:sz w:val="18"/>
            <w:szCs w:val="18"/>
            <w:u w:val="single" w:color="auto"/>
            <w:color w:val="0000EE"/>
          </w:rPr>
          <w:t>Mine Safety Disclosures</w:t>
        </w:r>
      </w:hyperlink>
    </w:p>
    <w:p>
      <w:pPr>
        <w:spacing w:after="0" w:line="125" w:lineRule="exact"/>
        <w:rPr>
          <w:rFonts w:ascii="Times New Roman" w:cs="Times New Roman" w:eastAsia="Times New Roman" w:hAnsi="Times New Roman"/>
          <w:sz w:val="18"/>
          <w:szCs w:val="18"/>
          <w:color w:val="auto"/>
        </w:rPr>
      </w:pPr>
    </w:p>
    <w:p>
      <w:pPr>
        <w:ind w:left="440" w:right="180"/>
        <w:spacing w:after="0" w:line="256" w:lineRule="auto"/>
        <w:tabs>
          <w:tab w:leader="none" w:pos="5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101—The following materials from Schlumberger Limited’s Quarterly Report on Form 10-Q for the quarter ended September 30, 2017, formatted in XBRL (Extensible Business Reporting Language): (i) Consolidated Statement of Income (Loss); (ii) Consolidated Statement of Comprehensive Income (Loss); (iii) Consolidated Balance Sheet; (iv) Consolidated Statement of Cash Flows; (v) Consolidated Statement of Equity and (vi) Notes to Consolidated Financial Statements.</w:t>
      </w:r>
    </w:p>
    <w:p>
      <w:pPr>
        <w:spacing w:after="0" w:line="86" w:lineRule="exact"/>
        <w:rPr>
          <w:rFonts w:ascii="Times New Roman" w:cs="Times New Roman" w:eastAsia="Times New Roman" w:hAnsi="Times New Roman"/>
          <w:sz w:val="18"/>
          <w:szCs w:val="18"/>
          <w:color w:val="auto"/>
        </w:rPr>
      </w:pPr>
    </w:p>
    <w:p>
      <w:pPr>
        <w:ind w:left="580" w:hanging="140"/>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w:t>
      </w:r>
    </w:p>
    <w:p>
      <w:pPr>
        <w:spacing w:after="0" w:line="25"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 Furnished with this Form 10-Q.</w:t>
      </w:r>
    </w:p>
    <w:p>
      <w:pPr>
        <w:spacing w:after="0" w:line="6"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 Compensatory plans or arrangements.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sectPr>
      </w:pPr>
    </w:p>
    <w:bookmarkStart w:id="30" w:name="page31"/>
    <w:bookmarkEnd w:id="30"/>
    <w:p>
      <w:pPr>
        <w:jc w:val="center"/>
        <w:ind w:right="-399"/>
        <w:spacing w:after="0"/>
        <w:rPr>
          <w:sz w:val="20"/>
          <w:szCs w:val="20"/>
          <w:color w:val="auto"/>
        </w:rPr>
      </w:pPr>
      <w:r>
        <w:rPr>
          <w:rFonts w:ascii="Times New Roman" w:cs="Times New Roman" w:eastAsia="Times New Roman" w:hAnsi="Times New Roman"/>
          <w:sz w:val="18"/>
          <w:szCs w:val="18"/>
          <w:color w:val="auto"/>
        </w:rPr>
        <w:t>SIGNATURE</w:t>
      </w:r>
    </w:p>
    <w:p>
      <w:pPr>
        <w:spacing w:after="0" w:line="21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9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(Registrant)</w:t>
      </w:r>
    </w:p>
    <w:p>
      <w:pPr>
        <w:spacing w:after="0" w:line="199" w:lineRule="exact"/>
        <w:rPr>
          <w:sz w:val="20"/>
          <w:szCs w:val="20"/>
          <w:color w:val="auto"/>
        </w:rPr>
      </w:pPr>
    </w:p>
    <w:p>
      <w:pPr>
        <w:spacing w:after="0"/>
        <w:tabs>
          <w:tab w:leader="none" w:pos="780" w:val="left"/>
          <w:tab w:leader="none" w:pos="6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25, 2017</w:t>
      </w:r>
      <w:r>
        <w:rPr>
          <w:sz w:val="20"/>
          <w:szCs w:val="20"/>
          <w:color w:val="auto"/>
        </w:rPr>
        <w:tab/>
      </w:r>
      <w:r>
        <w:rPr>
          <w:rFonts w:ascii="Times New Roman" w:cs="Times New Roman" w:eastAsia="Times New Roman" w:hAnsi="Times New Roman"/>
          <w:sz w:val="17"/>
          <w:szCs w:val="17"/>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15240</wp:posOffset>
            </wp:positionV>
            <wp:extent cx="29114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3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Howard Guild</w:t>
      </w:r>
    </w:p>
    <w:p>
      <w:pPr>
        <w:spacing w:after="0" w:line="3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240" w:top="121" w:right="6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0" w:lineRule="auto"/>
        <w:tabs>
          <w:tab w:leader="none" w:pos="5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2017</w:t>
            </w:r>
          </w:p>
        </w:tc>
        <w:tc>
          <w:tcPr>
            <w:tcW w:w="716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4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56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4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19"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0" w:lineRule="auto"/>
        <w:tabs>
          <w:tab w:leader="none" w:pos="5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18"/>
          <w:szCs w:val="18"/>
          <w:color w:val="auto"/>
        </w:rPr>
        <w:t>Date: October 25, 2017</w:t>
      </w:r>
      <w:r>
        <w:rPr>
          <w:sz w:val="20"/>
          <w:szCs w:val="20"/>
          <w:color w:val="auto"/>
        </w:rPr>
        <w:tab/>
      </w:r>
      <w:r>
        <w:rPr>
          <w:rFonts w:ascii="Times New Roman" w:cs="Times New Roman" w:eastAsia="Times New Roman" w:hAnsi="Times New Roman"/>
          <w:sz w:val="17"/>
          <w:szCs w:val="17"/>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23495</wp:posOffset>
            </wp:positionV>
            <wp:extent cx="2902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Simon Ayat</w:t>
      </w:r>
    </w:p>
    <w:p>
      <w:pPr>
        <w:spacing w:after="0" w:line="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119"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September 30, 2017 as filed with the Securities and Exchange Commission on the date hereof (the “Report”), I, Paal Kibsgaard, Chief Executive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2017</w:t>
            </w:r>
          </w:p>
        </w:tc>
        <w:tc>
          <w:tcPr>
            <w:tcW w:w="48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3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2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3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9"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September 30, 2017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2017</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88"/>
        </w:trPr>
        <w:tc>
          <w:tcPr>
            <w:tcW w:w="5420" w:type="dxa"/>
            <w:vAlign w:val="bottom"/>
          </w:tcPr>
          <w:p>
            <w:pPr>
              <w:spacing w:after="0"/>
              <w:rPr>
                <w:sz w:val="16"/>
                <w:szCs w:val="16"/>
                <w:color w:val="auto"/>
              </w:rPr>
            </w:pPr>
          </w:p>
        </w:tc>
        <w:tc>
          <w:tcPr>
            <w:tcW w:w="49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Simon Ayat</w:t>
            </w:r>
          </w:p>
        </w:tc>
      </w:tr>
      <w:tr>
        <w:trPr>
          <w:trHeight w:val="232"/>
        </w:trPr>
        <w:tc>
          <w:tcPr>
            <w:tcW w:w="54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9"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00" w:lineRule="exact"/>
        <w:rPr>
          <w:sz w:val="20"/>
          <w:szCs w:val="20"/>
          <w:color w:val="auto"/>
        </w:rPr>
      </w:pPr>
    </w:p>
    <w:p>
      <w:pPr>
        <w:spacing w:after="0" w:line="366" w:lineRule="exact"/>
        <w:rPr>
          <w:sz w:val="20"/>
          <w:szCs w:val="20"/>
          <w:color w:val="auto"/>
        </w:rPr>
      </w:pPr>
    </w:p>
    <w:p>
      <w:pPr>
        <w:ind w:right="20" w:firstLine="518"/>
        <w:spacing w:after="0" w:line="260"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8" w:lineRule="exact"/>
        <w:rPr>
          <w:sz w:val="20"/>
          <w:szCs w:val="20"/>
          <w:color w:val="auto"/>
        </w:rPr>
      </w:pPr>
    </w:p>
    <w:p>
      <w:pPr>
        <w:jc w:val="both"/>
        <w:ind w:right="20" w:firstLine="518"/>
        <w:spacing w:after="0" w:line="260" w:lineRule="auto"/>
        <w:rPr>
          <w:sz w:val="20"/>
          <w:szCs w:val="20"/>
          <w:color w:val="auto"/>
        </w:rPr>
      </w:pPr>
      <w:r>
        <w:rPr>
          <w:rFonts w:ascii="Times New Roman" w:cs="Times New Roman" w:eastAsia="Times New Roman" w:hAnsi="Times New Roman"/>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September 30, 2017. Due to timing and other factors, the data may not agree with the mine data retrieval system maintained by the MSHA at www.MSHA.gov.</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 dollars</w:t>
      </w:r>
      <w:r>
        <w:rPr>
          <w:rFonts w:ascii="Times New Roman" w:cs="Times New Roman" w:eastAsia="Times New Roman" w:hAnsi="Times New Roman"/>
          <w:sz w:val="18"/>
          <w:szCs w:val="18"/>
          <w:color w:val="auto"/>
        </w:rPr>
        <w:t>)</w:t>
      </w: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Received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Received</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Pattern of</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Have Pattern</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Violations</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Under</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rPr>
              <w:t>Section 104(d)</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Mining</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Under Section</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Section</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Pending as of</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0" w:type="dxa"/>
            <w:vAlign w:val="bottom"/>
          </w:tcPr>
          <w:p>
            <w:pPr>
              <w:spacing w:after="0"/>
              <w:rPr>
                <w:sz w:val="1"/>
                <w:szCs w:val="1"/>
                <w:color w:val="auto"/>
              </w:rPr>
            </w:pPr>
          </w:p>
        </w:tc>
      </w:tr>
      <w:tr>
        <w:trPr>
          <w:trHeight w:val="133"/>
        </w:trPr>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Mine or Operating Name/MSHA</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 104</w:t>
            </w:r>
          </w:p>
        </w:tc>
        <w:tc>
          <w:tcPr>
            <w:tcW w:w="30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auto"/>
              </w:rPr>
              <w:t>Section 104(b) Citations and Section 110(b) Section 107(a)</w:t>
            </w: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Proposed MSHA</w:t>
            </w: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Related</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104(e)</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104(e)</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Last Day of</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Initiated During</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Resolved</w:t>
            </w:r>
          </w:p>
        </w:tc>
        <w:tc>
          <w:tcPr>
            <w:tcW w:w="0" w:type="dxa"/>
            <w:vAlign w:val="bottom"/>
          </w:tcPr>
          <w:p>
            <w:pPr>
              <w:spacing w:after="0"/>
              <w:rPr>
                <w:sz w:val="1"/>
                <w:szCs w:val="1"/>
                <w:color w:val="auto"/>
              </w:rPr>
            </w:pPr>
          </w:p>
        </w:tc>
      </w:tr>
      <w:tr>
        <w:trPr>
          <w:trHeight w:val="151"/>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Identification Number</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S&amp;S Citations</w:t>
            </w:r>
          </w:p>
        </w:tc>
        <w:tc>
          <w:tcPr>
            <w:tcW w:w="6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2"/>
                <w:szCs w:val="12"/>
                <w:color w:val="auto"/>
              </w:rPr>
              <w:t>Orders</w:t>
            </w:r>
          </w:p>
        </w:tc>
        <w:tc>
          <w:tcPr>
            <w:tcW w:w="86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2"/>
                <w:szCs w:val="12"/>
                <w:color w:val="auto"/>
                <w:w w:val="97"/>
              </w:rPr>
              <w:t>Orders</w:t>
            </w:r>
          </w:p>
        </w:tc>
        <w:tc>
          <w:tcPr>
            <w:tcW w:w="8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color w:val="auto"/>
              </w:rPr>
              <w:t>(2) Violations</w:t>
            </w:r>
          </w:p>
        </w:tc>
        <w:tc>
          <w:tcPr>
            <w:tcW w:w="7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color w:val="auto"/>
              </w:rPr>
              <w:t>Orders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Assessments</w:t>
            </w:r>
            <w:r>
              <w:rPr>
                <w:rFonts w:ascii="Times New Roman" w:cs="Times New Roman" w:eastAsia="Times New Roman" w:hAnsi="Times New Roman"/>
                <w:sz w:val="10"/>
                <w:szCs w:val="10"/>
                <w:color w:val="auto"/>
              </w:rPr>
              <w:t>(1)</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Fatalities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(yes/no)</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(yes/no)</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During Period</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Amelia Barite Plant/1600825</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7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Battle Mountain Grinding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Plant/2600828</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Galveston GBT Barite Grinding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$232*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Plant/4104675</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Greybull Milling Operation/4800602</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439"/>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Greybull Mining Operation/4800603</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372"/>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Greystone Mine/2600411</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7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Mountain Springs Beneficiation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Plant/2601390</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Proppants/4703742</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40" w:right="100" w:hanging="376"/>
        <w:spacing w:after="0" w:line="270" w:lineRule="auto"/>
        <w:tabs>
          <w:tab w:leader="none" w:pos="9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included are the total dollar value of proposed assessments received from MSHA on or before September 30, 2017,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September 30, 2017 MSHA had not yet proposed an assessment for one S&amp;S citation at Galveston GBT Barite Grinding Plant/4104675.</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September 30, 2017 MSHA had not yet proposed an assessment for three citations at Wisconsin Proppants/4703742.</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2"/>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lvl w:ilvl="1">
      <w:lvlJc w:val="left"/>
      <w:lvlText w:val="-"/>
      <w:numFmt w:val="bullet"/>
      <w:start w:val="1"/>
    </w:lvl>
  </w:abstractNum>
  <w:abstractNum w:abstractNumId="9">
    <w:nsid w:val="2D1D5AE9"/>
    <w:multiLevelType w:val="hybridMultilevel"/>
    <w:lvl w:ilvl="0">
      <w:lvlJc w:val="left"/>
      <w:lvlText w:val="%1."/>
      <w:numFmt w:val="decimal"/>
      <w:start w:val="3"/>
    </w:lvl>
  </w:abstractNum>
  <w:abstractNum w:abstractNumId="10">
    <w:nsid w:val="6763845E"/>
    <w:multiLevelType w:val="hybridMultilevel"/>
    <w:lvl w:ilvl="0">
      <w:lvlJc w:val="left"/>
      <w:lvlText w:val="%1."/>
      <w:numFmt w:val="decimal"/>
      <w:start w:val="4"/>
    </w:lvl>
  </w:abstractNum>
  <w:abstractNum w:abstractNumId="11">
    <w:nsid w:val="75A2A8D4"/>
    <w:multiLevelType w:val="hybridMultilevel"/>
    <w:lvl w:ilvl="0">
      <w:lvlJc w:val="left"/>
      <w:lvlText w:val="%1."/>
      <w:numFmt w:val="decimal"/>
      <w:start w:val="6"/>
    </w:lvl>
  </w:abstractNum>
  <w:abstractNum w:abstractNumId="12">
    <w:nsid w:val="8EDBDAB"/>
    <w:multiLevelType w:val="hybridMultilevel"/>
    <w:lvl w:ilvl="0">
      <w:lvlJc w:val="left"/>
      <w:lvlText w:val="%1."/>
      <w:numFmt w:val="decimal"/>
      <w:start w:val="7"/>
    </w:lvl>
  </w:abstractNum>
  <w:abstractNum w:abstractNumId="13">
    <w:nsid w:val="79838CB2"/>
    <w:multiLevelType w:val="hybridMultilevel"/>
    <w:lvl w:ilvl="0">
      <w:lvlJc w:val="left"/>
      <w:lvlText w:val="%1."/>
      <w:numFmt w:val="decimal"/>
      <w:start w:val="8"/>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9"/>
    </w:lvl>
  </w:abstractNum>
  <w:abstractNum w:abstractNumId="17">
    <w:nsid w:val="54E49EB4"/>
    <w:multiLevelType w:val="hybridMultilevel"/>
    <w:lvl w:ilvl="0">
      <w:lvlJc w:val="left"/>
      <w:lvlText w:val="%1."/>
      <w:numFmt w:val="decimal"/>
      <w:start w:val="10"/>
    </w:lvl>
  </w:abstractNum>
  <w:abstractNum w:abstractNumId="18">
    <w:nsid w:val="71F32454"/>
    <w:multiLevelType w:val="hybridMultilevel"/>
    <w:lvl w:ilvl="0">
      <w:lvlJc w:val="left"/>
      <w:lvlText w:val="%1."/>
      <w:numFmt w:val="decimal"/>
      <w:start w:val="11"/>
    </w:lvl>
  </w:abstractNum>
  <w:abstractNum w:abstractNumId="19">
    <w:nsid w:val="2CA88611"/>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20">
    <w:nsid w:val="836C40E"/>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21">
    <w:nsid w:val="2901D82"/>
    <w:multiLevelType w:val="hybridMultilevel"/>
    <w:lvl w:ilvl="0">
      <w:lvlJc w:val="left"/>
      <w:lvlText w:val="%1."/>
      <w:numFmt w:val="decimal"/>
      <w:start w:val="13"/>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4">
    <w:nsid w:val="1E7FF521"/>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lvl w:ilvl="1">
      <w:lvlJc w:val="left"/>
      <w:lvlText w:val="%2)"/>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5" Type="http://schemas.openxmlformats.org/officeDocument/2006/relationships/hyperlink" Target="http://www.sec.gov/Archives/edgar/data/87347/000119312516532046/d176097dex31.htm" TargetMode="External"/><Relationship Id="rId56" Type="http://schemas.openxmlformats.org/officeDocument/2006/relationships/hyperlink" Target="http://www.sec.gov/Archives/edgar/data/87347/000119312517013293/d33316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2019-12-29T04:00:41Z</dcterms:created>
  <dcterms:modified xsi:type="dcterms:W3CDTF">2019-12-29T04:00:41Z</dcterms:modified>
</cp:coreProperties>
</file>