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ind w:left="29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3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2026</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ind w:left="4520" w:right="2420" w:hanging="4512"/>
        <w:spacing w:after="0" w:line="368" w:lineRule="auto"/>
        <w:tabs>
          <w:tab w:leader="none" w:pos="50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11430</wp:posOffset>
            </wp:positionV>
            <wp:extent cx="154305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1340" w:type="dxa"/>
        <w:tblCellMar>
          <w:top w:w="0" w:type="dxa"/>
          <w:left w:w="0" w:type="dxa"/>
          <w:bottom w:w="0" w:type="dxa"/>
          <w:right w:w="0" w:type="dxa"/>
        </w:tblCellMar>
      </w:tblPr>
      <w:tr>
        <w:trPr>
          <w:trHeight w:val="362"/>
        </w:trPr>
        <w:tc>
          <w:tcPr>
            <w:tcW w:w="6280" w:type="dxa"/>
            <w:vAlign w:val="bottom"/>
            <w:gridSpan w:val="3"/>
          </w:tcPr>
          <w:p>
            <w:pPr>
              <w:jc w:val="center"/>
              <w:ind w:left="2124"/>
              <w:spacing w:after="0"/>
              <w:rPr>
                <w:sz w:val="20"/>
                <w:szCs w:val="20"/>
                <w:color w:val="auto"/>
              </w:rPr>
            </w:pPr>
            <w:r>
              <w:rPr>
                <w:rFonts w:ascii="Arial" w:cs="Arial" w:eastAsia="Arial" w:hAnsi="Arial"/>
                <w:sz w:val="29"/>
                <w:szCs w:val="29"/>
                <w:b w:val="1"/>
                <w:bCs w:val="1"/>
                <w:color w:val="auto"/>
                <w:w w:val="99"/>
              </w:rPr>
              <w:t>SLB N.V. (SLB Limited)</w:t>
            </w:r>
          </w:p>
        </w:tc>
        <w:tc>
          <w:tcPr>
            <w:tcW w:w="1360" w:type="dxa"/>
            <w:vAlign w:val="bottom"/>
          </w:tcPr>
          <w:p>
            <w:pPr>
              <w:spacing w:after="0"/>
              <w:rPr>
                <w:sz w:val="24"/>
                <w:szCs w:val="24"/>
                <w:color w:val="auto"/>
              </w:rPr>
            </w:pPr>
          </w:p>
        </w:tc>
      </w:tr>
      <w:tr>
        <w:trPr>
          <w:trHeight w:val="190"/>
        </w:trPr>
        <w:tc>
          <w:tcPr>
            <w:tcW w:w="6280" w:type="dxa"/>
            <w:vAlign w:val="bottom"/>
            <w:gridSpan w:val="3"/>
          </w:tcPr>
          <w:p>
            <w:pPr>
              <w:jc w:val="center"/>
              <w:ind w:left="2164"/>
              <w:spacing w:after="0"/>
              <w:rPr>
                <w:sz w:val="20"/>
                <w:szCs w:val="20"/>
                <w:color w:val="auto"/>
              </w:rPr>
            </w:pPr>
            <w:r>
              <w:rPr>
                <w:rFonts w:ascii="Arial" w:cs="Arial" w:eastAsia="Arial" w:hAnsi="Arial"/>
                <w:sz w:val="14"/>
                <w:szCs w:val="14"/>
                <w:color w:val="auto"/>
              </w:rPr>
              <w:t>(Exact name of registrant as specified in its charter)</w:t>
            </w:r>
          </w:p>
        </w:tc>
        <w:tc>
          <w:tcPr>
            <w:tcW w:w="1360" w:type="dxa"/>
            <w:vAlign w:val="bottom"/>
          </w:tcPr>
          <w:p>
            <w:pPr>
              <w:spacing w:after="0"/>
              <w:rPr>
                <w:sz w:val="16"/>
                <w:szCs w:val="16"/>
                <w:color w:val="auto"/>
              </w:rPr>
            </w:pPr>
          </w:p>
        </w:tc>
      </w:tr>
      <w:tr>
        <w:trPr>
          <w:trHeight w:val="116"/>
        </w:trPr>
        <w:tc>
          <w:tcPr>
            <w:tcW w:w="316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59"/>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9"/>
              </w:rPr>
              <w:t>Curaçao</w:t>
            </w:r>
          </w:p>
        </w:tc>
        <w:tc>
          <w:tcPr>
            <w:tcW w:w="1360" w:type="dxa"/>
            <w:vAlign w:val="bottom"/>
          </w:tcPr>
          <w:p>
            <w:pPr>
              <w:jc w:val="center"/>
              <w:ind w:left="312"/>
              <w:spacing w:after="0"/>
              <w:rPr>
                <w:sz w:val="20"/>
                <w:szCs w:val="20"/>
                <w:color w:val="auto"/>
              </w:rPr>
            </w:pPr>
            <w:r>
              <w:rPr>
                <w:rFonts w:ascii="Arial" w:cs="Arial" w:eastAsia="Arial" w:hAnsi="Arial"/>
                <w:sz w:val="14"/>
                <w:szCs w:val="14"/>
                <w:b w:val="1"/>
                <w:bCs w:val="1"/>
                <w:color w:val="auto"/>
              </w:rPr>
              <w:t>52-0684746</w:t>
            </w:r>
          </w:p>
        </w:tc>
      </w:tr>
      <w:tr>
        <w:trPr>
          <w:trHeight w:val="135"/>
        </w:trPr>
        <w:tc>
          <w:tcPr>
            <w:tcW w:w="6280" w:type="dxa"/>
            <w:vAlign w:val="bottom"/>
            <w:gridSpan w:val="3"/>
          </w:tcPr>
          <w:p>
            <w:pPr>
              <w:jc w:val="center"/>
              <w:ind w:right="3440"/>
              <w:spacing w:after="0" w:line="135" w:lineRule="exact"/>
              <w:rPr>
                <w:sz w:val="20"/>
                <w:szCs w:val="20"/>
                <w:color w:val="auto"/>
              </w:rPr>
            </w:pPr>
            <w:r>
              <w:rPr>
                <w:rFonts w:ascii="Arial" w:cs="Arial" w:eastAsia="Arial" w:hAnsi="Arial"/>
                <w:sz w:val="13"/>
                <w:szCs w:val="13"/>
                <w:color w:val="auto"/>
                <w:w w:val="95"/>
              </w:rPr>
              <w:t>(State or other jurisdiction of</w:t>
            </w:r>
          </w:p>
        </w:tc>
        <w:tc>
          <w:tcPr>
            <w:tcW w:w="1360" w:type="dxa"/>
            <w:vAlign w:val="bottom"/>
          </w:tcPr>
          <w:p>
            <w:pPr>
              <w:jc w:val="center"/>
              <w:ind w:left="312"/>
              <w:spacing w:after="0" w:line="135" w:lineRule="exact"/>
              <w:rPr>
                <w:sz w:val="20"/>
                <w:szCs w:val="20"/>
                <w:color w:val="auto"/>
              </w:rPr>
            </w:pPr>
            <w:r>
              <w:rPr>
                <w:rFonts w:ascii="Arial" w:cs="Arial" w:eastAsia="Arial" w:hAnsi="Arial"/>
                <w:sz w:val="13"/>
                <w:szCs w:val="13"/>
                <w:color w:val="auto"/>
                <w:w w:val="96"/>
              </w:rPr>
              <w:t>(IRS Employer</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incorporation or organization)</w:t>
            </w:r>
          </w:p>
        </w:tc>
        <w:tc>
          <w:tcPr>
            <w:tcW w:w="1360" w:type="dxa"/>
            <w:vAlign w:val="bottom"/>
          </w:tcPr>
          <w:p>
            <w:pPr>
              <w:jc w:val="center"/>
              <w:ind w:left="312"/>
              <w:spacing w:after="0"/>
              <w:rPr>
                <w:sz w:val="20"/>
                <w:szCs w:val="20"/>
                <w:color w:val="auto"/>
              </w:rPr>
            </w:pPr>
            <w:r>
              <w:rPr>
                <w:rFonts w:ascii="Arial" w:cs="Arial" w:eastAsia="Arial" w:hAnsi="Arial"/>
                <w:sz w:val="13"/>
                <w:szCs w:val="13"/>
                <w:color w:val="auto"/>
                <w:w w:val="96"/>
              </w:rPr>
              <w:t>Identification No.)</w:t>
            </w:r>
          </w:p>
        </w:tc>
      </w:tr>
      <w:tr>
        <w:trPr>
          <w:trHeight w:val="261"/>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42 rue Saint-Dominique</w:t>
            </w:r>
          </w:p>
        </w:tc>
        <w:tc>
          <w:tcPr>
            <w:tcW w:w="1360" w:type="dxa"/>
            <w:vAlign w:val="bottom"/>
          </w:tcPr>
          <w:p>
            <w:pPr>
              <w:spacing w:after="0"/>
              <w:rPr>
                <w:sz w:val="22"/>
                <w:szCs w:val="22"/>
                <w:color w:val="auto"/>
              </w:rPr>
            </w:pPr>
          </w:p>
        </w:tc>
      </w:tr>
      <w:tr>
        <w:trPr>
          <w:trHeight w:val="196"/>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Paris, France</w:t>
            </w:r>
          </w:p>
        </w:tc>
        <w:tc>
          <w:tcPr>
            <w:tcW w:w="1360" w:type="dxa"/>
            <w:vAlign w:val="bottom"/>
          </w:tcPr>
          <w:p>
            <w:pPr>
              <w:jc w:val="center"/>
              <w:ind w:left="332"/>
              <w:spacing w:after="0"/>
              <w:rPr>
                <w:sz w:val="20"/>
                <w:szCs w:val="20"/>
                <w:color w:val="auto"/>
              </w:rPr>
            </w:pPr>
            <w:r>
              <w:rPr>
                <w:rFonts w:ascii="Arial" w:cs="Arial" w:eastAsia="Arial" w:hAnsi="Arial"/>
                <w:sz w:val="14"/>
                <w:szCs w:val="14"/>
                <w:b w:val="1"/>
                <w:bCs w:val="1"/>
                <w:color w:val="auto"/>
              </w:rPr>
              <w:t>75007</w:t>
            </w:r>
          </w:p>
        </w:tc>
      </w:tr>
      <w:tr>
        <w:trPr>
          <w:trHeight w:val="249"/>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5599 San Felipe</w:t>
            </w:r>
          </w:p>
        </w:tc>
        <w:tc>
          <w:tcPr>
            <w:tcW w:w="1360" w:type="dxa"/>
            <w:vAlign w:val="bottom"/>
          </w:tcPr>
          <w:p>
            <w:pPr>
              <w:spacing w:after="0"/>
              <w:rPr>
                <w:sz w:val="21"/>
                <w:szCs w:val="21"/>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Houston, Texas, United States of America</w:t>
            </w:r>
          </w:p>
        </w:tc>
        <w:tc>
          <w:tcPr>
            <w:tcW w:w="1360" w:type="dxa"/>
            <w:vAlign w:val="bottom"/>
          </w:tcPr>
          <w:p>
            <w:pPr>
              <w:jc w:val="center"/>
              <w:ind w:left="332"/>
              <w:spacing w:after="0"/>
              <w:rPr>
                <w:sz w:val="20"/>
                <w:szCs w:val="20"/>
                <w:color w:val="auto"/>
              </w:rPr>
            </w:pPr>
            <w:r>
              <w:rPr>
                <w:rFonts w:ascii="Arial" w:cs="Arial" w:eastAsia="Arial" w:hAnsi="Arial"/>
                <w:sz w:val="14"/>
                <w:szCs w:val="14"/>
                <w:b w:val="1"/>
                <w:bCs w:val="1"/>
                <w:color w:val="auto"/>
              </w:rPr>
              <w:t>77056</w:t>
            </w:r>
          </w:p>
        </w:tc>
      </w:tr>
      <w:tr>
        <w:trPr>
          <w:trHeight w:val="249"/>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Parkstraat 83</w:t>
            </w:r>
          </w:p>
        </w:tc>
        <w:tc>
          <w:tcPr>
            <w:tcW w:w="1360" w:type="dxa"/>
            <w:vAlign w:val="bottom"/>
          </w:tcPr>
          <w:p>
            <w:pPr>
              <w:spacing w:after="0"/>
              <w:rPr>
                <w:sz w:val="21"/>
                <w:szCs w:val="21"/>
                <w:color w:val="auto"/>
              </w:rPr>
            </w:pPr>
          </w:p>
        </w:tc>
      </w:tr>
      <w:tr>
        <w:trPr>
          <w:trHeight w:val="153"/>
        </w:trPr>
        <w:tc>
          <w:tcPr>
            <w:tcW w:w="6280" w:type="dxa"/>
            <w:vAlign w:val="bottom"/>
            <w:gridSpan w:val="3"/>
          </w:tcPr>
          <w:p>
            <w:pPr>
              <w:jc w:val="center"/>
              <w:ind w:right="3420"/>
              <w:spacing w:after="0" w:line="153" w:lineRule="exact"/>
              <w:rPr>
                <w:sz w:val="20"/>
                <w:szCs w:val="20"/>
                <w:color w:val="auto"/>
              </w:rPr>
            </w:pPr>
            <w:r>
              <w:rPr>
                <w:rFonts w:ascii="Arial" w:cs="Arial" w:eastAsia="Arial" w:hAnsi="Arial"/>
                <w:sz w:val="14"/>
                <w:szCs w:val="14"/>
                <w:b w:val="1"/>
                <w:bCs w:val="1"/>
                <w:color w:val="auto"/>
              </w:rPr>
              <w:t>The Hague, The Netherlands</w:t>
            </w:r>
          </w:p>
        </w:tc>
        <w:tc>
          <w:tcPr>
            <w:tcW w:w="1360" w:type="dxa"/>
            <w:vAlign w:val="bottom"/>
          </w:tcPr>
          <w:p>
            <w:pPr>
              <w:jc w:val="center"/>
              <w:ind w:left="312"/>
              <w:spacing w:after="0" w:line="153" w:lineRule="exact"/>
              <w:rPr>
                <w:sz w:val="20"/>
                <w:szCs w:val="20"/>
                <w:color w:val="auto"/>
              </w:rPr>
            </w:pPr>
            <w:r>
              <w:rPr>
                <w:rFonts w:ascii="Arial" w:cs="Arial" w:eastAsia="Arial" w:hAnsi="Arial"/>
                <w:sz w:val="14"/>
                <w:szCs w:val="14"/>
                <w:b w:val="1"/>
                <w:bCs w:val="1"/>
                <w:color w:val="auto"/>
              </w:rPr>
              <w:t>2514 JG</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(Addresses of principal executive offices)</w:t>
            </w:r>
          </w:p>
        </w:tc>
        <w:tc>
          <w:tcPr>
            <w:tcW w:w="1360" w:type="dxa"/>
            <w:vAlign w:val="bottom"/>
          </w:tcPr>
          <w:p>
            <w:pPr>
              <w:jc w:val="center"/>
              <w:ind w:left="312"/>
              <w:spacing w:after="0"/>
              <w:rPr>
                <w:sz w:val="20"/>
                <w:szCs w:val="20"/>
                <w:color w:val="auto"/>
              </w:rPr>
            </w:pPr>
            <w:r>
              <w:rPr>
                <w:rFonts w:ascii="Arial" w:cs="Arial" w:eastAsia="Arial" w:hAnsi="Arial"/>
                <w:sz w:val="13"/>
                <w:szCs w:val="13"/>
                <w:color w:val="auto"/>
                <w:w w:val="97"/>
              </w:rPr>
              <w:t>(Zip Codes)</w:t>
            </w:r>
          </w:p>
        </w:tc>
      </w:tr>
    </w:tbl>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Title of each class</w:t>
            </w:r>
          </w:p>
        </w:tc>
        <w:tc>
          <w:tcPr>
            <w:tcW w:w="1400" w:type="dxa"/>
            <w:vAlign w:val="bottom"/>
          </w:tcPr>
          <w:p>
            <w:pPr>
              <w:spacing w:after="0"/>
              <w:rPr>
                <w:sz w:val="14"/>
                <w:szCs w:val="14"/>
                <w:color w:val="auto"/>
              </w:rPr>
            </w:pPr>
          </w:p>
        </w:tc>
        <w:tc>
          <w:tcPr>
            <w:tcW w:w="26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Trading Symbol(s)</w:t>
            </w:r>
          </w:p>
        </w:tc>
        <w:tc>
          <w:tcPr>
            <w:tcW w:w="364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per share</w:t>
            </w:r>
          </w:p>
        </w:tc>
        <w:tc>
          <w:tcPr>
            <w:tcW w:w="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940" w:type="dxa"/>
            <w:vAlign w:val="bottom"/>
            <w:gridSpan w:val="2"/>
          </w:tcPr>
          <w:p>
            <w:pPr>
              <w:jc w:val="right"/>
              <w:spacing w:after="0"/>
              <w:rPr>
                <w:sz w:val="20"/>
                <w:szCs w:val="20"/>
                <w:color w:val="auto"/>
              </w:rPr>
            </w:pPr>
            <w:r>
              <w:rPr>
                <w:rFonts w:ascii="Arial" w:cs="Arial" w:eastAsia="Arial" w:hAnsi="Arial"/>
                <w:sz w:val="14"/>
                <w:szCs w:val="14"/>
                <w:color w:val="auto"/>
                <w:w w:val="98"/>
              </w:rPr>
              <w:t>common stock, par value $0.01</w:t>
            </w:r>
          </w:p>
        </w:tc>
        <w:tc>
          <w:tcPr>
            <w:tcW w:w="14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4"/>
                <w:szCs w:val="14"/>
                <w:color w:val="auto"/>
                <w:w w:val="98"/>
              </w:rPr>
              <w:t>SLB</w:t>
            </w:r>
          </w:p>
        </w:tc>
        <w:tc>
          <w:tcPr>
            <w:tcW w:w="60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6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00"/>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5"/>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98"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744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p>
        </w:tc>
        <w:tc>
          <w:tcPr>
            <w:tcW w:w="3800" w:type="dxa"/>
            <w:vAlign w:val="bottom"/>
            <w:gridSpan w:val="3"/>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37"/>
        </w:trPr>
        <w:tc>
          <w:tcPr>
            <w:tcW w:w="7440" w:type="dxa"/>
            <w:vAlign w:val="bottom"/>
            <w:gridSpan w:val="3"/>
          </w:tcPr>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tc>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62"/>
        </w:trPr>
        <w:tc>
          <w:tcPr>
            <w:tcW w:w="7440" w:type="dxa"/>
            <w:vAlign w:val="bottom"/>
            <w:gridSpan w:val="3"/>
          </w:tcPr>
          <w:p>
            <w:pPr>
              <w:ind w:left="3740"/>
              <w:spacing w:after="0"/>
              <w:rPr>
                <w:sz w:val="20"/>
                <w:szCs w:val="20"/>
                <w:color w:val="auto"/>
              </w:rPr>
            </w:pPr>
            <w:r>
              <w:rPr>
                <w:rFonts w:ascii="Arial" w:cs="Arial" w:eastAsia="Arial" w:hAnsi="Arial"/>
                <w:sz w:val="15"/>
                <w:szCs w:val="15"/>
                <w:b w:val="1"/>
                <w:bCs w:val="1"/>
                <w:color w:val="auto"/>
              </w:rPr>
              <w:t>Class</w:t>
            </w:r>
          </w:p>
        </w:tc>
        <w:tc>
          <w:tcPr>
            <w:tcW w:w="1020" w:type="dxa"/>
            <w:vAlign w:val="bottom"/>
          </w:tcPr>
          <w:p>
            <w:pPr>
              <w:spacing w:after="0"/>
              <w:rPr>
                <w:sz w:val="22"/>
                <w:szCs w:val="22"/>
                <w:color w:val="auto"/>
              </w:rPr>
            </w:pPr>
          </w:p>
        </w:tc>
        <w:tc>
          <w:tcPr>
            <w:tcW w:w="2780" w:type="dxa"/>
            <w:vAlign w:val="bottom"/>
            <w:gridSpan w:val="2"/>
          </w:tcPr>
          <w:p>
            <w:pPr>
              <w:jc w:val="center"/>
              <w:ind w:right="580"/>
              <w:spacing w:after="0"/>
              <w:rPr>
                <w:sz w:val="20"/>
                <w:szCs w:val="20"/>
                <w:color w:val="auto"/>
              </w:rPr>
            </w:pPr>
            <w:r>
              <w:rPr>
                <w:rFonts w:ascii="Arial" w:cs="Arial" w:eastAsia="Arial" w:hAnsi="Arial"/>
                <w:sz w:val="15"/>
                <w:szCs w:val="15"/>
                <w:b w:val="1"/>
                <w:bCs w:val="1"/>
                <w:color w:val="auto"/>
              </w:rPr>
              <w:t>Outstanding at March 31, 2026</w:t>
            </w:r>
          </w:p>
        </w:tc>
      </w:tr>
      <w:tr>
        <w:trPr>
          <w:trHeight w:val="237"/>
        </w:trPr>
        <w:tc>
          <w:tcPr>
            <w:tcW w:w="7440" w:type="dxa"/>
            <w:vAlign w:val="bottom"/>
            <w:gridSpan w:val="3"/>
          </w:tcPr>
          <w:p>
            <w:pPr>
              <w:spacing w:after="0"/>
              <w:rPr>
                <w:sz w:val="20"/>
                <w:szCs w:val="20"/>
                <w:color w:val="auto"/>
              </w:rPr>
            </w:pPr>
            <w:r>
              <w:rPr>
                <w:rFonts w:ascii="Arial" w:cs="Arial" w:eastAsia="Arial" w:hAnsi="Arial"/>
                <w:sz w:val="15"/>
                <w:szCs w:val="15"/>
                <w:color w:val="auto"/>
              </w:rPr>
              <w:t>COMMON STOCK, $0.01 PAR VALUE PER SHARE</w:t>
            </w:r>
          </w:p>
        </w:tc>
        <w:tc>
          <w:tcPr>
            <w:tcW w:w="1020" w:type="dxa"/>
            <w:vAlign w:val="bottom"/>
          </w:tcPr>
          <w:p>
            <w:pPr>
              <w:spacing w:after="0"/>
              <w:rPr>
                <w:sz w:val="20"/>
                <w:szCs w:val="20"/>
                <w:color w:val="auto"/>
              </w:rPr>
            </w:pPr>
          </w:p>
        </w:tc>
        <w:tc>
          <w:tcPr>
            <w:tcW w:w="2200" w:type="dxa"/>
            <w:vAlign w:val="bottom"/>
            <w:tcBorders>
              <w:top w:val="single" w:sz="8" w:color="auto"/>
            </w:tcBorders>
          </w:tcPr>
          <w:p>
            <w:pPr>
              <w:jc w:val="right"/>
              <w:ind w:right="544"/>
              <w:spacing w:after="0"/>
              <w:rPr>
                <w:sz w:val="20"/>
                <w:szCs w:val="20"/>
                <w:color w:val="auto"/>
              </w:rPr>
            </w:pPr>
            <w:r>
              <w:rPr>
                <w:rFonts w:ascii="Arial" w:cs="Arial" w:eastAsia="Arial" w:hAnsi="Arial"/>
                <w:sz w:val="15"/>
                <w:szCs w:val="15"/>
                <w:color w:val="auto"/>
              </w:rPr>
              <w:t>1,495,057,661</w:t>
            </w:r>
          </w:p>
        </w:tc>
        <w:tc>
          <w:tcPr>
            <w:tcW w:w="580" w:type="dxa"/>
            <w:vAlign w:val="bottom"/>
          </w:tcPr>
          <w:p>
            <w:pPr>
              <w:spacing w:after="0"/>
              <w:rPr>
                <w:sz w:val="20"/>
                <w:szCs w:val="20"/>
                <w:color w:val="auto"/>
              </w:rPr>
            </w:pPr>
          </w:p>
        </w:tc>
      </w:tr>
      <w:tr>
        <w:trPr>
          <w:trHeight w:val="1363"/>
        </w:trPr>
        <w:tc>
          <w:tcPr>
            <w:tcW w:w="3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00" w:type="dxa"/>
            <w:vAlign w:val="bottom"/>
            <w:gridSpan w:val="4"/>
          </w:tcPr>
          <w:p>
            <w:pPr>
              <w:ind w:left="1760"/>
              <w:spacing w:after="0"/>
              <w:rPr>
                <w:sz w:val="20"/>
                <w:szCs w:val="20"/>
                <w:color w:val="auto"/>
              </w:rPr>
            </w:pPr>
            <w:r>
              <w:rPr>
                <w:rFonts w:ascii="Arial" w:cs="Arial" w:eastAsia="Arial" w:hAnsi="Arial"/>
                <w:sz w:val="18"/>
                <w:szCs w:val="18"/>
                <w:b w:val="1"/>
                <w:bCs w:val="1"/>
                <w:color w:val="auto"/>
              </w:rPr>
              <w:t>SLB Limited</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00" w:type="dxa"/>
            <w:vAlign w:val="bottom"/>
            <w:gridSpan w:val="4"/>
          </w:tcPr>
          <w:p>
            <w:pPr>
              <w:jc w:val="center"/>
              <w:ind w:right="2800"/>
              <w:spacing w:after="0" w:line="202" w:lineRule="exact"/>
              <w:rPr>
                <w:sz w:val="20"/>
                <w:szCs w:val="20"/>
                <w:color w:val="auto"/>
              </w:rPr>
            </w:pPr>
            <w:r>
              <w:rPr>
                <w:rFonts w:ascii="Arial" w:cs="Arial" w:eastAsia="Arial" w:hAnsi="Arial"/>
                <w:sz w:val="18"/>
                <w:szCs w:val="18"/>
                <w:color w:val="auto"/>
                <w:w w:val="99"/>
              </w:rPr>
              <w:t>First Quarter 2026 Form 10-Q</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300" w:type="dxa"/>
            <w:vAlign w:val="bottom"/>
            <w:gridSpan w:val="4"/>
          </w:tcPr>
          <w:p>
            <w:pPr>
              <w:jc w:val="center"/>
              <w:ind w:right="2800"/>
              <w:spacing w:after="0"/>
              <w:rPr>
                <w:sz w:val="20"/>
                <w:szCs w:val="20"/>
                <w:color w:val="auto"/>
              </w:rPr>
            </w:pPr>
            <w:r>
              <w:rPr>
                <w:rFonts w:ascii="Arial" w:cs="Arial" w:eastAsia="Arial" w:hAnsi="Arial"/>
                <w:sz w:val="18"/>
                <w:szCs w:val="18"/>
                <w:color w:val="auto"/>
                <w:w w:val="99"/>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04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9600" w:type="dxa"/>
            <w:vAlign w:val="bottom"/>
            <w:gridSpan w:val="12"/>
            <w:vMerge w:val="restart"/>
          </w:tcPr>
          <w:p>
            <w:pPr>
              <w:spacing w:after="0"/>
              <w:rPr>
                <w:sz w:val="20"/>
                <w:szCs w:val="20"/>
                <w:color w:val="auto"/>
              </w:rPr>
            </w:pPr>
            <w:r>
              <w:rPr>
                <w:rFonts w:ascii="Arial" w:cs="Arial" w:eastAsia="Arial" w:hAnsi="Arial"/>
                <w:sz w:val="16"/>
                <w:szCs w:val="16"/>
                <w:b w:val="1"/>
                <w:bCs w:val="1"/>
                <w:color w:val="auto"/>
              </w:rPr>
              <w:t>Financial Information</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9600" w:type="dxa"/>
            <w:vAlign w:val="bottom"/>
            <w:gridSpan w:val="12"/>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600" w:type="dxa"/>
            <w:vAlign w:val="bottom"/>
            <w:gridSpan w:val="12"/>
          </w:tcPr>
          <w:p>
            <w:pPr>
              <w:spacing w:after="0"/>
              <w:rPr>
                <w:sz w:val="20"/>
                <w:szCs w:val="20"/>
                <w:color w:val="auto"/>
              </w:rPr>
            </w:pPr>
            <w:r>
              <w:rPr>
                <w:rFonts w:ascii="Arial" w:cs="Arial" w:eastAsia="Arial" w:hAnsi="Arial"/>
                <w:sz w:val="16"/>
                <w:szCs w:val="16"/>
                <w:color w:val="0000FF"/>
              </w:rPr>
              <w:t>Financial Statements</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600" w:type="dxa"/>
            <w:vAlign w:val="bottom"/>
            <w:gridSpan w:val="12"/>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3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9600" w:type="dxa"/>
            <w:vAlign w:val="bottom"/>
            <w:gridSpan w:val="12"/>
          </w:tcPr>
          <w:p>
            <w:pPr>
              <w:spacing w:after="0"/>
              <w:rPr>
                <w:sz w:val="20"/>
                <w:szCs w:val="20"/>
                <w:color w:val="auto"/>
              </w:rPr>
            </w:pPr>
            <w:r>
              <w:rPr>
                <w:rFonts w:ascii="Arial" w:cs="Arial" w:eastAsia="Arial" w:hAnsi="Arial"/>
                <w:sz w:val="16"/>
                <w:szCs w:val="16"/>
                <w:color w:val="0000FF"/>
              </w:rPr>
              <w:t>Controls and Procedures</w:t>
            </w: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1780" w:type="dxa"/>
            <w:vAlign w:val="bottom"/>
            <w:tcBorders>
              <w:top w:val="single" w:sz="8" w:color="0000FF"/>
            </w:tcBorders>
            <w:gridSpan w:val="7"/>
          </w:tcPr>
          <w:p>
            <w:pPr>
              <w:spacing w:after="0"/>
              <w:rPr>
                <w:sz w:val="20"/>
                <w:szCs w:val="20"/>
                <w:color w:val="auto"/>
              </w:rPr>
            </w:pPr>
            <w:r>
              <w:rPr>
                <w:rFonts w:ascii="Arial" w:cs="Arial" w:eastAsia="Arial" w:hAnsi="Arial"/>
                <w:sz w:val="16"/>
                <w:szCs w:val="16"/>
                <w:b w:val="1"/>
                <w:bCs w:val="1"/>
                <w:color w:val="auto"/>
              </w:rPr>
              <w:t>Other Information</w:t>
            </w:r>
          </w:p>
        </w:tc>
        <w:tc>
          <w:tcPr>
            <w:tcW w:w="782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Legal Proceedings</w:t>
            </w:r>
          </w:p>
        </w:tc>
        <w:tc>
          <w:tcPr>
            <w:tcW w:w="82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Risk Factors</w:t>
            </w:r>
          </w:p>
        </w:tc>
        <w:tc>
          <w:tcPr>
            <w:tcW w:w="870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600" w:type="dxa"/>
            <w:vAlign w:val="bottom"/>
            <w:gridSpan w:val="12"/>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23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Defaults Upon Senior Securities</w:t>
            </w:r>
          </w:p>
        </w:tc>
        <w:tc>
          <w:tcPr>
            <w:tcW w:w="2060" w:type="dxa"/>
            <w:vAlign w:val="bottom"/>
            <w:tcBorders>
              <w:top w:val="single" w:sz="8" w:color="0000FF"/>
            </w:tcBorders>
            <w:gridSpan w:val="2"/>
          </w:tcPr>
          <w:p>
            <w:pPr>
              <w:spacing w:after="0"/>
              <w:rPr>
                <w:sz w:val="24"/>
                <w:szCs w:val="24"/>
                <w:color w:val="auto"/>
              </w:rPr>
            </w:pPr>
          </w:p>
        </w:tc>
        <w:tc>
          <w:tcPr>
            <w:tcW w:w="524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Mine Safety Disclosures</w:t>
            </w:r>
          </w:p>
        </w:tc>
        <w:tc>
          <w:tcPr>
            <w:tcW w:w="786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5.</w:t>
            </w: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834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9600" w:type="dxa"/>
            <w:vAlign w:val="bottom"/>
            <w:gridSpan w:val="12"/>
          </w:tcPr>
          <w:p>
            <w:pPr>
              <w:spacing w:after="0"/>
              <w:rPr>
                <w:sz w:val="20"/>
                <w:szCs w:val="20"/>
                <w:color w:val="auto"/>
              </w:rPr>
            </w:pPr>
            <w:r>
              <w:rPr>
                <w:rFonts w:ascii="Arial" w:cs="Arial" w:eastAsia="Arial" w:hAnsi="Arial"/>
                <w:sz w:val="16"/>
                <w:szCs w:val="16"/>
                <w:color w:val="0000FF"/>
              </w:rPr>
              <w:t>Exhibits</w:t>
            </w: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202"/>
        </w:trPr>
        <w:tc>
          <w:tcPr>
            <w:tcW w:w="10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194" w:lineRule="exact"/>
        <w:rPr>
          <w:sz w:val="20"/>
          <w:szCs w:val="20"/>
          <w:color w:val="auto"/>
        </w:rPr>
      </w:pPr>
    </w:p>
    <w:p>
      <w:pPr>
        <w:ind w:left="432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3960"/>
        <w:spacing w:after="0"/>
        <w:rPr>
          <w:sz w:val="20"/>
          <w:szCs w:val="20"/>
          <w:color w:val="auto"/>
        </w:rPr>
      </w:pPr>
      <w:r>
        <w:rPr>
          <w:rFonts w:ascii="Arial" w:cs="Arial" w:eastAsia="Arial" w:hAnsi="Arial"/>
          <w:sz w:val="16"/>
          <w:szCs w:val="16"/>
          <w:b w:val="1"/>
          <w:bCs w:val="1"/>
          <w:u w:val="single" w:color="auto"/>
          <w:color w:val="auto"/>
        </w:rPr>
        <w:t>CONSOLIDATED STATEMENT OF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580" w:type="dxa"/>
            <w:vAlign w:val="bottom"/>
            <w:gridSpan w:val="6"/>
          </w:tcPr>
          <w:p>
            <w:pPr>
              <w:ind w:left="54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359"/>
        </w:trPr>
        <w:tc>
          <w:tcPr>
            <w:tcW w:w="5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56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80" w:type="dxa"/>
            <w:vAlign w:val="bottom"/>
          </w:tcPr>
          <w:p>
            <w:pPr>
              <w:jc w:val="right"/>
              <w:ind w:right="22"/>
              <w:spacing w:after="0" w:line="183" w:lineRule="exact"/>
              <w:rPr>
                <w:sz w:val="20"/>
                <w:szCs w:val="20"/>
                <w:color w:val="auto"/>
              </w:rPr>
            </w:pPr>
            <w:r>
              <w:rPr>
                <w:rFonts w:ascii="Arial" w:cs="Arial" w:eastAsia="Arial" w:hAnsi="Arial"/>
                <w:sz w:val="16"/>
                <w:szCs w:val="16"/>
                <w:b w:val="1"/>
                <w:bCs w:val="1"/>
                <w:color w:val="auto"/>
              </w:rPr>
              <w:t>2026</w:t>
            </w:r>
          </w:p>
        </w:tc>
        <w:tc>
          <w:tcPr>
            <w:tcW w:w="520" w:type="dxa"/>
            <w:vAlign w:val="bottom"/>
          </w:tcPr>
          <w:p>
            <w:pPr>
              <w:spacing w:after="0"/>
              <w:rPr>
                <w:sz w:val="15"/>
                <w:szCs w:val="15"/>
                <w:color w:val="auto"/>
              </w:rPr>
            </w:pPr>
          </w:p>
        </w:tc>
        <w:tc>
          <w:tcPr>
            <w:tcW w:w="140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2025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68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Revenue</w:t>
            </w:r>
          </w:p>
        </w:tc>
        <w:tc>
          <w:tcPr>
            <w:tcW w:w="1980" w:type="dxa"/>
            <w:vAlign w:val="bottom"/>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680" w:type="dxa"/>
            <w:vAlign w:val="bottom"/>
          </w:tcPr>
          <w:p>
            <w:pPr>
              <w:ind w:left="140"/>
              <w:spacing w:after="0"/>
              <w:rPr>
                <w:sz w:val="20"/>
                <w:szCs w:val="20"/>
                <w:color w:val="auto"/>
              </w:rPr>
            </w:pPr>
            <w:r>
              <w:rPr>
                <w:rFonts w:ascii="Arial" w:cs="Arial" w:eastAsia="Arial" w:hAnsi="Arial"/>
                <w:sz w:val="16"/>
                <w:szCs w:val="16"/>
                <w:color w:val="auto"/>
              </w:rPr>
              <w:t>Services</w:t>
            </w:r>
          </w:p>
        </w:tc>
        <w:tc>
          <w:tcPr>
            <w:tcW w:w="3060" w:type="dxa"/>
            <w:vAlign w:val="bottom"/>
            <w:gridSpan w:val="2"/>
          </w:tcPr>
          <w:p>
            <w:pPr>
              <w:jc w:val="right"/>
              <w:ind w:right="902"/>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4,919</w:t>
            </w:r>
          </w:p>
        </w:tc>
        <w:tc>
          <w:tcPr>
            <w:tcW w:w="140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5,366</w:t>
            </w:r>
          </w:p>
        </w:tc>
        <w:tc>
          <w:tcPr>
            <w:tcW w:w="100" w:type="dxa"/>
            <w:vAlign w:val="bottom"/>
          </w:tcPr>
          <w:p>
            <w:pPr>
              <w:spacing w:after="0"/>
              <w:rPr>
                <w:sz w:val="16"/>
                <w:szCs w:val="16"/>
                <w:color w:val="auto"/>
              </w:rPr>
            </w:pPr>
          </w:p>
        </w:tc>
      </w:tr>
      <w:tr>
        <w:trPr>
          <w:trHeight w:val="189"/>
        </w:trPr>
        <w:tc>
          <w:tcPr>
            <w:tcW w:w="5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Product sales</w:t>
            </w:r>
          </w:p>
        </w:tc>
        <w:tc>
          <w:tcPr>
            <w:tcW w:w="19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3,802</w:t>
            </w:r>
          </w:p>
        </w:tc>
        <w:tc>
          <w:tcPr>
            <w:tcW w:w="3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680" w:type="dxa"/>
            <w:vAlign w:val="bottom"/>
          </w:tcPr>
          <w:p>
            <w:pPr>
              <w:spacing w:after="0" w:line="183" w:lineRule="exact"/>
              <w:rPr>
                <w:sz w:val="20"/>
                <w:szCs w:val="20"/>
                <w:color w:val="auto"/>
              </w:rPr>
            </w:pPr>
            <w:r>
              <w:rPr>
                <w:rFonts w:ascii="Arial" w:cs="Arial" w:eastAsia="Arial" w:hAnsi="Arial"/>
                <w:sz w:val="16"/>
                <w:szCs w:val="16"/>
                <w:i w:val="1"/>
                <w:iCs w:val="1"/>
                <w:color w:val="auto"/>
              </w:rPr>
              <w:t>Total Revenue</w:t>
            </w:r>
          </w:p>
        </w:tc>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8,721</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8,490</w:t>
            </w:r>
          </w:p>
        </w:tc>
        <w:tc>
          <w:tcPr>
            <w:tcW w:w="100" w:type="dxa"/>
            <w:vAlign w:val="bottom"/>
          </w:tcPr>
          <w:p>
            <w:pPr>
              <w:spacing w:after="0"/>
              <w:rPr>
                <w:sz w:val="15"/>
                <w:szCs w:val="15"/>
                <w:color w:val="auto"/>
              </w:rPr>
            </w:pPr>
          </w:p>
        </w:tc>
      </w:tr>
      <w:tr>
        <w:trPr>
          <w:trHeight w:val="189"/>
        </w:trPr>
        <w:tc>
          <w:tcPr>
            <w:tcW w:w="56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Interest &amp; other income</w:t>
            </w:r>
          </w:p>
        </w:tc>
        <w:tc>
          <w:tcPr>
            <w:tcW w:w="19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43</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FF0FC"/>
          </w:tcPr>
          <w:p>
            <w:pPr>
              <w:spacing w:after="0"/>
              <w:rPr>
                <w:sz w:val="16"/>
                <w:szCs w:val="16"/>
                <w:color w:val="auto"/>
              </w:rPr>
            </w:pPr>
          </w:p>
        </w:tc>
      </w:tr>
      <w:tr>
        <w:trPr>
          <w:trHeight w:val="189"/>
        </w:trPr>
        <w:tc>
          <w:tcPr>
            <w:tcW w:w="5680" w:type="dxa"/>
            <w:vAlign w:val="bottom"/>
          </w:tcPr>
          <w:p>
            <w:pPr>
              <w:spacing w:after="0"/>
              <w:rPr>
                <w:sz w:val="20"/>
                <w:szCs w:val="20"/>
                <w:color w:val="auto"/>
              </w:rPr>
            </w:pPr>
            <w:r>
              <w:rPr>
                <w:rFonts w:ascii="Arial" w:cs="Arial" w:eastAsia="Arial" w:hAnsi="Arial"/>
                <w:sz w:val="16"/>
                <w:szCs w:val="16"/>
                <w:i w:val="1"/>
                <w:iCs w:val="1"/>
                <w:color w:val="auto"/>
              </w:rPr>
              <w:t>Expenses</w:t>
            </w:r>
          </w:p>
        </w:tc>
        <w:tc>
          <w:tcPr>
            <w:tcW w:w="1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Cost of services</w:t>
            </w:r>
          </w:p>
        </w:tc>
        <w:tc>
          <w:tcPr>
            <w:tcW w:w="19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4,049</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4,256</w:t>
            </w:r>
          </w:p>
        </w:tc>
        <w:tc>
          <w:tcPr>
            <w:tcW w:w="100" w:type="dxa"/>
            <w:vAlign w:val="bottom"/>
            <w:shd w:val="clear" w:color="auto" w:fill="CFF0FC"/>
          </w:tcPr>
          <w:p>
            <w:pPr>
              <w:spacing w:after="0"/>
              <w:rPr>
                <w:sz w:val="16"/>
                <w:szCs w:val="16"/>
                <w:color w:val="auto"/>
              </w:rPr>
            </w:pPr>
          </w:p>
        </w:tc>
      </w:tr>
      <w:tr>
        <w:trPr>
          <w:trHeight w:val="189"/>
        </w:trPr>
        <w:tc>
          <w:tcPr>
            <w:tcW w:w="5680" w:type="dxa"/>
            <w:vAlign w:val="bottom"/>
          </w:tcPr>
          <w:p>
            <w:pPr>
              <w:ind w:left="140"/>
              <w:spacing w:after="0"/>
              <w:rPr>
                <w:sz w:val="20"/>
                <w:szCs w:val="20"/>
                <w:color w:val="auto"/>
              </w:rPr>
            </w:pPr>
            <w:r>
              <w:rPr>
                <w:rFonts w:ascii="Arial" w:cs="Arial" w:eastAsia="Arial" w:hAnsi="Arial"/>
                <w:sz w:val="16"/>
                <w:szCs w:val="16"/>
                <w:color w:val="auto"/>
              </w:rPr>
              <w:t>Cost of sales</w:t>
            </w:r>
          </w:p>
        </w:tc>
        <w:tc>
          <w:tcPr>
            <w:tcW w:w="1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3,341</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2,628</w:t>
            </w:r>
          </w:p>
        </w:tc>
        <w:tc>
          <w:tcPr>
            <w:tcW w:w="100" w:type="dxa"/>
            <w:vAlign w:val="bottom"/>
          </w:tcPr>
          <w:p>
            <w:pPr>
              <w:spacing w:after="0"/>
              <w:rPr>
                <w:sz w:val="16"/>
                <w:szCs w:val="16"/>
                <w:color w:val="auto"/>
              </w:rPr>
            </w:pPr>
          </w:p>
        </w:tc>
      </w:tr>
      <w:tr>
        <w:trPr>
          <w:trHeight w:val="189"/>
        </w:trPr>
        <w:tc>
          <w:tcPr>
            <w:tcW w:w="5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Research &amp; engineering</w:t>
            </w:r>
          </w:p>
        </w:tc>
        <w:tc>
          <w:tcPr>
            <w:tcW w:w="19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164</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FF0FC"/>
          </w:tcPr>
          <w:p>
            <w:pPr>
              <w:spacing w:after="0"/>
              <w:rPr>
                <w:sz w:val="16"/>
                <w:szCs w:val="16"/>
                <w:color w:val="auto"/>
              </w:rPr>
            </w:pPr>
          </w:p>
        </w:tc>
      </w:tr>
      <w:tr>
        <w:trPr>
          <w:trHeight w:val="189"/>
        </w:trPr>
        <w:tc>
          <w:tcPr>
            <w:tcW w:w="5680" w:type="dxa"/>
            <w:vAlign w:val="bottom"/>
          </w:tcPr>
          <w:p>
            <w:pPr>
              <w:ind w:left="140"/>
              <w:spacing w:after="0"/>
              <w:rPr>
                <w:sz w:val="20"/>
                <w:szCs w:val="20"/>
                <w:color w:val="auto"/>
              </w:rPr>
            </w:pPr>
            <w:r>
              <w:rPr>
                <w:rFonts w:ascii="Arial" w:cs="Arial" w:eastAsia="Arial" w:hAnsi="Arial"/>
                <w:sz w:val="16"/>
                <w:szCs w:val="16"/>
                <w:color w:val="auto"/>
              </w:rPr>
              <w:t>General &amp; administrative</w:t>
            </w:r>
          </w:p>
        </w:tc>
        <w:tc>
          <w:tcPr>
            <w:tcW w:w="1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6"/>
                <w:szCs w:val="16"/>
                <w:color w:val="auto"/>
              </w:rPr>
            </w:pPr>
          </w:p>
        </w:tc>
      </w:tr>
      <w:tr>
        <w:trPr>
          <w:trHeight w:val="189"/>
        </w:trPr>
        <w:tc>
          <w:tcPr>
            <w:tcW w:w="5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Restructuring</w:t>
            </w:r>
          </w:p>
        </w:tc>
        <w:tc>
          <w:tcPr>
            <w:tcW w:w="19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FF0FC"/>
          </w:tcPr>
          <w:p>
            <w:pPr>
              <w:spacing w:after="0"/>
              <w:rPr>
                <w:sz w:val="16"/>
                <w:szCs w:val="16"/>
                <w:color w:val="auto"/>
              </w:rPr>
            </w:pPr>
          </w:p>
        </w:tc>
      </w:tr>
      <w:tr>
        <w:trPr>
          <w:trHeight w:val="189"/>
        </w:trPr>
        <w:tc>
          <w:tcPr>
            <w:tcW w:w="5680" w:type="dxa"/>
            <w:vAlign w:val="bottom"/>
          </w:tcPr>
          <w:p>
            <w:pPr>
              <w:ind w:left="140"/>
              <w:spacing w:after="0"/>
              <w:rPr>
                <w:sz w:val="20"/>
                <w:szCs w:val="20"/>
                <w:color w:val="auto"/>
              </w:rPr>
            </w:pPr>
            <w:r>
              <w:rPr>
                <w:rFonts w:ascii="Arial" w:cs="Arial" w:eastAsia="Arial" w:hAnsi="Arial"/>
                <w:sz w:val="16"/>
                <w:szCs w:val="16"/>
                <w:color w:val="auto"/>
              </w:rPr>
              <w:t>Merger &amp; integration</w:t>
            </w:r>
          </w:p>
        </w:tc>
        <w:tc>
          <w:tcPr>
            <w:tcW w:w="1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6"/>
                <w:szCs w:val="16"/>
                <w:color w:val="auto"/>
              </w:rPr>
            </w:pPr>
          </w:p>
        </w:tc>
      </w:tr>
      <w:tr>
        <w:trPr>
          <w:trHeight w:val="189"/>
        </w:trPr>
        <w:tc>
          <w:tcPr>
            <w:tcW w:w="5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Interest</w:t>
            </w:r>
          </w:p>
        </w:tc>
        <w:tc>
          <w:tcPr>
            <w:tcW w:w="19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116</w:t>
            </w:r>
          </w:p>
        </w:tc>
        <w:tc>
          <w:tcPr>
            <w:tcW w:w="3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5680" w:type="dxa"/>
            <w:vAlign w:val="bottom"/>
          </w:tcPr>
          <w:p>
            <w:pPr>
              <w:spacing w:after="0" w:line="183" w:lineRule="exact"/>
              <w:rPr>
                <w:sz w:val="20"/>
                <w:szCs w:val="20"/>
                <w:color w:val="auto"/>
              </w:rPr>
            </w:pPr>
            <w:r>
              <w:rPr>
                <w:rFonts w:ascii="Arial" w:cs="Arial" w:eastAsia="Arial" w:hAnsi="Arial"/>
                <w:sz w:val="16"/>
                <w:szCs w:val="16"/>
                <w:i w:val="1"/>
                <w:iCs w:val="1"/>
                <w:color w:val="auto"/>
              </w:rPr>
              <w:t>Income before taxes</w:t>
            </w:r>
          </w:p>
        </w:tc>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956</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1,063</w:t>
            </w:r>
          </w:p>
        </w:tc>
        <w:tc>
          <w:tcPr>
            <w:tcW w:w="100" w:type="dxa"/>
            <w:vAlign w:val="bottom"/>
          </w:tcPr>
          <w:p>
            <w:pPr>
              <w:spacing w:after="0"/>
              <w:rPr>
                <w:sz w:val="15"/>
                <w:szCs w:val="15"/>
                <w:color w:val="auto"/>
              </w:rPr>
            </w:pPr>
          </w:p>
        </w:tc>
      </w:tr>
      <w:tr>
        <w:trPr>
          <w:trHeight w:val="189"/>
        </w:trPr>
        <w:tc>
          <w:tcPr>
            <w:tcW w:w="5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Tax expense</w:t>
            </w:r>
          </w:p>
        </w:tc>
        <w:tc>
          <w:tcPr>
            <w:tcW w:w="19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w:t>
            </w:r>
          </w:p>
        </w:tc>
        <w:tc>
          <w:tcPr>
            <w:tcW w:w="3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680" w:type="dxa"/>
            <w:vAlign w:val="bottom"/>
          </w:tcPr>
          <w:p>
            <w:pPr>
              <w:spacing w:after="0" w:line="183" w:lineRule="exact"/>
              <w:rPr>
                <w:sz w:val="20"/>
                <w:szCs w:val="20"/>
                <w:color w:val="auto"/>
              </w:rPr>
            </w:pPr>
            <w:r>
              <w:rPr>
                <w:rFonts w:ascii="Arial" w:cs="Arial" w:eastAsia="Arial" w:hAnsi="Arial"/>
                <w:sz w:val="16"/>
                <w:szCs w:val="16"/>
                <w:i w:val="1"/>
                <w:iCs w:val="1"/>
                <w:color w:val="auto"/>
              </w:rPr>
              <w:t>Net income</w:t>
            </w:r>
          </w:p>
        </w:tc>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761</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829</w:t>
            </w:r>
          </w:p>
        </w:tc>
        <w:tc>
          <w:tcPr>
            <w:tcW w:w="100" w:type="dxa"/>
            <w:vAlign w:val="bottom"/>
          </w:tcPr>
          <w:p>
            <w:pPr>
              <w:spacing w:after="0"/>
              <w:rPr>
                <w:sz w:val="15"/>
                <w:szCs w:val="15"/>
                <w:color w:val="auto"/>
              </w:rPr>
            </w:pPr>
          </w:p>
        </w:tc>
      </w:tr>
      <w:tr>
        <w:trPr>
          <w:trHeight w:val="189"/>
        </w:trPr>
        <w:tc>
          <w:tcPr>
            <w:tcW w:w="5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Net income attributable to noncontrolling interests</w:t>
            </w:r>
          </w:p>
        </w:tc>
        <w:tc>
          <w:tcPr>
            <w:tcW w:w="19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680" w:type="dxa"/>
            <w:vAlign w:val="bottom"/>
          </w:tcPr>
          <w:p>
            <w:pPr>
              <w:spacing w:after="0" w:line="169" w:lineRule="exact"/>
              <w:rPr>
                <w:sz w:val="20"/>
                <w:szCs w:val="20"/>
                <w:color w:val="auto"/>
              </w:rPr>
            </w:pPr>
            <w:r>
              <w:rPr>
                <w:rFonts w:ascii="Arial" w:cs="Arial" w:eastAsia="Arial" w:hAnsi="Arial"/>
                <w:sz w:val="16"/>
                <w:szCs w:val="16"/>
                <w:i w:val="1"/>
                <w:iCs w:val="1"/>
                <w:color w:val="auto"/>
              </w:rPr>
              <w:t>Net income attributable to SLB</w:t>
            </w:r>
          </w:p>
        </w:tc>
        <w:tc>
          <w:tcPr>
            <w:tcW w:w="3060" w:type="dxa"/>
            <w:vAlign w:val="bottom"/>
            <w:gridSpan w:val="2"/>
          </w:tcPr>
          <w:p>
            <w:pPr>
              <w:jc w:val="right"/>
              <w:ind w:right="902"/>
              <w:spacing w:after="0" w:line="169"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752</w:t>
            </w:r>
          </w:p>
        </w:tc>
        <w:tc>
          <w:tcPr>
            <w:tcW w:w="1400" w:type="dxa"/>
            <w:vAlign w:val="bottom"/>
            <w:gridSpan w:val="2"/>
          </w:tcPr>
          <w:p>
            <w:pPr>
              <w:jc w:val="right"/>
              <w:ind w:right="1020"/>
              <w:spacing w:after="0" w:line="169"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rPr>
              <w:t>797</w:t>
            </w:r>
          </w:p>
        </w:tc>
        <w:tc>
          <w:tcPr>
            <w:tcW w:w="100" w:type="dxa"/>
            <w:vAlign w:val="bottom"/>
          </w:tcPr>
          <w:p>
            <w:pPr>
              <w:spacing w:after="0"/>
              <w:rPr>
                <w:sz w:val="15"/>
                <w:szCs w:val="15"/>
                <w:color w:val="auto"/>
              </w:rPr>
            </w:pPr>
          </w:p>
        </w:tc>
      </w:tr>
      <w:tr>
        <w:trPr>
          <w:trHeight w:val="20"/>
        </w:trPr>
        <w:tc>
          <w:tcPr>
            <w:tcW w:w="5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5680" w:type="dxa"/>
            <w:vAlign w:val="bottom"/>
            <w:shd w:val="clear" w:color="auto" w:fill="CFF0FC"/>
          </w:tcPr>
          <w:p>
            <w:pPr>
              <w:spacing w:after="0"/>
              <w:rPr>
                <w:sz w:val="14"/>
                <w:szCs w:val="14"/>
                <w:color w:val="auto"/>
              </w:rPr>
            </w:pPr>
          </w:p>
        </w:tc>
        <w:tc>
          <w:tcPr>
            <w:tcW w:w="19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5680" w:type="dxa"/>
            <w:vAlign w:val="bottom"/>
          </w:tcPr>
          <w:p>
            <w:pPr>
              <w:spacing w:after="0" w:line="169" w:lineRule="exact"/>
              <w:rPr>
                <w:sz w:val="20"/>
                <w:szCs w:val="20"/>
                <w:color w:val="auto"/>
              </w:rPr>
            </w:pPr>
            <w:r>
              <w:rPr>
                <w:rFonts w:ascii="Arial" w:cs="Arial" w:eastAsia="Arial" w:hAnsi="Arial"/>
                <w:sz w:val="16"/>
                <w:szCs w:val="16"/>
                <w:b w:val="1"/>
                <w:bCs w:val="1"/>
                <w:color w:val="auto"/>
              </w:rPr>
              <w:t>Basic income per share of SLB</w:t>
            </w:r>
          </w:p>
        </w:tc>
        <w:tc>
          <w:tcPr>
            <w:tcW w:w="3060" w:type="dxa"/>
            <w:vAlign w:val="bottom"/>
            <w:gridSpan w:val="2"/>
          </w:tcPr>
          <w:p>
            <w:pPr>
              <w:jc w:val="right"/>
              <w:ind w:right="902"/>
              <w:spacing w:after="0" w:line="169"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0.50</w:t>
            </w:r>
          </w:p>
        </w:tc>
        <w:tc>
          <w:tcPr>
            <w:tcW w:w="1400" w:type="dxa"/>
            <w:vAlign w:val="bottom"/>
            <w:gridSpan w:val="2"/>
          </w:tcPr>
          <w:p>
            <w:pPr>
              <w:jc w:val="right"/>
              <w:ind w:right="1020"/>
              <w:spacing w:after="0" w:line="169"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rPr>
              <w:t>0.58</w:t>
            </w:r>
          </w:p>
        </w:tc>
        <w:tc>
          <w:tcPr>
            <w:tcW w:w="100" w:type="dxa"/>
            <w:vAlign w:val="bottom"/>
          </w:tcPr>
          <w:p>
            <w:pPr>
              <w:spacing w:after="0"/>
              <w:rPr>
                <w:sz w:val="16"/>
                <w:szCs w:val="16"/>
                <w:color w:val="auto"/>
              </w:rPr>
            </w:pPr>
          </w:p>
        </w:tc>
      </w:tr>
      <w:tr>
        <w:trPr>
          <w:trHeight w:val="20"/>
        </w:trPr>
        <w:tc>
          <w:tcPr>
            <w:tcW w:w="5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5680" w:type="dxa"/>
            <w:vAlign w:val="bottom"/>
            <w:shd w:val="clear" w:color="auto" w:fill="CFF0FC"/>
          </w:tcPr>
          <w:p>
            <w:pPr>
              <w:spacing w:after="0"/>
              <w:rPr>
                <w:sz w:val="14"/>
                <w:szCs w:val="14"/>
                <w:color w:val="auto"/>
              </w:rPr>
            </w:pPr>
          </w:p>
        </w:tc>
        <w:tc>
          <w:tcPr>
            <w:tcW w:w="19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5680" w:type="dxa"/>
            <w:vAlign w:val="bottom"/>
          </w:tcPr>
          <w:p>
            <w:pPr>
              <w:spacing w:after="0" w:line="169" w:lineRule="exact"/>
              <w:rPr>
                <w:sz w:val="20"/>
                <w:szCs w:val="20"/>
                <w:color w:val="auto"/>
              </w:rPr>
            </w:pPr>
            <w:r>
              <w:rPr>
                <w:rFonts w:ascii="Arial" w:cs="Arial" w:eastAsia="Arial" w:hAnsi="Arial"/>
                <w:sz w:val="16"/>
                <w:szCs w:val="16"/>
                <w:b w:val="1"/>
                <w:bCs w:val="1"/>
                <w:color w:val="auto"/>
              </w:rPr>
              <w:t>Diluted income per share of SLB</w:t>
            </w:r>
          </w:p>
        </w:tc>
        <w:tc>
          <w:tcPr>
            <w:tcW w:w="3060" w:type="dxa"/>
            <w:vAlign w:val="bottom"/>
            <w:gridSpan w:val="2"/>
          </w:tcPr>
          <w:p>
            <w:pPr>
              <w:jc w:val="right"/>
              <w:ind w:right="902"/>
              <w:spacing w:after="0" w:line="169"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0.50</w:t>
            </w:r>
          </w:p>
        </w:tc>
        <w:tc>
          <w:tcPr>
            <w:tcW w:w="1400" w:type="dxa"/>
            <w:vAlign w:val="bottom"/>
            <w:gridSpan w:val="2"/>
          </w:tcPr>
          <w:p>
            <w:pPr>
              <w:jc w:val="right"/>
              <w:ind w:right="1020"/>
              <w:spacing w:after="0" w:line="169"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rPr>
              <w:t>0.58</w:t>
            </w:r>
          </w:p>
        </w:tc>
        <w:tc>
          <w:tcPr>
            <w:tcW w:w="100" w:type="dxa"/>
            <w:vAlign w:val="bottom"/>
          </w:tcPr>
          <w:p>
            <w:pPr>
              <w:spacing w:after="0"/>
              <w:rPr>
                <w:sz w:val="16"/>
                <w:szCs w:val="16"/>
                <w:color w:val="auto"/>
              </w:rPr>
            </w:pPr>
          </w:p>
        </w:tc>
      </w:tr>
      <w:tr>
        <w:trPr>
          <w:trHeight w:val="20"/>
        </w:trPr>
        <w:tc>
          <w:tcPr>
            <w:tcW w:w="5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68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Average shares outstanding:</w:t>
            </w:r>
          </w:p>
        </w:tc>
        <w:tc>
          <w:tcPr>
            <w:tcW w:w="19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5680" w:type="dxa"/>
            <w:vAlign w:val="bottom"/>
          </w:tcPr>
          <w:p>
            <w:pPr>
              <w:ind w:left="140"/>
              <w:spacing w:after="0"/>
              <w:rPr>
                <w:sz w:val="20"/>
                <w:szCs w:val="20"/>
                <w:color w:val="auto"/>
              </w:rPr>
            </w:pPr>
            <w:r>
              <w:rPr>
                <w:rFonts w:ascii="Arial" w:cs="Arial" w:eastAsia="Arial" w:hAnsi="Arial"/>
                <w:sz w:val="16"/>
                <w:szCs w:val="16"/>
                <w:color w:val="auto"/>
              </w:rPr>
              <w:t>Basic</w:t>
            </w:r>
          </w:p>
        </w:tc>
        <w:tc>
          <w:tcPr>
            <w:tcW w:w="1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1,499</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16"/>
                <w:szCs w:val="16"/>
                <w:color w:val="auto"/>
              </w:rPr>
            </w:pPr>
          </w:p>
        </w:tc>
      </w:tr>
      <w:tr>
        <w:trPr>
          <w:trHeight w:val="189"/>
        </w:trPr>
        <w:tc>
          <w:tcPr>
            <w:tcW w:w="5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Assuming dilution</w:t>
            </w:r>
          </w:p>
        </w:tc>
        <w:tc>
          <w:tcPr>
            <w:tcW w:w="19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1,515</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-2751455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-2751455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-1542415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-1294130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-1045210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ind w:left="430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3220"/>
        <w:spacing w:after="0"/>
        <w:rPr>
          <w:sz w:val="20"/>
          <w:szCs w:val="20"/>
          <w:color w:val="auto"/>
        </w:rPr>
      </w:pPr>
      <w:r>
        <w:rPr>
          <w:rFonts w:ascii="Arial" w:cs="Arial" w:eastAsia="Arial" w:hAnsi="Arial"/>
          <w:sz w:val="16"/>
          <w:szCs w:val="16"/>
          <w:b w:val="1"/>
          <w:bCs w:val="1"/>
          <w:u w:val="single" w:color="auto"/>
          <w:color w:val="auto"/>
        </w:rPr>
        <w:t>CONSOLIDATED STATEMENT OF COMPREHENSIVE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7"/>
          </w:tcPr>
          <w:p>
            <w:pPr>
              <w:jc w:val="right"/>
              <w:ind w:right="660"/>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2026</w:t>
            </w:r>
          </w:p>
        </w:tc>
        <w:tc>
          <w:tcPr>
            <w:tcW w:w="4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40"/>
              <w:spacing w:after="0" w:line="183"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5"/>
                <w:szCs w:val="15"/>
                <w:color w:val="auto"/>
              </w:rPr>
            </w:pPr>
          </w:p>
        </w:tc>
      </w:tr>
      <w:tr>
        <w:trPr>
          <w:trHeight w:val="183"/>
        </w:trPr>
        <w:tc>
          <w:tcPr>
            <w:tcW w:w="76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Net income</w:t>
            </w:r>
          </w:p>
        </w:tc>
        <w:tc>
          <w:tcPr>
            <w:tcW w:w="1160" w:type="dxa"/>
            <w:vAlign w:val="bottom"/>
            <w:gridSpan w:val="2"/>
            <w:shd w:val="clear" w:color="auto" w:fill="CFF0FC"/>
          </w:tcPr>
          <w:p>
            <w:pPr>
              <w:jc w:val="right"/>
              <w:ind w:right="979"/>
              <w:spacing w:after="0" w:line="183" w:lineRule="exact"/>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761</w:t>
            </w:r>
          </w:p>
        </w:tc>
        <w:tc>
          <w:tcPr>
            <w:tcW w:w="18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829</w:t>
            </w:r>
          </w:p>
        </w:tc>
        <w:tc>
          <w:tcPr>
            <w:tcW w:w="100" w:type="dxa"/>
            <w:vAlign w:val="bottom"/>
            <w:shd w:val="clear" w:color="auto" w:fill="CFF0FC"/>
          </w:tcPr>
          <w:p>
            <w:pPr>
              <w:spacing w:after="0"/>
              <w:rPr>
                <w:sz w:val="15"/>
                <w:szCs w:val="15"/>
                <w:color w:val="auto"/>
              </w:rPr>
            </w:pPr>
          </w:p>
        </w:tc>
      </w:tr>
      <w:tr>
        <w:trPr>
          <w:trHeight w:val="189"/>
        </w:trPr>
        <w:tc>
          <w:tcPr>
            <w:tcW w:w="7660" w:type="dxa"/>
            <w:vAlign w:val="bottom"/>
          </w:tcPr>
          <w:p>
            <w:pPr>
              <w:spacing w:after="0"/>
              <w:rPr>
                <w:sz w:val="20"/>
                <w:szCs w:val="20"/>
                <w:color w:val="auto"/>
              </w:rPr>
            </w:pPr>
            <w:r>
              <w:rPr>
                <w:rFonts w:ascii="Arial" w:cs="Arial" w:eastAsia="Arial" w:hAnsi="Arial"/>
                <w:sz w:val="16"/>
                <w:szCs w:val="16"/>
                <w:i w:val="1"/>
                <w:iCs w:val="1"/>
                <w:color w:val="auto"/>
              </w:rPr>
              <w:t>Currency translation adjustments</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Unrealized net change arising during the period</w:t>
            </w:r>
          </w:p>
        </w:tc>
        <w:tc>
          <w:tcPr>
            <w:tcW w:w="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spacing w:after="0"/>
              <w:rPr>
                <w:sz w:val="20"/>
                <w:szCs w:val="20"/>
                <w:color w:val="auto"/>
              </w:rPr>
            </w:pPr>
            <w:r>
              <w:rPr>
                <w:rFonts w:ascii="Arial" w:cs="Arial" w:eastAsia="Arial" w:hAnsi="Arial"/>
                <w:sz w:val="16"/>
                <w:szCs w:val="16"/>
                <w:i w:val="1"/>
                <w:iCs w:val="1"/>
                <w:color w:val="auto"/>
              </w:rPr>
              <w:t>Cash flow hedges</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loss on cash flow hedges</w:t>
            </w:r>
          </w:p>
        </w:tc>
        <w:tc>
          <w:tcPr>
            <w:tcW w:w="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w:t>
            </w:r>
          </w:p>
        </w:tc>
      </w:tr>
      <w:tr>
        <w:trPr>
          <w:trHeight w:val="189"/>
        </w:trPr>
        <w:tc>
          <w:tcPr>
            <w:tcW w:w="7660" w:type="dxa"/>
            <w:vAlign w:val="bottom"/>
          </w:tcPr>
          <w:p>
            <w:pPr>
              <w:ind w:left="140"/>
              <w:spacing w:after="0"/>
              <w:rPr>
                <w:sz w:val="20"/>
                <w:szCs w:val="20"/>
                <w:color w:val="auto"/>
              </w:rPr>
            </w:pPr>
            <w:r>
              <w:rPr>
                <w:rFonts w:ascii="Arial" w:cs="Arial" w:eastAsia="Arial" w:hAnsi="Arial"/>
                <w:sz w:val="16"/>
                <w:szCs w:val="16"/>
                <w:color w:val="auto"/>
              </w:rPr>
              <w:t>Reclassification to net income of net realized loss</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60" w:type="dxa"/>
            <w:vAlign w:val="bottom"/>
          </w:tcPr>
          <w:p>
            <w:pPr>
              <w:ind w:left="140"/>
              <w:spacing w:after="0"/>
              <w:rPr>
                <w:sz w:val="20"/>
                <w:szCs w:val="20"/>
                <w:color w:val="auto"/>
              </w:rPr>
            </w:pPr>
            <w:r>
              <w:rPr>
                <w:rFonts w:ascii="Arial" w:cs="Arial" w:eastAsia="Arial" w:hAnsi="Arial"/>
                <w:sz w:val="16"/>
                <w:szCs w:val="16"/>
                <w:color w:val="auto"/>
              </w:rPr>
              <w:t>Amortization to net income of net actuarial loss</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Amortization to net income of net prior service credit</w:t>
            </w:r>
          </w:p>
        </w:tc>
        <w:tc>
          <w:tcPr>
            <w:tcW w:w="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r>
      <w:tr>
        <w:trPr>
          <w:trHeight w:val="189"/>
        </w:trPr>
        <w:tc>
          <w:tcPr>
            <w:tcW w:w="7660" w:type="dxa"/>
            <w:vAlign w:val="bottom"/>
          </w:tcPr>
          <w:p>
            <w:pPr>
              <w:ind w:left="140"/>
              <w:spacing w:after="0"/>
              <w:rPr>
                <w:sz w:val="20"/>
                <w:szCs w:val="20"/>
                <w:color w:val="auto"/>
              </w:rPr>
            </w:pPr>
            <w:r>
              <w:rPr>
                <w:rFonts w:ascii="Arial" w:cs="Arial" w:eastAsia="Arial" w:hAnsi="Arial"/>
                <w:sz w:val="16"/>
                <w:szCs w:val="16"/>
                <w:color w:val="auto"/>
              </w:rPr>
              <w:t>Income taxes on pension and other postretirement benefit plans</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7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w:t>
            </w:r>
          </w:p>
        </w:tc>
        <w:tc>
          <w:tcPr>
            <w:tcW w:w="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6"/>
                <w:szCs w:val="16"/>
                <w:color w:val="auto"/>
              </w:rPr>
            </w:pPr>
          </w:p>
        </w:tc>
      </w:tr>
      <w:tr>
        <w:trPr>
          <w:trHeight w:val="183"/>
        </w:trPr>
        <w:tc>
          <w:tcPr>
            <w:tcW w:w="766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i w:val="1"/>
                <w:iCs w:val="1"/>
                <w:color w:val="auto"/>
              </w:rPr>
              <w:t>Comprehensive income</w:t>
            </w:r>
          </w:p>
        </w:tc>
        <w:tc>
          <w:tcPr>
            <w:tcW w:w="2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757</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955</w:t>
            </w:r>
          </w:p>
        </w:tc>
        <w:tc>
          <w:tcPr>
            <w:tcW w:w="100" w:type="dxa"/>
            <w:vAlign w:val="bottom"/>
            <w:tcBorders>
              <w:top w:val="single" w:sz="8" w:color="CFF0FC"/>
            </w:tcBorders>
          </w:tcPr>
          <w:p>
            <w:pPr>
              <w:spacing w:after="0"/>
              <w:rPr>
                <w:sz w:val="15"/>
                <w:szCs w:val="15"/>
                <w:color w:val="auto"/>
              </w:rPr>
            </w:pPr>
          </w:p>
        </w:tc>
      </w:tr>
      <w:tr>
        <w:trPr>
          <w:trHeight w:val="189"/>
        </w:trPr>
        <w:tc>
          <w:tcPr>
            <w:tcW w:w="7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Comprehensive income attributable to noncontrolling interests</w:t>
            </w:r>
          </w:p>
        </w:tc>
        <w:tc>
          <w:tcPr>
            <w:tcW w:w="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60" w:type="dxa"/>
            <w:vAlign w:val="bottom"/>
          </w:tcPr>
          <w:p>
            <w:pPr>
              <w:spacing w:after="0" w:line="169" w:lineRule="exact"/>
              <w:rPr>
                <w:sz w:val="20"/>
                <w:szCs w:val="20"/>
                <w:color w:val="auto"/>
              </w:rPr>
            </w:pPr>
            <w:r>
              <w:rPr>
                <w:rFonts w:ascii="Arial" w:cs="Arial" w:eastAsia="Arial" w:hAnsi="Arial"/>
                <w:sz w:val="16"/>
                <w:szCs w:val="16"/>
                <w:i w:val="1"/>
                <w:iCs w:val="1"/>
                <w:color w:val="auto"/>
              </w:rPr>
              <w:t>Comprehensive income attributable to SLB</w:t>
            </w:r>
          </w:p>
        </w:tc>
        <w:tc>
          <w:tcPr>
            <w:tcW w:w="1160" w:type="dxa"/>
            <w:vAlign w:val="bottom"/>
            <w:gridSpan w:val="2"/>
          </w:tcPr>
          <w:p>
            <w:pPr>
              <w:jc w:val="right"/>
              <w:ind w:right="979"/>
              <w:spacing w:after="0" w:line="169" w:lineRule="exact"/>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748</w:t>
            </w:r>
          </w:p>
        </w:tc>
        <w:tc>
          <w:tcPr>
            <w:tcW w:w="180" w:type="dxa"/>
            <w:vAlign w:val="bottom"/>
          </w:tcPr>
          <w:p>
            <w:pPr>
              <w:spacing w:after="0"/>
              <w:rPr>
                <w:sz w:val="15"/>
                <w:szCs w:val="15"/>
                <w:color w:val="auto"/>
              </w:rPr>
            </w:pPr>
          </w:p>
        </w:tc>
        <w:tc>
          <w:tcPr>
            <w:tcW w:w="34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923</w:t>
            </w:r>
          </w:p>
        </w:tc>
        <w:tc>
          <w:tcPr>
            <w:tcW w:w="10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-402590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ind w:left="430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6"/>
          <w:szCs w:val="16"/>
          <w:b w:val="1"/>
          <w:bCs w:val="1"/>
          <w:u w:val="single" w:color="auto"/>
          <w:color w:val="auto"/>
        </w:rPr>
        <w:t>CONSOLIDATED BALANCE SHEET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45"/>
        </w:trPr>
        <w:tc>
          <w:tcPr>
            <w:tcW w:w="6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6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Dec. 31,</w:t>
            </w:r>
          </w:p>
        </w:tc>
      </w:tr>
      <w:tr>
        <w:trPr>
          <w:trHeight w:val="203"/>
        </w:trPr>
        <w:tc>
          <w:tcPr>
            <w:tcW w:w="6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r>
      <w:tr>
        <w:trPr>
          <w:trHeight w:val="203"/>
        </w:trPr>
        <w:tc>
          <w:tcPr>
            <w:tcW w:w="66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ASSETS</w:t>
            </w: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8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w:t>
            </w:r>
          </w:p>
        </w:tc>
        <w:tc>
          <w:tcPr>
            <w:tcW w:w="12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2,819</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568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Receivables less allowance for doubtful accounts (2026 - $326; 2025 - $335)</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9,037</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8,689</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5,274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5,032</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Other current assets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1,637</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19,335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19,513</w:t>
            </w:r>
          </w:p>
        </w:tc>
        <w:tc>
          <w:tcPr>
            <w:tcW w:w="100" w:type="dxa"/>
            <w:vAlign w:val="bottom"/>
          </w:tcPr>
          <w:p>
            <w:pPr>
              <w:spacing w:after="0"/>
              <w:rPr>
                <w:sz w:val="15"/>
                <w:szCs w:val="15"/>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Investments in Affiliated Companies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1,784</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1,783</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Fixed Assets less accumulated depreciation</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7,747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7,894</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Goodwill</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16,852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16,794</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Intangible Assets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4,901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4,988</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Other Assets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3,907</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220" w:type="dxa"/>
            <w:vAlign w:val="bottom"/>
            <w:gridSpan w:val="2"/>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54,526</w:t>
            </w:r>
          </w:p>
        </w:tc>
        <w:tc>
          <w:tcPr>
            <w:tcW w:w="180" w:type="dxa"/>
            <w:vAlign w:val="bottom"/>
          </w:tcPr>
          <w:p>
            <w:pPr>
              <w:spacing w:after="0"/>
              <w:rPr>
                <w:sz w:val="15"/>
                <w:szCs w:val="15"/>
                <w:color w:val="auto"/>
              </w:rPr>
            </w:pPr>
          </w:p>
        </w:tc>
        <w:tc>
          <w:tcPr>
            <w:tcW w:w="34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54,868</w:t>
            </w:r>
          </w:p>
        </w:tc>
        <w:tc>
          <w:tcPr>
            <w:tcW w:w="100" w:type="dxa"/>
            <w:vAlign w:val="bottom"/>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66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i w:val="1"/>
                <w:iCs w:val="1"/>
                <w:color w:val="auto"/>
              </w:rPr>
              <w:t>LIABILITIES AND EQUITY</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2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11,140</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11,490</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Estimated liability for taxes on income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878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Short-term borrowings and current portion of long-term debt</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1,938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Dividends payable</w:t>
            </w:r>
          </w:p>
        </w:tc>
        <w:tc>
          <w:tcPr>
            <w:tcW w:w="1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6"/>
                <w:szCs w:val="16"/>
                <w:color w:val="auto"/>
              </w:rPr>
            </w:pPr>
          </w:p>
        </w:tc>
      </w:tr>
      <w:tr>
        <w:trPr>
          <w:trHeight w:val="183"/>
        </w:trPr>
        <w:tc>
          <w:tcPr>
            <w:tcW w:w="66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14,413</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14,721</w:t>
            </w:r>
          </w:p>
        </w:tc>
        <w:tc>
          <w:tcPr>
            <w:tcW w:w="10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Long-term Debt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9,670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9,742</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Postretirement Benefits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474</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Deferred Taxes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704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Other Liabilities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1,912</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27,173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27,577</w:t>
            </w:r>
          </w:p>
        </w:tc>
        <w:tc>
          <w:tcPr>
            <w:tcW w:w="100" w:type="dxa"/>
            <w:vAlign w:val="bottom"/>
          </w:tcPr>
          <w:p>
            <w:pPr>
              <w:spacing w:after="0"/>
              <w:rPr>
                <w:sz w:val="15"/>
                <w:szCs w:val="15"/>
                <w:color w:val="auto"/>
              </w:rPr>
            </w:pPr>
          </w:p>
        </w:tc>
      </w:tr>
      <w:tr>
        <w:trPr>
          <w:trHeight w:val="183"/>
        </w:trPr>
        <w:tc>
          <w:tcPr>
            <w:tcW w:w="66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Equity</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16,198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16,354</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Treasury stock</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(3,650)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(3,576)</w:t>
            </w: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18,369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18,067</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Accumulated other comprehensive loss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(4,740)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(4,736)</w:t>
            </w:r>
          </w:p>
        </w:tc>
      </w:tr>
      <w:tr>
        <w:trPr>
          <w:trHeight w:val="183"/>
        </w:trPr>
        <w:tc>
          <w:tcPr>
            <w:tcW w:w="6660" w:type="dxa"/>
            <w:vAlign w:val="bottom"/>
            <w:tcBorders>
              <w:top w:val="single" w:sz="8" w:color="CFF0FC"/>
            </w:tcBorders>
          </w:tcPr>
          <w:p>
            <w:pPr>
              <w:ind w:left="140"/>
              <w:spacing w:after="0" w:line="183" w:lineRule="exact"/>
              <w:rPr>
                <w:sz w:val="20"/>
                <w:szCs w:val="20"/>
                <w:color w:val="auto"/>
              </w:rPr>
            </w:pPr>
            <w:r>
              <w:rPr>
                <w:rFonts w:ascii="Arial" w:cs="Arial" w:eastAsia="Arial" w:hAnsi="Arial"/>
                <w:sz w:val="16"/>
                <w:szCs w:val="16"/>
                <w:color w:val="auto"/>
              </w:rPr>
              <w:t>SLB stockholders’ equity</w:t>
            </w:r>
          </w:p>
        </w:tc>
        <w:tc>
          <w:tcPr>
            <w:tcW w:w="10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26,177</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26,109</w:t>
            </w:r>
          </w:p>
        </w:tc>
        <w:tc>
          <w:tcPr>
            <w:tcW w:w="100" w:type="dxa"/>
            <w:vAlign w:val="bottom"/>
            <w:tcBorders>
              <w:top w:val="single" w:sz="8" w:color="CFF0FC"/>
            </w:tcBorders>
          </w:tcPr>
          <w:p>
            <w:pPr>
              <w:spacing w:after="0"/>
              <w:rPr>
                <w:sz w:val="15"/>
                <w:szCs w:val="15"/>
                <w:color w:val="auto"/>
              </w:rPr>
            </w:pPr>
          </w:p>
        </w:tc>
      </w:tr>
      <w:tr>
        <w:trPr>
          <w:trHeight w:val="189"/>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Noncontrolling interests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1,176</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27,353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27,291</w:t>
            </w:r>
          </w:p>
        </w:tc>
        <w:tc>
          <w:tcPr>
            <w:tcW w:w="100" w:type="dxa"/>
            <w:vAlign w:val="bottom"/>
          </w:tcPr>
          <w:p>
            <w:pPr>
              <w:spacing w:after="0"/>
              <w:rPr>
                <w:sz w:val="15"/>
                <w:szCs w:val="15"/>
                <w:color w:val="auto"/>
              </w:rPr>
            </w:pPr>
          </w:p>
        </w:tc>
      </w:tr>
      <w:tr>
        <w:trPr>
          <w:trHeight w:val="203"/>
        </w:trPr>
        <w:tc>
          <w:tcPr>
            <w:tcW w:w="66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54,526</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54,868</w:t>
            </w:r>
          </w:p>
        </w:tc>
        <w:tc>
          <w:tcPr>
            <w:tcW w:w="100" w:type="dxa"/>
            <w:vAlign w:val="bottom"/>
            <w:shd w:val="clear" w:color="auto" w:fill="CFF0FC"/>
          </w:tcPr>
          <w:p>
            <w:pPr>
              <w:spacing w:after="0"/>
              <w:rPr>
                <w:sz w:val="17"/>
                <w:szCs w:val="17"/>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-4225290</wp:posOffset>
            </wp:positionV>
            <wp:extent cx="6858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-3479800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-2750820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-1268095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-530860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-281940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18"/>
        </w:trPr>
        <w:tc>
          <w:tcPr>
            <w:tcW w:w="7680" w:type="dxa"/>
            <w:vAlign w:val="bottom"/>
          </w:tcPr>
          <w:p>
            <w:pPr>
              <w:spacing w:after="0"/>
              <w:rPr>
                <w:sz w:val="24"/>
                <w:szCs w:val="24"/>
                <w:color w:val="auto"/>
              </w:rPr>
            </w:pPr>
          </w:p>
        </w:tc>
        <w:tc>
          <w:tcPr>
            <w:tcW w:w="3560" w:type="dxa"/>
            <w:vAlign w:val="bottom"/>
            <w:gridSpan w:val="7"/>
          </w:tcPr>
          <w:p>
            <w:pPr>
              <w:jc w:val="right"/>
              <w:ind w:right="660"/>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76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22"/>
              <w:spacing w:after="0" w:line="183" w:lineRule="exact"/>
              <w:rPr>
                <w:sz w:val="20"/>
                <w:szCs w:val="20"/>
                <w:color w:val="auto"/>
              </w:rPr>
            </w:pPr>
            <w:r>
              <w:rPr>
                <w:rFonts w:ascii="Arial" w:cs="Arial" w:eastAsia="Arial" w:hAnsi="Arial"/>
                <w:sz w:val="16"/>
                <w:szCs w:val="16"/>
                <w:b w:val="1"/>
                <w:bCs w:val="1"/>
                <w:color w:val="auto"/>
              </w:rPr>
              <w:t>2026</w:t>
            </w:r>
          </w:p>
        </w:tc>
        <w:tc>
          <w:tcPr>
            <w:tcW w:w="5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5"/>
                <w:szCs w:val="15"/>
                <w:color w:val="auto"/>
              </w:rPr>
            </w:pPr>
          </w:p>
        </w:tc>
      </w:tr>
      <w:tr>
        <w:trPr>
          <w:trHeight w:val="183"/>
        </w:trPr>
        <w:tc>
          <w:tcPr>
            <w:tcW w:w="768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902"/>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761</w:t>
            </w:r>
          </w:p>
        </w:tc>
        <w:tc>
          <w:tcPr>
            <w:tcW w:w="1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60"/>
              <w:spacing w:after="0" w:line="189"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685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Deferred taxes</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w:t>
            </w: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Earnings of equity method investments, less dividends received</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r>
      <w:tr>
        <w:trPr>
          <w:trHeight w:val="189"/>
        </w:trPr>
        <w:tc>
          <w:tcPr>
            <w:tcW w:w="7680" w:type="dxa"/>
            <w:vAlign w:val="bottom"/>
          </w:tcPr>
          <w:p>
            <w:pPr>
              <w:ind w:left="140"/>
              <w:spacing w:after="0" w:line="189" w:lineRule="exact"/>
              <w:rPr>
                <w:sz w:val="20"/>
                <w:szCs w:val="20"/>
                <w:color w:val="auto"/>
              </w:rPr>
            </w:pPr>
            <w:r>
              <w:rPr>
                <w:rFonts w:ascii="Arial" w:cs="Arial" w:eastAsia="Arial" w:hAnsi="Arial"/>
                <w:sz w:val="16"/>
                <w:szCs w:val="16"/>
                <w:color w:val="auto"/>
              </w:rPr>
              <w:t xml:space="preserve">Change in assets and liabilities: </w:t>
            </w:r>
            <w:r>
              <w:rPr>
                <w:rFonts w:ascii="Arial" w:cs="Arial" w:eastAsia="Arial" w:hAnsi="Arial"/>
                <w:sz w:val="21"/>
                <w:szCs w:val="21"/>
                <w:color w:val="auto"/>
                <w:vertAlign w:val="superscript"/>
              </w:rPr>
              <w:t>(2)</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Increase in receivables</w:t>
            </w:r>
          </w:p>
        </w:tc>
        <w:tc>
          <w:tcPr>
            <w:tcW w:w="10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(338)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(472)</w:t>
            </w: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Increase in inventories</w:t>
            </w:r>
          </w:p>
        </w:tc>
        <w:tc>
          <w:tcPr>
            <w:tcW w:w="10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(214)</w:t>
            </w: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(Increase) decrease in other current assets</w:t>
            </w:r>
          </w:p>
        </w:tc>
        <w:tc>
          <w:tcPr>
            <w:tcW w:w="10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Decrease (increase) in other assets</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Decrease in accounts payable and accrued liabilities</w:t>
            </w:r>
          </w:p>
        </w:tc>
        <w:tc>
          <w:tcPr>
            <w:tcW w:w="10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(383)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(275)</w:t>
            </w: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Decrease in estimated liability for taxes on income</w:t>
            </w:r>
          </w:p>
        </w:tc>
        <w:tc>
          <w:tcPr>
            <w:tcW w:w="10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r>
      <w:tr>
        <w:trPr>
          <w:trHeight w:val="189"/>
        </w:trPr>
        <w:tc>
          <w:tcPr>
            <w:tcW w:w="7680" w:type="dxa"/>
            <w:vAlign w:val="bottom"/>
            <w:tcBorders>
              <w:right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(Decrease) increase in other liabilities</w:t>
            </w:r>
          </w:p>
        </w:tc>
        <w:tc>
          <w:tcPr>
            <w:tcW w:w="10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36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6"/>
                <w:szCs w:val="16"/>
                <w:color w:val="auto"/>
              </w:rPr>
            </w:pPr>
          </w:p>
        </w:tc>
      </w:tr>
      <w:tr>
        <w:trPr>
          <w:trHeight w:val="183"/>
        </w:trPr>
        <w:tc>
          <w:tcPr>
            <w:tcW w:w="7680" w:type="dxa"/>
            <w:vAlign w:val="bottom"/>
            <w:tcBorders>
              <w:bottom w:val="single" w:sz="8" w:color="CFF0FC"/>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487</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680" w:type="dxa"/>
            <w:vAlign w:val="bottom"/>
          </w:tcPr>
          <w:p>
            <w:pPr>
              <w:spacing w:after="0" w:line="183" w:lineRule="exact"/>
              <w:rPr>
                <w:sz w:val="20"/>
                <w:szCs w:val="20"/>
                <w:color w:val="auto"/>
              </w:rPr>
            </w:pPr>
            <w:r>
              <w:rPr>
                <w:rFonts w:ascii="Arial" w:cs="Arial" w:eastAsia="Arial" w:hAnsi="Arial"/>
                <w:sz w:val="16"/>
                <w:szCs w:val="16"/>
                <w:color w:val="auto"/>
              </w:rPr>
              <w:t>Cash flows from investing activities:</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Capital expenditures</w:t>
            </w:r>
          </w:p>
        </w:tc>
        <w:tc>
          <w:tcPr>
            <w:tcW w:w="10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(343)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(398)</w:t>
            </w: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APS investments</w:t>
            </w:r>
          </w:p>
        </w:tc>
        <w:tc>
          <w:tcPr>
            <w:tcW w:w="10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Exploration data costs capitalized</w:t>
            </w:r>
          </w:p>
        </w:tc>
        <w:tc>
          <w:tcPr>
            <w:tcW w:w="10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(64)</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Business acquisitions and investments, net of cash acquired</w:t>
            </w:r>
          </w:p>
        </w:tc>
        <w:tc>
          <w:tcPr>
            <w:tcW w:w="10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Sales of short-term investments, net</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600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r>
      <w:tr>
        <w:trPr>
          <w:trHeight w:val="20"/>
        </w:trPr>
        <w:tc>
          <w:tcPr>
            <w:tcW w:w="7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8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33</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(432)</w:t>
            </w:r>
          </w:p>
        </w:tc>
      </w:tr>
      <w:tr>
        <w:trPr>
          <w:trHeight w:val="183"/>
        </w:trPr>
        <w:tc>
          <w:tcPr>
            <w:tcW w:w="76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Cash flows from financing activities:</w:t>
            </w:r>
          </w:p>
        </w:tc>
        <w:tc>
          <w:tcPr>
            <w:tcW w:w="10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Stock repurchase program</w:t>
            </w:r>
          </w:p>
        </w:tc>
        <w:tc>
          <w:tcPr>
            <w:tcW w:w="10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(451)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(2,300)</w:t>
            </w: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10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(386)</w:t>
            </w: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Proceeds from employee stock purchase plan</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Taxes paid on net settled stock-based compensation awards</w:t>
            </w:r>
          </w:p>
        </w:tc>
        <w:tc>
          <w:tcPr>
            <w:tcW w:w="10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w:t>
            </w: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Proceeds from issuance of long-term debt</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782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1,805</w:t>
            </w:r>
          </w:p>
        </w:tc>
        <w:tc>
          <w:tcPr>
            <w:tcW w:w="100" w:type="dxa"/>
            <w:vAlign w:val="bottom"/>
          </w:tcPr>
          <w:p>
            <w:pPr>
              <w:spacing w:after="0"/>
              <w:rPr>
                <w:sz w:val="16"/>
                <w:szCs w:val="16"/>
                <w:color w:val="auto"/>
              </w:rPr>
            </w:pP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Repayment of long-term debt</w:t>
            </w:r>
          </w:p>
        </w:tc>
        <w:tc>
          <w:tcPr>
            <w:tcW w:w="10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(732)</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7680" w:type="dxa"/>
            <w:vAlign w:val="bottom"/>
          </w:tcPr>
          <w:p>
            <w:pPr>
              <w:ind w:left="220"/>
              <w:spacing w:after="0"/>
              <w:rPr>
                <w:sz w:val="20"/>
                <w:szCs w:val="20"/>
                <w:color w:val="auto"/>
              </w:rPr>
            </w:pPr>
            <w:r>
              <w:rPr>
                <w:rFonts w:ascii="Arial" w:cs="Arial" w:eastAsia="Arial" w:hAnsi="Arial"/>
                <w:sz w:val="16"/>
                <w:szCs w:val="16"/>
                <w:color w:val="auto"/>
              </w:rPr>
              <w:t>Net decrease in short-term borrowings</w:t>
            </w:r>
          </w:p>
        </w:tc>
        <w:tc>
          <w:tcPr>
            <w:tcW w:w="10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r>
      <w:tr>
        <w:trPr>
          <w:trHeight w:val="189"/>
        </w:trPr>
        <w:tc>
          <w:tcPr>
            <w:tcW w:w="76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r>
      <w:tr>
        <w:trPr>
          <w:trHeight w:val="20"/>
        </w:trPr>
        <w:tc>
          <w:tcPr>
            <w:tcW w:w="7680" w:type="dxa"/>
            <w:vAlign w:val="bottom"/>
            <w:tcBorders>
              <w:right w:val="single" w:sz="8" w:color="CFF0FC"/>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680" w:type="dxa"/>
            <w:vAlign w:val="bottom"/>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1060" w:type="dxa"/>
            <w:vAlign w:val="bottom"/>
          </w:tcPr>
          <w:p>
            <w:pPr>
              <w:spacing w:after="0"/>
              <w:rPr>
                <w:sz w:val="15"/>
                <w:szCs w:val="15"/>
                <w:color w:val="auto"/>
              </w:rPr>
            </w:pPr>
          </w:p>
        </w:tc>
        <w:tc>
          <w:tcPr>
            <w:tcW w:w="70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(734)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(878)</w:t>
            </w:r>
          </w:p>
        </w:tc>
      </w:tr>
      <w:tr>
        <w:trPr>
          <w:trHeight w:val="20"/>
        </w:trPr>
        <w:tc>
          <w:tcPr>
            <w:tcW w:w="7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8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decrease in cash before translation effect</w:t>
            </w:r>
          </w:p>
        </w:tc>
        <w:tc>
          <w:tcPr>
            <w:tcW w:w="10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(214)</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(650)</w:t>
            </w:r>
          </w:p>
        </w:tc>
      </w:tr>
      <w:tr>
        <w:trPr>
          <w:trHeight w:val="189"/>
        </w:trPr>
        <w:tc>
          <w:tcPr>
            <w:tcW w:w="768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10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6"/>
                <w:szCs w:val="16"/>
                <w:color w:val="auto"/>
              </w:rPr>
            </w:pPr>
          </w:p>
        </w:tc>
      </w:tr>
      <w:tr>
        <w:trPr>
          <w:trHeight w:val="189"/>
        </w:trPr>
        <w:tc>
          <w:tcPr>
            <w:tcW w:w="7680" w:type="dxa"/>
            <w:vAlign w:val="bottom"/>
            <w:tcBorders>
              <w:bottom w:val="single" w:sz="8" w:color="CFF0FC"/>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10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3,036</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680" w:type="dxa"/>
            <w:vAlign w:val="bottom"/>
          </w:tcPr>
          <w:p>
            <w:pPr>
              <w:spacing w:after="0" w:line="169" w:lineRule="exact"/>
              <w:rPr>
                <w:sz w:val="20"/>
                <w:szCs w:val="20"/>
                <w:color w:val="auto"/>
              </w:rPr>
            </w:pPr>
            <w:r>
              <w:rPr>
                <w:rFonts w:ascii="Arial" w:cs="Arial" w:eastAsia="Arial" w:hAnsi="Arial"/>
                <w:sz w:val="16"/>
                <w:szCs w:val="16"/>
                <w:color w:val="auto"/>
              </w:rPr>
              <w:t>Cash, end of period</w:t>
            </w:r>
          </w:p>
        </w:tc>
        <w:tc>
          <w:tcPr>
            <w:tcW w:w="1060" w:type="dxa"/>
            <w:vAlign w:val="bottom"/>
          </w:tcPr>
          <w:p>
            <w:pPr>
              <w:jc w:val="right"/>
              <w:ind w:right="902"/>
              <w:spacing w:after="0" w:line="169" w:lineRule="exact"/>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2,819</w:t>
            </w:r>
          </w:p>
        </w:tc>
        <w:tc>
          <w:tcPr>
            <w:tcW w:w="180" w:type="dxa"/>
            <w:vAlign w:val="bottom"/>
          </w:tcPr>
          <w:p>
            <w:pPr>
              <w:spacing w:after="0"/>
              <w:rPr>
                <w:sz w:val="15"/>
                <w:szCs w:val="15"/>
                <w:color w:val="auto"/>
              </w:rPr>
            </w:pPr>
          </w:p>
        </w:tc>
        <w:tc>
          <w:tcPr>
            <w:tcW w:w="34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2,936</w:t>
            </w:r>
          </w:p>
        </w:tc>
        <w:tc>
          <w:tcPr>
            <w:tcW w:w="10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-2836545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-1859280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-650875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Asset Performance Solutions ("APS") investments.</w:t>
      </w:r>
    </w:p>
    <w:p>
      <w:pPr>
        <w:spacing w:after="0" w:line="70" w:lineRule="exact"/>
        <w:rPr>
          <w:rFonts w:ascii="Arial" w:cs="Arial" w:eastAsia="Arial" w:hAnsi="Arial"/>
          <w:sz w:val="19"/>
          <w:szCs w:val="19"/>
          <w:color w:val="auto"/>
          <w:vertAlign w:val="superscript"/>
        </w:rPr>
      </w:pPr>
    </w:p>
    <w:p>
      <w:pPr>
        <w:ind w:left="380" w:hanging="372"/>
        <w:spacing w:after="0" w:line="234" w:lineRule="auto"/>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 and divestitures.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11"/>
          </w:tcPr>
          <w:p>
            <w:pPr>
              <w:jc w:val="right"/>
              <w:ind w:right="48"/>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January 1, 2026 – March 31, 2026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7"/>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2026</w:t>
            </w:r>
          </w:p>
        </w:tc>
        <w:tc>
          <w:tcPr>
            <w:tcW w:w="300" w:type="dxa"/>
            <w:vAlign w:val="bottom"/>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16,354</w:t>
            </w: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(3,576)</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18,067</w:t>
            </w:r>
          </w:p>
        </w:tc>
        <w:tc>
          <w:tcPr>
            <w:tcW w:w="10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(4,736)</w:t>
            </w:r>
          </w:p>
        </w:tc>
        <w:tc>
          <w:tcPr>
            <w:tcW w:w="2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1,182</w:t>
            </w:r>
          </w:p>
        </w:tc>
        <w:tc>
          <w:tcPr>
            <w:tcW w:w="6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27,291</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(197)</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138</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($0.285 per share)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paid to noncontrolling interests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March 31, 2026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16,198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(3,650)</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18,369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(4,740)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1,176</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27,353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vMerge w:val="restart"/>
          </w:tcPr>
          <w:p>
            <w:pPr>
              <w:ind w:left="4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3"/>
          </w:tcPr>
          <w:p>
            <w:pPr>
              <w:jc w:val="center"/>
              <w:ind w:right="320"/>
              <w:spacing w:after="0" w:line="158" w:lineRule="exact"/>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spacing w:after="0" w:line="158" w:lineRule="exact"/>
              <w:rPr>
                <w:sz w:val="20"/>
                <w:szCs w:val="20"/>
                <w:color w:val="auto"/>
              </w:rPr>
            </w:pPr>
            <w:r>
              <w:rPr>
                <w:rFonts w:ascii="Arial" w:cs="Arial" w:eastAsia="Arial" w:hAnsi="Arial"/>
                <w:sz w:val="14"/>
                <w:szCs w:val="14"/>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January 1, 2025 – March 31, 2025</w:t>
            </w: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Issued</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In Treasury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68"/>
              <w:spacing w:after="0" w:line="155" w:lineRule="exact"/>
              <w:rPr>
                <w:sz w:val="20"/>
                <w:szCs w:val="20"/>
                <w:color w:val="auto"/>
              </w:rPr>
            </w:pPr>
            <w:r>
              <w:rPr>
                <w:rFonts w:ascii="Arial" w:cs="Arial" w:eastAsia="Arial" w:hAnsi="Arial"/>
                <w:sz w:val="14"/>
                <w:szCs w:val="14"/>
                <w:color w:val="auto"/>
              </w:rPr>
              <w:t>Loss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2025</w:t>
            </w:r>
          </w:p>
        </w:tc>
        <w:tc>
          <w:tcPr>
            <w:tcW w:w="300" w:type="dxa"/>
            <w:vAlign w:val="bottom"/>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11,458</w:t>
            </w: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(1,773)</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16,395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(4,950)</w:t>
            </w:r>
          </w:p>
        </w:tc>
        <w:tc>
          <w:tcPr>
            <w:tcW w:w="8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1,220</w:t>
            </w:r>
          </w:p>
        </w:tc>
        <w:tc>
          <w:tcPr>
            <w:tcW w:w="6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22,350</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164</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(1,840)</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Advance payment for accelerated share repurchases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91</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declared ($0.285 per share)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5"/>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March 31, 2025</w:t>
            </w:r>
          </w:p>
        </w:tc>
        <w:tc>
          <w:tcPr>
            <w:tcW w:w="200" w:type="dxa"/>
            <w:vAlign w:val="bottom"/>
            <w:gridSpan w:val="3"/>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10,827</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(3,292)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16,804</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(4,824)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1,233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20,748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-2262505</wp:posOffset>
            </wp:positionV>
            <wp:extent cx="946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-2262505</wp:posOffset>
            </wp:positionV>
            <wp:extent cx="946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-2262505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-2262505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-2262505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-136525</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-136525</wp:posOffset>
            </wp:positionV>
            <wp:extent cx="85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-136525</wp:posOffset>
            </wp:positionV>
            <wp:extent cx="85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-136525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-136525</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SHARES OF COMMON STOCK</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18"/>
        </w:trPr>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Shares</w:t>
            </w:r>
          </w:p>
        </w:tc>
      </w:tr>
      <w:tr>
        <w:trPr>
          <w:trHeight w:val="203"/>
        </w:trPr>
        <w:tc>
          <w:tcPr>
            <w:tcW w:w="6520" w:type="dxa"/>
            <w:vAlign w:val="bottom"/>
          </w:tcPr>
          <w:p>
            <w:pPr>
              <w:spacing w:after="0"/>
              <w:rPr>
                <w:sz w:val="17"/>
                <w:szCs w:val="17"/>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98"/>
              </w:rPr>
              <w:t>Issued</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 Treasury</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7"/>
                <w:szCs w:val="17"/>
                <w:color w:val="auto"/>
              </w:rPr>
            </w:pPr>
          </w:p>
        </w:tc>
      </w:tr>
      <w:tr>
        <w:trPr>
          <w:trHeight w:val="183"/>
        </w:trPr>
        <w:tc>
          <w:tcPr>
            <w:tcW w:w="74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Balance, January 1, 2026</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1,580</w:t>
            </w:r>
          </w:p>
        </w:tc>
        <w:tc>
          <w:tcPr>
            <w:tcW w:w="1820" w:type="dxa"/>
            <w:vAlign w:val="bottom"/>
            <w:gridSpan w:val="3"/>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(85)</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1,495</w:t>
            </w:r>
          </w:p>
        </w:tc>
        <w:tc>
          <w:tcPr>
            <w:tcW w:w="120" w:type="dxa"/>
            <w:vAlign w:val="bottom"/>
            <w:shd w:val="clear" w:color="auto" w:fill="CFF0FC"/>
          </w:tcPr>
          <w:p>
            <w:pPr>
              <w:spacing w:after="0"/>
              <w:rPr>
                <w:sz w:val="15"/>
                <w:szCs w:val="15"/>
                <w:color w:val="auto"/>
              </w:rPr>
            </w:pPr>
          </w:p>
        </w:tc>
      </w:tr>
      <w:tr>
        <w:trPr>
          <w:trHeight w:val="189"/>
        </w:trPr>
        <w:tc>
          <w:tcPr>
            <w:tcW w:w="7480" w:type="dxa"/>
            <w:vAlign w:val="bottom"/>
            <w:gridSpan w:val="2"/>
          </w:tcPr>
          <w:p>
            <w:pPr>
              <w:spacing w:after="0"/>
              <w:rPr>
                <w:sz w:val="20"/>
                <w:szCs w:val="20"/>
                <w:color w:val="auto"/>
              </w:rPr>
            </w:pPr>
            <w:r>
              <w:rPr>
                <w:rFonts w:ascii="Arial" w:cs="Arial" w:eastAsia="Arial" w:hAnsi="Arial"/>
                <w:sz w:val="16"/>
                <w:szCs w:val="16"/>
                <w:color w:val="auto"/>
              </w:rPr>
              <w:t>Shares sold to optionees, less shares exchanged</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r>
      <w:tr>
        <w:trPr>
          <w:trHeight w:val="189"/>
        </w:trPr>
        <w:tc>
          <w:tcPr>
            <w:tcW w:w="7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restricted stock</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r>
      <w:tr>
        <w:trPr>
          <w:trHeight w:val="189"/>
        </w:trPr>
        <w:tc>
          <w:tcPr>
            <w:tcW w:w="7480" w:type="dxa"/>
            <w:vAlign w:val="bottom"/>
            <w:gridSpan w:val="2"/>
          </w:tcPr>
          <w:p>
            <w:pPr>
              <w:spacing w:after="0"/>
              <w:rPr>
                <w:sz w:val="20"/>
                <w:szCs w:val="20"/>
                <w:color w:val="auto"/>
              </w:rPr>
            </w:pPr>
            <w:r>
              <w:rPr>
                <w:rFonts w:ascii="Arial" w:cs="Arial" w:eastAsia="Arial" w:hAnsi="Arial"/>
                <w:sz w:val="16"/>
                <w:szCs w:val="16"/>
                <w:color w:val="auto"/>
              </w:rPr>
              <w:t>Shares issued under employee stock purchase plan</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r>
      <w:tr>
        <w:trPr>
          <w:trHeight w:val="18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Stock repurchase program</w:t>
            </w: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r>
      <w:tr>
        <w:trPr>
          <w:trHeight w:val="182"/>
        </w:trPr>
        <w:tc>
          <w:tcPr>
            <w:tcW w:w="6520" w:type="dxa"/>
            <w:vAlign w:val="bottom"/>
          </w:tcPr>
          <w:p>
            <w:pPr>
              <w:spacing w:after="0" w:line="169" w:lineRule="exact"/>
              <w:rPr>
                <w:sz w:val="20"/>
                <w:szCs w:val="20"/>
                <w:color w:val="auto"/>
              </w:rPr>
            </w:pPr>
            <w:r>
              <w:rPr>
                <w:rFonts w:ascii="Arial" w:cs="Arial" w:eastAsia="Arial" w:hAnsi="Arial"/>
                <w:sz w:val="16"/>
                <w:szCs w:val="16"/>
                <w:color w:val="auto"/>
              </w:rPr>
              <w:t>Balance, March 31, 2026</w:t>
            </w:r>
          </w:p>
        </w:tc>
        <w:tc>
          <w:tcPr>
            <w:tcW w:w="9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9"/>
              </w:rPr>
              <w:t>1,580</w:t>
            </w:r>
          </w:p>
        </w:tc>
        <w:tc>
          <w:tcPr>
            <w:tcW w:w="220" w:type="dxa"/>
            <w:vAlign w:val="bottom"/>
          </w:tcPr>
          <w:p>
            <w:pPr>
              <w:spacing w:after="0"/>
              <w:rPr>
                <w:sz w:val="15"/>
                <w:szCs w:val="15"/>
                <w:color w:val="auto"/>
              </w:rPr>
            </w:pP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(85)</w:t>
            </w:r>
          </w:p>
        </w:tc>
        <w:tc>
          <w:tcPr>
            <w:tcW w:w="22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1,495</w:t>
            </w:r>
          </w:p>
        </w:tc>
        <w:tc>
          <w:tcPr>
            <w:tcW w:w="120" w:type="dxa"/>
            <w:vAlign w:val="bottom"/>
          </w:tcPr>
          <w:p>
            <w:pPr>
              <w:spacing w:after="0"/>
              <w:rPr>
                <w:sz w:val="15"/>
                <w:szCs w:val="15"/>
                <w:color w:val="auto"/>
              </w:rPr>
            </w:pPr>
          </w:p>
        </w:tc>
      </w:tr>
      <w:tr>
        <w:trPr>
          <w:trHeight w:val="20"/>
        </w:trPr>
        <w:tc>
          <w:tcPr>
            <w:tcW w:w="6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ind w:left="430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348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accompanying unaudited consolidated financial statements of SLB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2026 are not necessarily indicative of the results that may be expected for the full year ending December 31, 2026. The December 31, 2025 balance sheet information has been derived from the SLB 2025 audited financial statements. For further information, refer to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and notes thereto included in the SLB Annual Report on Form 10-K for the year ended December 31, 2025, filed with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Exchange Commission on January 23, 2026.</w:t>
      </w:r>
    </w:p>
    <w:p>
      <w:pPr>
        <w:spacing w:after="0" w:line="185" w:lineRule="exact"/>
        <w:rPr>
          <w:sz w:val="20"/>
          <w:szCs w:val="20"/>
          <w:color w:val="auto"/>
        </w:rPr>
      </w:pPr>
    </w:p>
    <w:p>
      <w:pPr>
        <w:ind w:right="9380" w:firstLine="8"/>
        <w:spacing w:after="0" w:line="387"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2026</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During the first quarter of 2026, SLB recorded $41 million of charges, primarily in connection with the July 2025 acquisition of ChampionX Corporation ("ChampionX") (see Note 4 - </w:t>
      </w:r>
      <w:r>
        <w:rPr>
          <w:rFonts w:ascii="Arial" w:cs="Arial" w:eastAsia="Arial" w:hAnsi="Arial"/>
          <w:sz w:val="16"/>
          <w:szCs w:val="16"/>
          <w:i w:val="1"/>
          <w:iCs w:val="1"/>
          <w:color w:val="auto"/>
        </w:rPr>
        <w:t>Acquisition</w:t>
      </w:r>
      <w:r>
        <w:rPr>
          <w:rFonts w:ascii="Arial" w:cs="Arial" w:eastAsia="Arial" w:hAnsi="Arial"/>
          <w:sz w:val="16"/>
          <w:szCs w:val="16"/>
          <w:color w:val="auto"/>
        </w:rPr>
        <w:t xml:space="preserve">).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3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37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Tax Benefit</w:t>
            </w:r>
          </w:p>
        </w:tc>
        <w:tc>
          <w:tcPr>
            <w:tcW w:w="1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7"/>
                <w:szCs w:val="17"/>
                <w:color w:val="auto"/>
              </w:rPr>
            </w:pPr>
          </w:p>
        </w:tc>
      </w:tr>
      <w:tr>
        <w:trPr>
          <w:trHeight w:val="203"/>
        </w:trPr>
        <w:tc>
          <w:tcPr>
            <w:tcW w:w="3760" w:type="dxa"/>
            <w:vAlign w:val="bottom"/>
            <w:shd w:val="clear" w:color="auto" w:fill="CFF0FC"/>
          </w:tcPr>
          <w:p>
            <w:pPr>
              <w:ind w:left="120"/>
              <w:spacing w:after="0" w:line="169" w:lineRule="exact"/>
              <w:rPr>
                <w:sz w:val="20"/>
                <w:szCs w:val="20"/>
                <w:color w:val="auto"/>
              </w:rPr>
            </w:pPr>
            <w:r>
              <w:rPr>
                <w:rFonts w:ascii="Arial" w:cs="Arial" w:eastAsia="Arial" w:hAnsi="Arial"/>
                <w:sz w:val="16"/>
                <w:szCs w:val="16"/>
                <w:color w:val="auto"/>
              </w:rPr>
              <w:t>Merger and integration</w:t>
            </w:r>
          </w:p>
        </w:tc>
        <w:tc>
          <w:tcPr>
            <w:tcW w:w="2540" w:type="dxa"/>
            <w:vAlign w:val="bottom"/>
            <w:gridSpan w:val="2"/>
            <w:shd w:val="clear" w:color="auto" w:fill="CFF0FC"/>
          </w:tcPr>
          <w:p>
            <w:pPr>
              <w:jc w:val="right"/>
              <w:ind w:right="359"/>
              <w:spacing w:after="0" w:line="169"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41</w:t>
            </w:r>
          </w:p>
        </w:tc>
        <w:tc>
          <w:tcPr>
            <w:tcW w:w="1260" w:type="dxa"/>
            <w:vAlign w:val="bottom"/>
            <w:gridSpan w:val="2"/>
            <w:shd w:val="clear" w:color="auto" w:fill="CFF0FC"/>
          </w:tcPr>
          <w:p>
            <w:pPr>
              <w:jc w:val="right"/>
              <w:ind w:right="839"/>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8</w:t>
            </w:r>
          </w:p>
        </w:tc>
        <w:tc>
          <w:tcPr>
            <w:tcW w:w="420" w:type="dxa"/>
            <w:vAlign w:val="bottom"/>
            <w:gridSpan w:val="2"/>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w:t>
            </w:r>
          </w:p>
        </w:tc>
        <w:tc>
          <w:tcPr>
            <w:tcW w:w="50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17"/>
                <w:szCs w:val="17"/>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first quarter of 2025, SLB recorded a $158 million charge relating to workforce reductions to realign and optimize its support and service delivery structure. This charge is classified in </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During the first quarter of 2025, SLB recorded $48 million of charges in connection with the July 2025 acquisition of ChampionX and the October 2023 acquisition of the Aker Solutions subsea business.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3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3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7"/>
                <w:szCs w:val="17"/>
                <w:color w:val="auto"/>
              </w:rPr>
            </w:pPr>
          </w:p>
        </w:tc>
      </w:tr>
      <w:tr>
        <w:trPr>
          <w:trHeight w:val="183"/>
        </w:trPr>
        <w:tc>
          <w:tcPr>
            <w:tcW w:w="364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Workforce reductions</w:t>
            </w:r>
          </w:p>
        </w:tc>
        <w:tc>
          <w:tcPr>
            <w:tcW w:w="2600" w:type="dxa"/>
            <w:vAlign w:val="bottom"/>
            <w:gridSpan w:val="2"/>
            <w:shd w:val="clear" w:color="auto" w:fill="CFF0FC"/>
          </w:tcPr>
          <w:p>
            <w:pPr>
              <w:jc w:val="right"/>
              <w:ind w:right="302"/>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158</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w:t>
            </w:r>
          </w:p>
        </w:tc>
        <w:tc>
          <w:tcPr>
            <w:tcW w:w="420" w:type="dxa"/>
            <w:vAlign w:val="bottom"/>
            <w:gridSpan w:val="2"/>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104"/>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w:t>
            </w:r>
          </w:p>
        </w:tc>
        <w:tc>
          <w:tcPr>
            <w:tcW w:w="120" w:type="dxa"/>
            <w:vAlign w:val="bottom"/>
            <w:shd w:val="clear" w:color="auto" w:fill="CFF0FC"/>
          </w:tcPr>
          <w:p>
            <w:pPr>
              <w:spacing w:after="0"/>
              <w:rPr>
                <w:sz w:val="15"/>
                <w:szCs w:val="15"/>
                <w:color w:val="auto"/>
              </w:rPr>
            </w:pPr>
          </w:p>
        </w:tc>
      </w:tr>
      <w:tr>
        <w:trPr>
          <w:trHeight w:val="189"/>
        </w:trPr>
        <w:tc>
          <w:tcPr>
            <w:tcW w:w="3640" w:type="dxa"/>
            <w:vAlign w:val="bottom"/>
            <w:tcBorders>
              <w:bottom w:val="single" w:sz="8" w:color="CFF0FC"/>
            </w:tcBorders>
          </w:tcPr>
          <w:p>
            <w:pPr>
              <w:ind w:left="60"/>
              <w:spacing w:after="0"/>
              <w:rPr>
                <w:sz w:val="20"/>
                <w:szCs w:val="20"/>
                <w:color w:val="auto"/>
              </w:rPr>
            </w:pPr>
            <w:r>
              <w:rPr>
                <w:rFonts w:ascii="Arial" w:cs="Arial" w:eastAsia="Arial" w:hAnsi="Arial"/>
                <w:sz w:val="16"/>
                <w:szCs w:val="16"/>
                <w:color w:val="auto"/>
              </w:rPr>
              <w:t>Merger and integration</w:t>
            </w:r>
          </w:p>
        </w:tc>
        <w:tc>
          <w:tcPr>
            <w:tcW w:w="214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FF0FC"/>
            </w:tcBorders>
          </w:tcPr>
          <w:p>
            <w:pPr>
              <w:spacing w:after="0"/>
              <w:rPr>
                <w:sz w:val="16"/>
                <w:szCs w:val="16"/>
                <w:color w:val="auto"/>
              </w:rPr>
            </w:pPr>
          </w:p>
        </w:tc>
      </w:tr>
      <w:tr>
        <w:trPr>
          <w:trHeight w:val="223"/>
        </w:trPr>
        <w:tc>
          <w:tcPr>
            <w:tcW w:w="3640" w:type="dxa"/>
            <w:vAlign w:val="bottom"/>
            <w:tcBorders>
              <w:bottom w:val="single" w:sz="8" w:color="CFF0FC"/>
            </w:tcBorders>
            <w:shd w:val="clear" w:color="auto" w:fill="CFF0FC"/>
          </w:tcPr>
          <w:p>
            <w:pPr>
              <w:spacing w:after="0"/>
              <w:rPr>
                <w:sz w:val="19"/>
                <w:szCs w:val="19"/>
                <w:color w:val="auto"/>
              </w:rPr>
            </w:pPr>
          </w:p>
        </w:tc>
        <w:tc>
          <w:tcPr>
            <w:tcW w:w="2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829"/>
        </w:trPr>
        <w:tc>
          <w:tcPr>
            <w:tcW w:w="3640" w:type="dxa"/>
            <w:vAlign w:val="bottom"/>
          </w:tcPr>
          <w:p>
            <w:pPr>
              <w:spacing w:after="0"/>
              <w:rPr>
                <w:sz w:val="24"/>
                <w:szCs w:val="24"/>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1"/>
        </w:trPr>
        <w:tc>
          <w:tcPr>
            <w:tcW w:w="36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-1053465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-1036320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-1182370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-1053465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-1036320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-1182370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-1053465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-1036320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-1182370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p>
      <w:pPr>
        <w:ind w:left="280" w:hanging="272"/>
        <w:spacing w:after="0"/>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of SLB to diluted earnings per share of SLB:</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73"/>
        </w:trPr>
        <w:tc>
          <w:tcPr>
            <w:tcW w:w="9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2025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9"/>
              <w:spacing w:after="0" w:line="168" w:lineRule="exact"/>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4"/>
                <w:szCs w:val="14"/>
                <w:color w:val="auto"/>
              </w:rPr>
            </w:pPr>
          </w:p>
        </w:tc>
        <w:tc>
          <w:tcPr>
            <w:tcW w:w="118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4"/>
                <w:szCs w:val="14"/>
                <w:color w:val="auto"/>
              </w:rPr>
            </w:pPr>
          </w:p>
        </w:tc>
        <w:tc>
          <w:tcPr>
            <w:tcW w:w="1160" w:type="dxa"/>
            <w:vAlign w:val="bottom"/>
          </w:tcPr>
          <w:p>
            <w:pPr>
              <w:jc w:val="center"/>
              <w:spacing w:after="0" w:line="168"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60"/>
              <w:spacing w:after="0"/>
              <w:rPr>
                <w:sz w:val="20"/>
                <w:szCs w:val="20"/>
                <w:color w:val="auto"/>
              </w:rPr>
            </w:pPr>
            <w:r>
              <w:rPr>
                <w:rFonts w:ascii="Arial" w:cs="Arial" w:eastAsia="Arial" w:hAnsi="Arial"/>
                <w:sz w:val="16"/>
                <w:szCs w:val="16"/>
                <w:color w:val="auto"/>
              </w:rPr>
              <w:t>Attributable</w:t>
            </w: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color w:val="auto"/>
              </w:rPr>
              <w:t>Earnings per</w:t>
            </w:r>
          </w:p>
        </w:tc>
      </w:tr>
      <w:tr>
        <w:trPr>
          <w:trHeight w:val="203"/>
        </w:trPr>
        <w:tc>
          <w:tcPr>
            <w:tcW w:w="9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40"/>
              <w:spacing w:after="0"/>
              <w:rPr>
                <w:sz w:val="20"/>
                <w:szCs w:val="20"/>
                <w:color w:val="auto"/>
              </w:rPr>
            </w:pPr>
            <w:r>
              <w:rPr>
                <w:rFonts w:ascii="Arial" w:cs="Arial" w:eastAsia="Arial" w:hAnsi="Arial"/>
                <w:sz w:val="16"/>
                <w:szCs w:val="16"/>
                <w:color w:val="auto"/>
                <w:w w:val="99"/>
              </w:rPr>
              <w:t>to SLB</w:t>
            </w: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Share</w:t>
            </w:r>
          </w:p>
        </w:tc>
      </w:tr>
      <w:tr>
        <w:trPr>
          <w:trHeight w:val="163"/>
        </w:trPr>
        <w:tc>
          <w:tcPr>
            <w:tcW w:w="3320" w:type="dxa"/>
            <w:vAlign w:val="bottom"/>
            <w:gridSpan w:val="2"/>
            <w:shd w:val="clear" w:color="auto" w:fill="CFF0FC"/>
          </w:tcPr>
          <w:p>
            <w:pPr>
              <w:spacing w:after="0" w:line="155" w:lineRule="exact"/>
              <w:rPr>
                <w:sz w:val="20"/>
                <w:szCs w:val="20"/>
                <w:color w:val="auto"/>
              </w:rPr>
            </w:pPr>
            <w:r>
              <w:rPr>
                <w:rFonts w:ascii="Arial" w:cs="Arial" w:eastAsia="Arial" w:hAnsi="Arial"/>
                <w:sz w:val="16"/>
                <w:szCs w:val="16"/>
                <w:b w:val="1"/>
                <w:bCs w:val="1"/>
                <w:color w:val="auto"/>
              </w:rPr>
              <w:t>First Quarter</w:t>
            </w:r>
          </w:p>
        </w:tc>
        <w:tc>
          <w:tcPr>
            <w:tcW w:w="1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98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rPr>
              <w:t>Basic</w:t>
            </w:r>
          </w:p>
        </w:tc>
        <w:tc>
          <w:tcPr>
            <w:tcW w:w="23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752</w:t>
            </w:r>
          </w:p>
        </w:tc>
        <w:tc>
          <w:tcPr>
            <w:tcW w:w="144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1,499</w:t>
            </w:r>
          </w:p>
        </w:tc>
        <w:tc>
          <w:tcPr>
            <w:tcW w:w="420" w:type="dxa"/>
            <w:vAlign w:val="bottom"/>
            <w:tcBorders>
              <w:top w:val="single" w:sz="8" w:color="CFF0FC"/>
            </w:tcBorders>
            <w:gridSpan w:val="2"/>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0.50</w:t>
            </w:r>
          </w:p>
        </w:tc>
        <w:tc>
          <w:tcPr>
            <w:tcW w:w="320" w:type="dxa"/>
            <w:vAlign w:val="bottom"/>
            <w:tcBorders>
              <w:top w:val="single" w:sz="8" w:color="CFF0FC"/>
            </w:tcBorders>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797</w:t>
            </w:r>
          </w:p>
        </w:tc>
        <w:tc>
          <w:tcPr>
            <w:tcW w:w="136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color w:val="auto"/>
              </w:rPr>
              <w:t>1,366</w:t>
            </w:r>
          </w:p>
        </w:tc>
        <w:tc>
          <w:tcPr>
            <w:tcW w:w="440" w:type="dxa"/>
            <w:vAlign w:val="bottom"/>
            <w:tcBorders>
              <w:top w:val="single" w:sz="8" w:color="CFF0FC"/>
            </w:tcBorders>
            <w:gridSpan w:val="2"/>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0.58</w:t>
            </w:r>
          </w:p>
        </w:tc>
        <w:tc>
          <w:tcPr>
            <w:tcW w:w="100" w:type="dxa"/>
            <w:vAlign w:val="bottom"/>
            <w:tcBorders>
              <w:top w:val="single" w:sz="8" w:color="CFF0FC"/>
            </w:tcBorders>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20" w:type="dxa"/>
            <w:vAlign w:val="bottom"/>
            <w:gridSpan w:val="2"/>
            <w:shd w:val="clear" w:color="auto" w:fill="CFF0FC"/>
          </w:tcPr>
          <w:p>
            <w:pPr>
              <w:spacing w:after="0" w:line="170" w:lineRule="exact"/>
              <w:rPr>
                <w:sz w:val="20"/>
                <w:szCs w:val="20"/>
                <w:color w:val="auto"/>
              </w:rPr>
            </w:pPr>
            <w:r>
              <w:rPr>
                <w:rFonts w:ascii="Arial" w:cs="Arial" w:eastAsia="Arial" w:hAnsi="Arial"/>
                <w:sz w:val="16"/>
                <w:szCs w:val="16"/>
                <w:color w:val="auto"/>
              </w:rPr>
              <w:t>Assumed exercise of stock options</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3320" w:type="dxa"/>
            <w:vAlign w:val="bottom"/>
            <w:gridSpan w:val="2"/>
          </w:tcPr>
          <w:p>
            <w:pPr>
              <w:spacing w:after="0"/>
              <w:rPr>
                <w:sz w:val="20"/>
                <w:szCs w:val="20"/>
                <w:color w:val="auto"/>
              </w:rPr>
            </w:pPr>
            <w:r>
              <w:rPr>
                <w:rFonts w:ascii="Arial" w:cs="Arial" w:eastAsia="Arial" w:hAnsi="Arial"/>
                <w:sz w:val="16"/>
                <w:szCs w:val="16"/>
                <w:color w:val="auto"/>
              </w:rPr>
              <w:t>Unvested restricted stock</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32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Diluted</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752</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1,515</w:t>
            </w:r>
          </w:p>
        </w:tc>
        <w:tc>
          <w:tcPr>
            <w:tcW w:w="420" w:type="dxa"/>
            <w:vAlign w:val="bottom"/>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0.50</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797</w:t>
            </w:r>
          </w:p>
        </w:tc>
        <w:tc>
          <w:tcPr>
            <w:tcW w:w="13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1,380</w:t>
            </w:r>
          </w:p>
        </w:tc>
        <w:tc>
          <w:tcPr>
            <w:tcW w:w="440" w:type="dxa"/>
            <w:vAlign w:val="bottom"/>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0.58</w:t>
            </w:r>
          </w:p>
        </w:tc>
        <w:tc>
          <w:tcPr>
            <w:tcW w:w="100" w:type="dxa"/>
            <w:vAlign w:val="bottom"/>
            <w:shd w:val="clear" w:color="auto" w:fill="CFF0FC"/>
          </w:tcPr>
          <w:p>
            <w:pPr>
              <w:spacing w:after="0"/>
              <w:rPr>
                <w:sz w:val="17"/>
                <w:szCs w:val="17"/>
                <w:color w:val="auto"/>
              </w:rPr>
            </w:pPr>
          </w:p>
        </w:tc>
      </w:tr>
      <w:tr>
        <w:trPr>
          <w:trHeight w:val="20"/>
        </w:trPr>
        <w:tc>
          <w:tcPr>
            <w:tcW w:w="98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number of outstanding options to purchase shares of SLB common stock that were not included in the computation of diluted income per share, because to do so would have had an antidilutive effect, was as follows:</w:t>
      </w:r>
    </w:p>
    <w:p>
      <w:pPr>
        <w:spacing w:after="0" w:line="135" w:lineRule="exact"/>
        <w:rPr>
          <w:sz w:val="20"/>
          <w:szCs w:val="20"/>
          <w:color w:val="auto"/>
        </w:rPr>
      </w:pPr>
    </w:p>
    <w:p>
      <w:pPr>
        <w:ind w:left="9940"/>
        <w:spacing w:after="0"/>
        <w:rPr>
          <w:sz w:val="20"/>
          <w:szCs w:val="20"/>
          <w:color w:val="auto"/>
        </w:rPr>
      </w:pPr>
      <w:r>
        <w:rPr>
          <w:rFonts w:ascii="Arial" w:cs="Arial" w:eastAsia="Arial" w:hAnsi="Arial"/>
          <w:sz w:val="14"/>
          <w:szCs w:val="14"/>
          <w:i w:val="1"/>
          <w:iCs w:val="1"/>
          <w:color w:val="auto"/>
        </w:rPr>
        <w:t>(Stated in millions)</w:t>
      </w:r>
    </w:p>
    <w:p>
      <w:pPr>
        <w:spacing w:after="0" w:line="197"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Three Months Ended 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2026</w:t>
            </w:r>
          </w:p>
        </w:tc>
        <w:tc>
          <w:tcPr>
            <w:tcW w:w="3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79"/>
              <w:spacing w:after="0" w:line="183"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5"/>
                <w:szCs w:val="15"/>
                <w:color w:val="auto"/>
              </w:rPr>
            </w:pPr>
          </w:p>
        </w:tc>
      </w:tr>
      <w:tr>
        <w:trPr>
          <w:trHeight w:val="183"/>
        </w:trPr>
        <w:tc>
          <w:tcPr>
            <w:tcW w:w="8880" w:type="dxa"/>
            <w:vAlign w:val="bottom"/>
            <w:gridSpan w:val="2"/>
            <w:shd w:val="clear" w:color="auto" w:fill="CFF0FC"/>
          </w:tcPr>
          <w:p>
            <w:pPr>
              <w:jc w:val="right"/>
              <w:ind w:right="7079"/>
              <w:spacing w:after="0" w:line="183" w:lineRule="exact"/>
              <w:rPr>
                <w:sz w:val="20"/>
                <w:szCs w:val="20"/>
                <w:color w:val="auto"/>
              </w:rPr>
            </w:pPr>
            <w:r>
              <w:rPr>
                <w:rFonts w:ascii="Arial" w:cs="Arial" w:eastAsia="Arial" w:hAnsi="Arial"/>
                <w:sz w:val="16"/>
                <w:szCs w:val="16"/>
                <w:color w:val="auto"/>
              </w:rPr>
              <w:t>Employee stock options</w:t>
            </w:r>
          </w:p>
        </w:tc>
        <w:tc>
          <w:tcPr>
            <w:tcW w:w="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w:t>
            </w:r>
          </w:p>
        </w:tc>
        <w:tc>
          <w:tcPr>
            <w:tcW w:w="18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5"/>
                <w:szCs w:val="15"/>
                <w:color w:val="auto"/>
              </w:rPr>
            </w:pPr>
          </w:p>
        </w:tc>
      </w:tr>
    </w:tbl>
    <w:p>
      <w:pPr>
        <w:spacing w:after="0" w:line="323"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Acquisition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July 16, 2025, SLB acquired all of the outstanding shares of ChampionX in an all-stock transaction. ChampionX is a global leader in production chemistry solutions, artificial lift systems, and highly engineered equipment and technologies that help companies drill for and produce oil and gas safely, effectively, and sustainably across the world. The acquisition strengthens SLB's leadership in the production and recovery space. Under the terms of the agreement, ChampionX shareholders received 0.735 shares of SLB common stock in exchange for each ChampionX share.</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Excluding its Drilling Technologies business, which was disposed of concurrently with the closing of the acquisition, ChampionX recorded revenue of approximately $0.8 billion during the first quarter of 2025.</w:t>
      </w:r>
    </w:p>
    <w:p>
      <w:pPr>
        <w:spacing w:after="0" w:line="156"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inventories, which are stated at the lower of average cost or net realizable value,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rPr>
              <w:t>Mar. 31,</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4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Raw materials &amp; field materials</w:t>
            </w:r>
          </w:p>
        </w:tc>
        <w:tc>
          <w:tcPr>
            <w:tcW w:w="3640" w:type="dxa"/>
            <w:vAlign w:val="bottom"/>
            <w:gridSpan w:val="2"/>
            <w:shd w:val="clear" w:color="auto" w:fill="CFF0FC"/>
          </w:tcPr>
          <w:p>
            <w:pPr>
              <w:jc w:val="right"/>
              <w:ind w:right="939"/>
              <w:spacing w:after="0" w:line="183" w:lineRule="exact"/>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2,619</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189"/>
        </w:trPr>
        <w:tc>
          <w:tcPr>
            <w:tcW w:w="5140" w:type="dxa"/>
            <w:vAlign w:val="bottom"/>
            <w:gridSpan w:val="3"/>
          </w:tcPr>
          <w:p>
            <w:pPr>
              <w:spacing w:after="0"/>
              <w:rPr>
                <w:sz w:val="20"/>
                <w:szCs w:val="20"/>
                <w:color w:val="auto"/>
              </w:rPr>
            </w:pPr>
            <w:r>
              <w:rPr>
                <w:rFonts w:ascii="Arial" w:cs="Arial" w:eastAsia="Arial" w:hAnsi="Arial"/>
                <w:sz w:val="16"/>
                <w:szCs w:val="16"/>
                <w:color w:val="auto"/>
              </w:rPr>
              <w:t>Work in progress</w:t>
            </w:r>
          </w:p>
        </w:tc>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871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189"/>
        </w:trPr>
        <w:tc>
          <w:tcPr>
            <w:tcW w:w="51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25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1,784</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0"/>
        </w:trPr>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120" w:type="dxa"/>
            <w:vAlign w:val="bottom"/>
          </w:tcPr>
          <w:p>
            <w:pPr>
              <w:jc w:val="right"/>
              <w:ind w:right="939"/>
              <w:spacing w:after="0" w:line="183" w:lineRule="exact"/>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5,274</w:t>
            </w:r>
          </w:p>
        </w:tc>
        <w:tc>
          <w:tcPr>
            <w:tcW w:w="3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5,032</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6.  Fixed Assets</w:t>
            </w:r>
          </w:p>
        </w:tc>
        <w:tc>
          <w:tcPr>
            <w:tcW w:w="2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40" w:type="dxa"/>
            <w:vAlign w:val="bottom"/>
            <w:gridSpan w:val="3"/>
            <w:vMerge w:val="continue"/>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140" w:type="dxa"/>
            <w:vAlign w:val="bottom"/>
            <w:gridSpan w:val="3"/>
          </w:tcPr>
          <w:p>
            <w:pPr>
              <w:spacing w:after="0"/>
              <w:rPr>
                <w:sz w:val="20"/>
                <w:szCs w:val="20"/>
                <w:color w:val="auto"/>
              </w:rPr>
            </w:pPr>
            <w:r>
              <w:rPr>
                <w:rFonts w:ascii="Arial" w:cs="Arial" w:eastAsia="Arial" w:hAnsi="Arial"/>
                <w:sz w:val="16"/>
                <w:szCs w:val="16"/>
                <w:color w:val="auto"/>
              </w:rPr>
              <w:t>Fixed assets consist of the following:</w:t>
            </w: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rPr>
              <w:t>Mar. 31,</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4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Property, plant &amp; equipment</w:t>
            </w:r>
          </w:p>
        </w:tc>
        <w:tc>
          <w:tcPr>
            <w:tcW w:w="3640" w:type="dxa"/>
            <w:vAlign w:val="bottom"/>
            <w:gridSpan w:val="2"/>
            <w:shd w:val="clear" w:color="auto" w:fill="CFF0FC"/>
          </w:tcPr>
          <w:p>
            <w:pPr>
              <w:jc w:val="right"/>
              <w:ind w:right="939"/>
              <w:spacing w:after="0" w:line="183" w:lineRule="exact"/>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w w:val="93"/>
              </w:rPr>
              <w:t>31,818</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32,045</w:t>
            </w:r>
          </w:p>
        </w:tc>
        <w:tc>
          <w:tcPr>
            <w:tcW w:w="0" w:type="dxa"/>
            <w:vAlign w:val="bottom"/>
          </w:tcPr>
          <w:p>
            <w:pPr>
              <w:spacing w:after="0"/>
              <w:rPr>
                <w:sz w:val="1"/>
                <w:szCs w:val="1"/>
                <w:color w:val="auto"/>
              </w:rPr>
            </w:pPr>
          </w:p>
        </w:tc>
      </w:tr>
      <w:tr>
        <w:trPr>
          <w:trHeight w:val="189"/>
        </w:trPr>
        <w:tc>
          <w:tcPr>
            <w:tcW w:w="5140" w:type="dxa"/>
            <w:vAlign w:val="bottom"/>
            <w:gridSpan w:val="3"/>
          </w:tcPr>
          <w:p>
            <w:pPr>
              <w:spacing w:after="0"/>
              <w:rPr>
                <w:sz w:val="20"/>
                <w:szCs w:val="20"/>
                <w:color w:val="auto"/>
              </w:rPr>
            </w:pPr>
            <w:r>
              <w:rPr>
                <w:rFonts w:ascii="Arial" w:cs="Arial" w:eastAsia="Arial" w:hAnsi="Arial"/>
                <w:sz w:val="16"/>
                <w:szCs w:val="16"/>
                <w:color w:val="auto"/>
              </w:rPr>
              <w:t>Less: Accumulated depreciation</w:t>
            </w:r>
          </w:p>
        </w:tc>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3"/>
              </w:rPr>
              <w:t>24,071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24,151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86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939"/>
              <w:spacing w:after="0" w:line="183" w:lineRule="exact"/>
              <w:rPr>
                <w:sz w:val="20"/>
                <w:szCs w:val="20"/>
                <w:color w:val="auto"/>
              </w:rPr>
            </w:pPr>
            <w:r>
              <w:rPr>
                <w:rFonts w:ascii="Arial" w:cs="Arial" w:eastAsia="Arial" w:hAnsi="Arial"/>
                <w:sz w:val="16"/>
                <w:szCs w:val="16"/>
                <w:b w:val="1"/>
                <w:bCs w:val="1"/>
                <w:color w:val="auto"/>
                <w:w w:val="89"/>
              </w:rPr>
              <w:t>$</w:t>
            </w:r>
          </w:p>
        </w:tc>
        <w:tc>
          <w:tcPr>
            <w:tcW w:w="6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7,747</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7,894</w:t>
            </w:r>
          </w:p>
        </w:tc>
        <w:tc>
          <w:tcPr>
            <w:tcW w:w="0" w:type="dxa"/>
            <w:vAlign w:val="bottom"/>
          </w:tcPr>
          <w:p>
            <w:pPr>
              <w:spacing w:after="0"/>
              <w:rPr>
                <w:sz w:val="1"/>
                <w:szCs w:val="1"/>
                <w:color w:val="auto"/>
              </w:rPr>
            </w:pPr>
          </w:p>
        </w:tc>
      </w:tr>
      <w:tr>
        <w:trPr>
          <w:trHeight w:val="20"/>
        </w:trPr>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386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-1713865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left="5580" w:right="1940" w:hanging="5570"/>
        <w:spacing w:after="0" w:line="568" w:lineRule="auto"/>
        <w:rPr>
          <w:sz w:val="20"/>
          <w:szCs w:val="20"/>
          <w:color w:val="auto"/>
        </w:rPr>
      </w:pPr>
      <w:r>
        <w:rPr>
          <w:rFonts w:ascii="Arial" w:cs="Arial" w:eastAsia="Arial" w:hAnsi="Arial"/>
          <w:sz w:val="16"/>
          <w:szCs w:val="16"/>
          <w:color w:val="auto"/>
        </w:rPr>
        <w:t>Depreciation expense relating to fixed assets was $464 million and $397 million in the first quarter of 2026 and 2025, respectively.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9" w:name="page10"/>
    <w:bookmarkEnd w:id="9"/>
    <w:p>
      <w:pPr>
        <w:spacing w:after="0" w:line="33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2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 31, 2026</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color w:val="auto"/>
              </w:rPr>
              <w:t>Dec. 31, 2025</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20"/>
              <w:spacing w:after="0" w:line="168"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spacing w:after="0" w:line="168"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4"/>
                <w:szCs w:val="14"/>
                <w:color w:val="auto"/>
              </w:rPr>
            </w:pPr>
          </w:p>
        </w:tc>
        <w:tc>
          <w:tcPr>
            <w:tcW w:w="98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rPr>
              <w:t>Net Book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40"/>
              <w:spacing w:after="0" w:line="168" w:lineRule="exact"/>
              <w:rPr>
                <w:sz w:val="20"/>
                <w:szCs w:val="20"/>
                <w:color w:val="auto"/>
              </w:rPr>
            </w:pPr>
            <w:r>
              <w:rPr>
                <w:rFonts w:ascii="Arial" w:cs="Arial" w:eastAsia="Arial" w:hAnsi="Arial"/>
                <w:sz w:val="16"/>
                <w:szCs w:val="16"/>
                <w:color w:val="auto"/>
              </w:rPr>
              <w:t>Gross</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8" w:lineRule="exact"/>
              <w:rPr>
                <w:sz w:val="20"/>
                <w:szCs w:val="20"/>
                <w:color w:val="auto"/>
              </w:rPr>
            </w:pPr>
            <w:r>
              <w:rPr>
                <w:rFonts w:ascii="Arial" w:cs="Arial" w:eastAsia="Arial" w:hAnsi="Arial"/>
                <w:sz w:val="16"/>
                <w:szCs w:val="16"/>
                <w:color w:val="auto"/>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59"/>
              <w:spacing w:after="0" w:line="168" w:lineRule="exact"/>
              <w:rPr>
                <w:sz w:val="20"/>
                <w:szCs w:val="20"/>
                <w:color w:val="auto"/>
              </w:rPr>
            </w:pPr>
            <w:r>
              <w:rPr>
                <w:rFonts w:ascii="Arial" w:cs="Arial" w:eastAsia="Arial" w:hAnsi="Arial"/>
                <w:sz w:val="16"/>
                <w:szCs w:val="16"/>
                <w:color w:val="auto"/>
              </w:rPr>
              <w:t>Net Book</w:t>
            </w:r>
          </w:p>
        </w:tc>
        <w:tc>
          <w:tcPr>
            <w:tcW w:w="120" w:type="dxa"/>
            <w:vAlign w:val="bottom"/>
          </w:tcPr>
          <w:p>
            <w:pPr>
              <w:spacing w:after="0"/>
              <w:rPr>
                <w:sz w:val="14"/>
                <w:szCs w:val="14"/>
                <w:color w:val="auto"/>
              </w:rPr>
            </w:pPr>
          </w:p>
        </w:tc>
      </w:tr>
      <w:tr>
        <w:trPr>
          <w:trHeight w:val="203"/>
        </w:trPr>
        <w:tc>
          <w:tcPr>
            <w:tcW w:w="2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Book 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Book Value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Amortization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r>
      <w:tr>
        <w:trPr>
          <w:trHeight w:val="183"/>
        </w:trPr>
        <w:tc>
          <w:tcPr>
            <w:tcW w:w="2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Customer relationships</w:t>
            </w:r>
          </w:p>
        </w:tc>
        <w:tc>
          <w:tcPr>
            <w:tcW w:w="5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b w:val="1"/>
                <w:bCs w:val="1"/>
                <w:color w:val="auto"/>
              </w:rPr>
              <w:t>2,781</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878</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b w:val="1"/>
                <w:bCs w:val="1"/>
                <w:color w:val="auto"/>
              </w:rPr>
              <w:t>1,903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2,783</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849</w:t>
            </w:r>
          </w:p>
        </w:tc>
        <w:tc>
          <w:tcPr>
            <w:tcW w:w="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1,934</w:t>
            </w:r>
          </w:p>
        </w:tc>
      </w:tr>
      <w:tr>
        <w:trPr>
          <w:trHeight w:val="189"/>
        </w:trPr>
        <w:tc>
          <w:tcPr>
            <w:tcW w:w="2680" w:type="dxa"/>
            <w:vAlign w:val="bottom"/>
          </w:tcPr>
          <w:p>
            <w:pPr>
              <w:spacing w:after="0"/>
              <w:rPr>
                <w:sz w:val="20"/>
                <w:szCs w:val="20"/>
                <w:color w:val="auto"/>
              </w:rPr>
            </w:pPr>
            <w:r>
              <w:rPr>
                <w:rFonts w:ascii="Arial" w:cs="Arial" w:eastAsia="Arial" w:hAnsi="Arial"/>
                <w:sz w:val="16"/>
                <w:szCs w:val="16"/>
                <w:color w:val="auto"/>
              </w:rPr>
              <w:t>Technology/technical know-how</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2,657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1,036</w:t>
            </w: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1,621</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2,635</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998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1,637</w:t>
            </w:r>
          </w:p>
        </w:tc>
      </w:tr>
      <w:tr>
        <w:trPr>
          <w:trHeight w:val="189"/>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Tradenames</w:t>
            </w: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1,067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295</w:t>
            </w:r>
          </w:p>
        </w:tc>
        <w:tc>
          <w:tcPr>
            <w:tcW w:w="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772</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1,067</w:t>
            </w: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283</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784</w:t>
            </w:r>
          </w:p>
        </w:tc>
      </w:tr>
      <w:tr>
        <w:trPr>
          <w:trHeight w:val="189"/>
        </w:trPr>
        <w:tc>
          <w:tcPr>
            <w:tcW w:w="2680" w:type="dxa"/>
            <w:vAlign w:val="bottom"/>
          </w:tcPr>
          <w:p>
            <w:pPr>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605</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1,004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633</w:t>
            </w:r>
          </w:p>
        </w:tc>
      </w:tr>
      <w:tr>
        <w:trPr>
          <w:trHeight w:val="20"/>
        </w:trPr>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26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b w:val="1"/>
                <w:bCs w:val="1"/>
                <w:color w:val="auto"/>
              </w:rPr>
              <w:t>8,140</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3,239</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b w:val="1"/>
                <w:bCs w:val="1"/>
                <w:color w:val="auto"/>
              </w:rPr>
              <w:t>4,901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8,122</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3,134</w:t>
            </w:r>
          </w:p>
        </w:tc>
        <w:tc>
          <w:tcPr>
            <w:tcW w:w="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4,988</w:t>
            </w: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charged to income was $110 million during the first quarter of 2026 and $82 million during the first quarter of 2025.</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Based on the carrying value of intangible assets at March 31, 2026, amortization expense for the subsequent five years is estimated to be: three quarters of 2026—$328 million; 2027—$436 million; 2028—$425 million; 2029—$412 million; 2030—$407 million; and 2031—$381 million.</w:t>
      </w:r>
    </w:p>
    <w:p>
      <w:pPr>
        <w:spacing w:after="0" w:line="156"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4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Mar. 31,</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260"/>
              <w:spacing w:after="0"/>
              <w:rPr>
                <w:sz w:val="20"/>
                <w:szCs w:val="20"/>
                <w:color w:val="auto"/>
              </w:rPr>
            </w:pPr>
            <w:r>
              <w:rPr>
                <w:rFonts w:ascii="Arial" w:cs="Arial" w:eastAsia="Arial" w:hAnsi="Arial"/>
                <w:sz w:val="16"/>
                <w:szCs w:val="16"/>
                <w:color w:val="auto"/>
              </w:rPr>
              <w:t>Dec. 31,</w:t>
            </w:r>
          </w:p>
        </w:tc>
      </w:tr>
      <w:tr>
        <w:trPr>
          <w:trHeight w:val="203"/>
        </w:trPr>
        <w:tc>
          <w:tcPr>
            <w:tcW w:w="4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r>
      <w:tr>
        <w:trPr>
          <w:trHeight w:val="183"/>
        </w:trPr>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6"/>
              </w:rPr>
              <w:t>3.90%</w:t>
            </w:r>
          </w:p>
        </w:tc>
        <w:tc>
          <w:tcPr>
            <w:tcW w:w="462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Senior Notes due 2028</w:t>
            </w:r>
          </w:p>
        </w:tc>
        <w:tc>
          <w:tcPr>
            <w:tcW w:w="3700" w:type="dxa"/>
            <w:vAlign w:val="bottom"/>
            <w:gridSpan w:val="2"/>
            <w:shd w:val="clear" w:color="auto" w:fill="CFF0FC"/>
          </w:tcPr>
          <w:p>
            <w:pPr>
              <w:jc w:val="right"/>
              <w:ind w:right="959"/>
              <w:spacing w:after="0" w:line="183" w:lineRule="exact"/>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1,485</w:t>
            </w:r>
          </w:p>
        </w:tc>
        <w:tc>
          <w:tcPr>
            <w:tcW w:w="520" w:type="dxa"/>
            <w:vAlign w:val="bottom"/>
            <w:gridSpan w:val="2"/>
            <w:shd w:val="clear" w:color="auto" w:fill="CFF0FC"/>
          </w:tcPr>
          <w:p>
            <w:pPr>
              <w:jc w:val="right"/>
              <w:ind w:right="64"/>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1,484</w:t>
            </w:r>
          </w:p>
        </w:tc>
        <w:tc>
          <w:tcPr>
            <w:tcW w:w="100" w:type="dxa"/>
            <w:vAlign w:val="bottom"/>
            <w:shd w:val="clear" w:color="auto" w:fill="CFF0FC"/>
          </w:tcPr>
          <w:p>
            <w:pPr>
              <w:spacing w:after="0"/>
              <w:rPr>
                <w:sz w:val="15"/>
                <w:szCs w:val="15"/>
                <w:color w:val="auto"/>
              </w:rPr>
            </w:pPr>
          </w:p>
        </w:tc>
      </w:tr>
      <w:tr>
        <w:trPr>
          <w:trHeight w:val="189"/>
        </w:trPr>
        <w:tc>
          <w:tcPr>
            <w:tcW w:w="480" w:type="dxa"/>
            <w:vAlign w:val="bottom"/>
          </w:tcPr>
          <w:p>
            <w:pPr>
              <w:jc w:val="right"/>
              <w:spacing w:after="0"/>
              <w:rPr>
                <w:sz w:val="20"/>
                <w:szCs w:val="20"/>
                <w:color w:val="auto"/>
              </w:rPr>
            </w:pPr>
            <w:r>
              <w:rPr>
                <w:rFonts w:ascii="Arial" w:cs="Arial" w:eastAsia="Arial" w:hAnsi="Arial"/>
                <w:sz w:val="16"/>
                <w:szCs w:val="16"/>
                <w:color w:val="auto"/>
                <w:w w:val="96"/>
              </w:rPr>
              <w:t>2.65%</w:t>
            </w:r>
          </w:p>
        </w:tc>
        <w:tc>
          <w:tcPr>
            <w:tcW w:w="4620" w:type="dxa"/>
            <w:vAlign w:val="bottom"/>
          </w:tcPr>
          <w:p>
            <w:pPr>
              <w:ind w:left="40"/>
              <w:spacing w:after="0"/>
              <w:rPr>
                <w:sz w:val="20"/>
                <w:szCs w:val="20"/>
                <w:color w:val="auto"/>
              </w:rPr>
            </w:pPr>
            <w:r>
              <w:rPr>
                <w:rFonts w:ascii="Arial" w:cs="Arial" w:eastAsia="Arial" w:hAnsi="Arial"/>
                <w:sz w:val="16"/>
                <w:szCs w:val="16"/>
                <w:color w:val="auto"/>
              </w:rPr>
              <w:t>Senior Notes due 2030</w:t>
            </w:r>
          </w:p>
        </w:tc>
        <w:tc>
          <w:tcPr>
            <w:tcW w:w="2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1,247</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2.00%</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Guaranteed Notes due 2032</w:t>
            </w:r>
          </w:p>
        </w:tc>
        <w:tc>
          <w:tcPr>
            <w:tcW w:w="25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1,145</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jc w:val="right"/>
              <w:spacing w:after="0"/>
              <w:rPr>
                <w:sz w:val="20"/>
                <w:szCs w:val="20"/>
                <w:color w:val="auto"/>
              </w:rPr>
            </w:pPr>
            <w:r>
              <w:rPr>
                <w:rFonts w:ascii="Arial" w:cs="Arial" w:eastAsia="Arial" w:hAnsi="Arial"/>
                <w:sz w:val="16"/>
                <w:szCs w:val="16"/>
                <w:color w:val="auto"/>
                <w:w w:val="96"/>
              </w:rPr>
              <w:t>0.25%</w:t>
            </w:r>
          </w:p>
        </w:tc>
        <w:tc>
          <w:tcPr>
            <w:tcW w:w="4620" w:type="dxa"/>
            <w:vAlign w:val="bottom"/>
          </w:tcPr>
          <w:p>
            <w:pPr>
              <w:ind w:left="40"/>
              <w:spacing w:after="0"/>
              <w:rPr>
                <w:sz w:val="20"/>
                <w:szCs w:val="20"/>
                <w:color w:val="auto"/>
              </w:rPr>
            </w:pPr>
            <w:r>
              <w:rPr>
                <w:rFonts w:ascii="Arial" w:cs="Arial" w:eastAsia="Arial" w:hAnsi="Arial"/>
                <w:sz w:val="16"/>
                <w:szCs w:val="16"/>
                <w:color w:val="auto"/>
              </w:rPr>
              <w:t>Notes due 2027</w:t>
            </w:r>
          </w:p>
        </w:tc>
        <w:tc>
          <w:tcPr>
            <w:tcW w:w="2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1,035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1,059</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0.50%</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2031</w:t>
            </w:r>
          </w:p>
        </w:tc>
        <w:tc>
          <w:tcPr>
            <w:tcW w:w="25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1,033</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jc w:val="right"/>
              <w:spacing w:after="0"/>
              <w:rPr>
                <w:sz w:val="20"/>
                <w:szCs w:val="20"/>
                <w:color w:val="auto"/>
              </w:rPr>
            </w:pPr>
            <w:r>
              <w:rPr>
                <w:rFonts w:ascii="Arial" w:cs="Arial" w:eastAsia="Arial" w:hAnsi="Arial"/>
                <w:sz w:val="16"/>
                <w:szCs w:val="16"/>
                <w:color w:val="auto"/>
                <w:w w:val="96"/>
              </w:rPr>
              <w:t>4.30%</w:t>
            </w:r>
          </w:p>
        </w:tc>
        <w:tc>
          <w:tcPr>
            <w:tcW w:w="4620" w:type="dxa"/>
            <w:vAlign w:val="bottom"/>
          </w:tcPr>
          <w:p>
            <w:pPr>
              <w:ind w:left="40"/>
              <w:spacing w:after="0"/>
              <w:rPr>
                <w:sz w:val="20"/>
                <w:szCs w:val="20"/>
                <w:color w:val="auto"/>
              </w:rPr>
            </w:pPr>
            <w:r>
              <w:rPr>
                <w:rFonts w:ascii="Arial" w:cs="Arial" w:eastAsia="Arial" w:hAnsi="Arial"/>
                <w:sz w:val="16"/>
                <w:szCs w:val="16"/>
                <w:color w:val="auto"/>
              </w:rPr>
              <w:t>Senior Notes due 2029</w:t>
            </w:r>
          </w:p>
        </w:tc>
        <w:tc>
          <w:tcPr>
            <w:tcW w:w="2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848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4.50%</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2028</w:t>
            </w:r>
          </w:p>
        </w:tc>
        <w:tc>
          <w:tcPr>
            <w:tcW w:w="25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498</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jc w:val="right"/>
              <w:spacing w:after="0"/>
              <w:rPr>
                <w:sz w:val="20"/>
                <w:szCs w:val="20"/>
                <w:color w:val="auto"/>
              </w:rPr>
            </w:pPr>
            <w:r>
              <w:rPr>
                <w:rFonts w:ascii="Arial" w:cs="Arial" w:eastAsia="Arial" w:hAnsi="Arial"/>
                <w:sz w:val="16"/>
                <w:szCs w:val="16"/>
                <w:color w:val="auto"/>
                <w:w w:val="96"/>
              </w:rPr>
              <w:t>5.00%</w:t>
            </w:r>
          </w:p>
        </w:tc>
        <w:tc>
          <w:tcPr>
            <w:tcW w:w="4620" w:type="dxa"/>
            <w:vAlign w:val="bottom"/>
          </w:tcPr>
          <w:p>
            <w:pPr>
              <w:ind w:left="40"/>
              <w:spacing w:after="0"/>
              <w:rPr>
                <w:sz w:val="20"/>
                <w:szCs w:val="20"/>
                <w:color w:val="auto"/>
              </w:rPr>
            </w:pPr>
            <w:r>
              <w:rPr>
                <w:rFonts w:ascii="Arial" w:cs="Arial" w:eastAsia="Arial" w:hAnsi="Arial"/>
                <w:sz w:val="16"/>
                <w:szCs w:val="16"/>
                <w:color w:val="auto"/>
              </w:rPr>
              <w:t>Senior Notes due 2027</w:t>
            </w:r>
          </w:p>
        </w:tc>
        <w:tc>
          <w:tcPr>
            <w:tcW w:w="2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498</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4.85%</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2033</w:t>
            </w:r>
          </w:p>
        </w:tc>
        <w:tc>
          <w:tcPr>
            <w:tcW w:w="25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495</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jc w:val="right"/>
              <w:spacing w:after="0"/>
              <w:rPr>
                <w:sz w:val="20"/>
                <w:szCs w:val="20"/>
                <w:color w:val="auto"/>
              </w:rPr>
            </w:pPr>
            <w:r>
              <w:rPr>
                <w:rFonts w:ascii="Arial" w:cs="Arial" w:eastAsia="Arial" w:hAnsi="Arial"/>
                <w:sz w:val="16"/>
                <w:szCs w:val="16"/>
                <w:color w:val="auto"/>
                <w:w w:val="96"/>
              </w:rPr>
              <w:t>5.00%</w:t>
            </w:r>
          </w:p>
        </w:tc>
        <w:tc>
          <w:tcPr>
            <w:tcW w:w="4620" w:type="dxa"/>
            <w:vAlign w:val="bottom"/>
          </w:tcPr>
          <w:p>
            <w:pPr>
              <w:ind w:left="40"/>
              <w:spacing w:after="0"/>
              <w:rPr>
                <w:sz w:val="20"/>
                <w:szCs w:val="20"/>
                <w:color w:val="auto"/>
              </w:rPr>
            </w:pPr>
            <w:r>
              <w:rPr>
                <w:rFonts w:ascii="Arial" w:cs="Arial" w:eastAsia="Arial" w:hAnsi="Arial"/>
                <w:sz w:val="16"/>
                <w:szCs w:val="16"/>
                <w:color w:val="auto"/>
              </w:rPr>
              <w:t>Senior Notes due 2029</w:t>
            </w:r>
          </w:p>
        </w:tc>
        <w:tc>
          <w:tcPr>
            <w:tcW w:w="2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495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5.00%</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2034</w:t>
            </w:r>
          </w:p>
        </w:tc>
        <w:tc>
          <w:tcPr>
            <w:tcW w:w="25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488</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jc w:val="right"/>
              <w:spacing w:after="0"/>
              <w:rPr>
                <w:sz w:val="20"/>
                <w:szCs w:val="20"/>
                <w:color w:val="auto"/>
              </w:rPr>
            </w:pPr>
            <w:r>
              <w:rPr>
                <w:rFonts w:ascii="Arial" w:cs="Arial" w:eastAsia="Arial" w:hAnsi="Arial"/>
                <w:sz w:val="16"/>
                <w:szCs w:val="16"/>
                <w:color w:val="auto"/>
                <w:w w:val="96"/>
              </w:rPr>
              <w:t>7.00%</w:t>
            </w:r>
          </w:p>
        </w:tc>
        <w:tc>
          <w:tcPr>
            <w:tcW w:w="4620" w:type="dxa"/>
            <w:vAlign w:val="bottom"/>
          </w:tcPr>
          <w:p>
            <w:pPr>
              <w:ind w:left="40"/>
              <w:spacing w:after="0"/>
              <w:rPr>
                <w:sz w:val="20"/>
                <w:szCs w:val="20"/>
                <w:color w:val="auto"/>
              </w:rPr>
            </w:pPr>
            <w:r>
              <w:rPr>
                <w:rFonts w:ascii="Arial" w:cs="Arial" w:eastAsia="Arial" w:hAnsi="Arial"/>
                <w:sz w:val="16"/>
                <w:szCs w:val="16"/>
                <w:color w:val="auto"/>
              </w:rPr>
              <w:t>Notes due 2038</w:t>
            </w:r>
          </w:p>
        </w:tc>
        <w:tc>
          <w:tcPr>
            <w:tcW w:w="2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195</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5.95%</w:t>
            </w:r>
          </w:p>
        </w:tc>
        <w:tc>
          <w:tcPr>
            <w:tcW w:w="4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2041</w:t>
            </w:r>
          </w:p>
        </w:tc>
        <w:tc>
          <w:tcPr>
            <w:tcW w:w="25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110</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96"/>
              </w:rPr>
              <w:t>5.13%</w:t>
            </w:r>
          </w:p>
        </w:tc>
        <w:tc>
          <w:tcPr>
            <w:tcW w:w="4620" w:type="dxa"/>
            <w:vAlign w:val="bottom"/>
            <w:tcBorders>
              <w:bottom w:val="single" w:sz="8" w:color="CFF0FC"/>
            </w:tcBorders>
          </w:tcPr>
          <w:p>
            <w:pPr>
              <w:ind w:left="40"/>
              <w:spacing w:after="0"/>
              <w:rPr>
                <w:sz w:val="20"/>
                <w:szCs w:val="20"/>
                <w:color w:val="auto"/>
              </w:rPr>
            </w:pPr>
            <w:r>
              <w:rPr>
                <w:rFonts w:ascii="Arial" w:cs="Arial" w:eastAsia="Arial" w:hAnsi="Arial"/>
                <w:sz w:val="16"/>
                <w:szCs w:val="16"/>
                <w:color w:val="auto"/>
              </w:rPr>
              <w:t>Notes due 2043</w:t>
            </w:r>
          </w:p>
        </w:tc>
        <w:tc>
          <w:tcPr>
            <w:tcW w:w="2560" w:type="dxa"/>
            <w:vAlign w:val="bottom"/>
            <w:tcBorders>
              <w:bottom w:val="single" w:sz="8" w:color="CFF0FC"/>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3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FF0FC"/>
            </w:tcBorders>
          </w:tcPr>
          <w:p>
            <w:pPr>
              <w:spacing w:after="0"/>
              <w:rPr>
                <w:sz w:val="16"/>
                <w:szCs w:val="16"/>
                <w:color w:val="auto"/>
              </w:rPr>
            </w:pPr>
          </w:p>
        </w:tc>
      </w:tr>
      <w:tr>
        <w:trPr>
          <w:trHeight w:val="223"/>
        </w:trPr>
        <w:tc>
          <w:tcPr>
            <w:tcW w:w="480" w:type="dxa"/>
            <w:vAlign w:val="bottom"/>
            <w:tcBorders>
              <w:bottom w:val="single" w:sz="8" w:color="CFF0FC"/>
            </w:tcBorders>
            <w:shd w:val="clear" w:color="auto" w:fill="CFF0FC"/>
          </w:tcPr>
          <w:p>
            <w:pPr>
              <w:spacing w:after="0"/>
              <w:rPr>
                <w:sz w:val="19"/>
                <w:szCs w:val="19"/>
                <w:color w:val="auto"/>
              </w:rPr>
            </w:pPr>
          </w:p>
        </w:tc>
        <w:tc>
          <w:tcPr>
            <w:tcW w:w="4620" w:type="dxa"/>
            <w:vAlign w:val="bottom"/>
            <w:tcBorders>
              <w:bottom w:val="single" w:sz="8" w:color="CFF0FC"/>
            </w:tcBorders>
            <w:shd w:val="clear" w:color="auto" w:fill="CFF0FC"/>
          </w:tcPr>
          <w:p>
            <w:pPr>
              <w:spacing w:after="0"/>
              <w:rPr>
                <w:sz w:val="19"/>
                <w:szCs w:val="19"/>
                <w:color w:val="auto"/>
              </w:rPr>
            </w:pPr>
          </w:p>
        </w:tc>
        <w:tc>
          <w:tcPr>
            <w:tcW w:w="25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9"/>
              <w:spacing w:after="0" w:line="183" w:lineRule="exact"/>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9,670</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9,742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estimated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based on quoted market prices at March 31, 2026 and December 31, 2025, was $9.3 billion and $9.4 billion, respectively.</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March 31, 2026, SLB had committed credit facility agreements with commercial banks aggregating $5.0 billion, of which $2.0 billion matures in February 2029 and $3.0 billion matures in December 2030. These committed facilities support commercial paper programs in the United States and Europe. There were no borrowings under these facilities at March 31, 2026 or December 31, 2025.</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Commercial paper borrowings are classified as long-term debt to the extent they are backed up by available and unused committed credit facilities maturing in more than one year and to the extent it is SLB’s intent to maintain these obligations for longer than one year. Borrowings under the commercial paper programs at March 31, 2026 were $0.8 billion, all of which were classified in </w:t>
      </w:r>
      <w:r>
        <w:rPr>
          <w:rFonts w:ascii="Arial" w:cs="Arial" w:eastAsia="Arial" w:hAnsi="Arial"/>
          <w:sz w:val="16"/>
          <w:szCs w:val="16"/>
          <w:i w:val="1"/>
          <w:iCs w:val="1"/>
          <w:color w:val="auto"/>
        </w:rPr>
        <w:t>Short-term borrowings and current portion of long-term debt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Balance Sheet</w:t>
      </w:r>
      <w:r>
        <w:rPr>
          <w:rFonts w:ascii="Arial" w:cs="Arial" w:eastAsia="Arial" w:hAnsi="Arial"/>
          <w:sz w:val="16"/>
          <w:szCs w:val="16"/>
          <w:color w:val="auto"/>
        </w:rPr>
        <w:t>. There were no borrowings under the commercial paper programs at December 31, 2025.</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86" w:lineRule="auto"/>
        <w:rPr>
          <w:sz w:val="20"/>
          <w:szCs w:val="20"/>
          <w:color w:val="auto"/>
        </w:rPr>
      </w:pPr>
      <w:r>
        <w:rPr>
          <w:rFonts w:ascii="Arial" w:cs="Arial" w:eastAsia="Arial" w:hAnsi="Arial"/>
          <w:sz w:val="16"/>
          <w:szCs w:val="16"/>
          <w:color w:val="auto"/>
        </w:rPr>
        <w:t>SLB Limited fully and unconditionally guarantees the publicly-held debt securities issued by Schlumberger Investment S.A., an indirect wholly-owned subsidiary of SLB Limited.</w:t>
      </w:r>
    </w:p>
    <w:p>
      <w:pPr>
        <w:spacing w:after="0" w:line="156"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March 31, 2026, were as follows:</w:t>
      </w:r>
    </w:p>
    <w:p>
      <w:pPr>
        <w:spacing w:after="0" w:line="113" w:lineRule="exact"/>
        <w:rPr>
          <w:sz w:val="20"/>
          <w:szCs w:val="20"/>
          <w:color w:val="auto"/>
        </w:rPr>
      </w:pPr>
    </w:p>
    <w:p>
      <w:pPr>
        <w:jc w:val="both"/>
        <w:ind w:left="1020" w:hanging="503"/>
        <w:spacing w:after="0" w:line="251"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During 2019, SLB entered into cross-currency interest rate swaps in order to hedge changes in the fair value of its €0.5 billion 0.25% Notes due 2027 and €0.5 billion 0.50% Notes due 2031 that were issued by a US-dollar functional currency subsidiary. These cross-currency interest rate swaps effectively convert the Euro-denominated notes to US-dollar denominated debt with fixed annual interest rates of 2.51% and 2.76%, respectively.</w:t>
      </w:r>
    </w:p>
    <w:p>
      <w:pPr>
        <w:spacing w:after="0" w:line="1" w:lineRule="exact"/>
        <w:rPr>
          <w:rFonts w:ascii="Times New Roman" w:cs="Times New Roman" w:eastAsia="Times New Roman" w:hAnsi="Times New Roman"/>
          <w:sz w:val="16"/>
          <w:szCs w:val="16"/>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US dollar value of its €0.4 billion of 0.25% Notes due 2027 and €0.4 billion of 0.50% Notes due 2031. These cross-currency interest rate swaps effectively convert the Euro-denominated notes to US-dollar denominated debt with fixed annual interest rates of 1.87% and 2.20%, respectively.</w:t>
      </w:r>
    </w:p>
    <w:p>
      <w:pPr>
        <w:jc w:val="both"/>
        <w:ind w:left="1020" w:hanging="503"/>
        <w:spacing w:after="0" w:line="252" w:lineRule="auto"/>
        <w:tabs>
          <w:tab w:leader="none" w:pos="102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US dollar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4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 31, 2026</w:t>
            </w:r>
          </w:p>
        </w:tc>
        <w:tc>
          <w:tcPr>
            <w:tcW w:w="2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Dec. 31, 2025</w:t>
            </w:r>
          </w:p>
        </w:tc>
        <w:tc>
          <w:tcPr>
            <w:tcW w:w="100" w:type="dxa"/>
            <w:vAlign w:val="bottom"/>
          </w:tcPr>
          <w:p>
            <w:pPr>
              <w:spacing w:after="0"/>
              <w:rPr>
                <w:sz w:val="24"/>
                <w:szCs w:val="24"/>
                <w:color w:val="auto"/>
              </w:rPr>
            </w:pPr>
          </w:p>
        </w:tc>
      </w:tr>
      <w:tr>
        <w:trPr>
          <w:trHeight w:val="183"/>
        </w:trPr>
        <w:tc>
          <w:tcPr>
            <w:tcW w:w="45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Other current assets</w:t>
            </w:r>
          </w:p>
        </w:tc>
        <w:tc>
          <w:tcPr>
            <w:tcW w:w="4460" w:type="dxa"/>
            <w:vAlign w:val="bottom"/>
            <w:gridSpan w:val="2"/>
            <w:shd w:val="clear" w:color="auto" w:fill="CFF0FC"/>
          </w:tcPr>
          <w:p>
            <w:pPr>
              <w:jc w:val="right"/>
              <w:ind w:right="1179"/>
              <w:spacing w:after="0" w:line="183" w:lineRule="exact"/>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65</w:t>
            </w:r>
          </w:p>
        </w:tc>
        <w:tc>
          <w:tcPr>
            <w:tcW w:w="4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93</w:t>
            </w:r>
          </w:p>
        </w:tc>
        <w:tc>
          <w:tcPr>
            <w:tcW w:w="100" w:type="dxa"/>
            <w:vAlign w:val="bottom"/>
            <w:shd w:val="clear" w:color="auto" w:fill="CFF0FC"/>
          </w:tcPr>
          <w:p>
            <w:pPr>
              <w:spacing w:after="0"/>
              <w:rPr>
                <w:sz w:val="15"/>
                <w:szCs w:val="15"/>
                <w:color w:val="auto"/>
              </w:rPr>
            </w:pPr>
          </w:p>
        </w:tc>
      </w:tr>
      <w:tr>
        <w:trPr>
          <w:trHeight w:val="189"/>
        </w:trPr>
        <w:tc>
          <w:tcPr>
            <w:tcW w:w="4560" w:type="dxa"/>
            <w:vAlign w:val="bottom"/>
          </w:tcPr>
          <w:p>
            <w:pPr>
              <w:spacing w:after="0"/>
              <w:rPr>
                <w:sz w:val="20"/>
                <w:szCs w:val="20"/>
                <w:color w:val="auto"/>
              </w:rPr>
            </w:pPr>
            <w:r>
              <w:rPr>
                <w:rFonts w:ascii="Arial" w:cs="Arial" w:eastAsia="Arial" w:hAnsi="Arial"/>
                <w:sz w:val="16"/>
                <w:szCs w:val="16"/>
                <w:i w:val="1"/>
                <w:iCs w:val="1"/>
                <w:color w:val="auto"/>
              </w:rPr>
              <w:t>Other Assets</w:t>
            </w:r>
          </w:p>
        </w:tc>
        <w:tc>
          <w:tcPr>
            <w:tcW w:w="4460" w:type="dxa"/>
            <w:vAlign w:val="bottom"/>
            <w:gridSpan w:val="2"/>
          </w:tcPr>
          <w:p>
            <w:pPr>
              <w:jc w:val="right"/>
              <w:ind w:right="117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6"/>
                <w:szCs w:val="16"/>
                <w:color w:val="auto"/>
              </w:rPr>
            </w:pPr>
          </w:p>
        </w:tc>
      </w:tr>
      <w:tr>
        <w:trPr>
          <w:trHeight w:val="189"/>
        </w:trPr>
        <w:tc>
          <w:tcPr>
            <w:tcW w:w="45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Liabilities</w:t>
            </w:r>
          </w:p>
        </w:tc>
        <w:tc>
          <w:tcPr>
            <w:tcW w:w="4460" w:type="dxa"/>
            <w:vAlign w:val="bottom"/>
            <w:gridSpan w:val="2"/>
            <w:shd w:val="clear" w:color="auto" w:fill="CFF0FC"/>
          </w:tcPr>
          <w:p>
            <w:pPr>
              <w:jc w:val="right"/>
              <w:ind w:right="1179"/>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6"/>
                <w:szCs w:val="16"/>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the fair value of the hedged item.</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Foreign currency forward contracts were outstanding for the US dollar equivalent of $5.9 billion and $6.3 billion in various foreign currencies as of March 31, 2026 and December 31, 2025, respectively.</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March 31, 2026 and December 31, 2025.</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jc w:val="both"/>
        <w:ind w:right="20"/>
        <w:spacing w:after="0" w:line="286" w:lineRule="auto"/>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5160" w:type="dxa"/>
            <w:vAlign w:val="bottom"/>
          </w:tcPr>
          <w:p>
            <w:pPr>
              <w:spacing w:after="0"/>
              <w:rPr>
                <w:sz w:val="24"/>
                <w:szCs w:val="24"/>
                <w:color w:val="auto"/>
              </w:rPr>
            </w:pPr>
          </w:p>
        </w:tc>
        <w:tc>
          <w:tcPr>
            <w:tcW w:w="262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rPr>
              <w:t>Gain (Loss) Recognized in</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rPr>
              <w:t>Income</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060" w:type="dxa"/>
            <w:vAlign w:val="bottom"/>
            <w:tcBorders>
              <w:bottom w:val="single" w:sz="8" w:color="auto"/>
            </w:tcBorders>
            <w:gridSpan w:val="5"/>
          </w:tcPr>
          <w:p>
            <w:pPr>
              <w:jc w:val="center"/>
              <w:ind w:left="239"/>
              <w:spacing w:after="0" w:line="183" w:lineRule="exact"/>
              <w:rPr>
                <w:sz w:val="20"/>
                <w:szCs w:val="20"/>
                <w:color w:val="auto"/>
              </w:rPr>
            </w:pPr>
            <w:r>
              <w:rPr>
                <w:rFonts w:ascii="Arial" w:cs="Arial" w:eastAsia="Arial" w:hAnsi="Arial"/>
                <w:sz w:val="16"/>
                <w:szCs w:val="16"/>
                <w:b w:val="1"/>
                <w:bCs w:val="1"/>
                <w:color w:val="auto"/>
              </w:rPr>
              <w:t>First Quarter</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60" w:type="dxa"/>
            <w:vAlign w:val="bottom"/>
            <w:vMerge w:val="restart"/>
          </w:tcPr>
          <w:p>
            <w:pPr>
              <w:spacing w:after="0"/>
              <w:rPr>
                <w:sz w:val="20"/>
                <w:szCs w:val="20"/>
                <w:color w:val="auto"/>
              </w:rPr>
            </w:pPr>
            <w:r>
              <w:rPr>
                <w:rFonts w:ascii="Arial" w:cs="Arial" w:eastAsia="Arial" w:hAnsi="Arial"/>
                <w:sz w:val="16"/>
                <w:szCs w:val="16"/>
                <w:color w:val="auto"/>
              </w:rPr>
              <w:t>Consolidated Statement of Income</w:t>
            </w: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2025</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182"/>
        </w:trPr>
        <w:tc>
          <w:tcPr>
            <w:tcW w:w="5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Derivatives designated as cash flow hedges:</w:t>
            </w:r>
          </w:p>
        </w:tc>
        <w:tc>
          <w:tcPr>
            <w:tcW w:w="72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Cross-currency interest rate swaps</w:t>
            </w:r>
          </w:p>
        </w:tc>
        <w:tc>
          <w:tcPr>
            <w:tcW w:w="720" w:type="dxa"/>
            <w:vAlign w:val="bottom"/>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(103)</w:t>
            </w:r>
          </w:p>
        </w:tc>
        <w:tc>
          <w:tcPr>
            <w:tcW w:w="9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Cross-currency interest rate swaps</w:t>
            </w:r>
          </w:p>
        </w:tc>
        <w:tc>
          <w:tcPr>
            <w:tcW w:w="72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(17)</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w:t>
            </w:r>
          </w:p>
        </w:tc>
        <w:tc>
          <w:tcPr>
            <w:tcW w:w="34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Interest expense</w:t>
            </w:r>
          </w:p>
        </w:tc>
        <w:tc>
          <w:tcPr>
            <w:tcW w:w="0" w:type="dxa"/>
            <w:vAlign w:val="bottom"/>
          </w:tcPr>
          <w:p>
            <w:pPr>
              <w:spacing w:after="0"/>
              <w:rPr>
                <w:sz w:val="1"/>
                <w:szCs w:val="1"/>
                <w:color w:val="auto"/>
              </w:rPr>
            </w:pP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Foreign currency forward contracts</w:t>
            </w:r>
          </w:p>
        </w:tc>
        <w:tc>
          <w:tcPr>
            <w:tcW w:w="72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(16)</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3460" w:type="dxa"/>
            <w:vAlign w:val="bottom"/>
          </w:tcPr>
          <w:p>
            <w:pPr>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Foreign currency forward contracts</w:t>
            </w:r>
          </w:p>
        </w:tc>
        <w:tc>
          <w:tcPr>
            <w:tcW w:w="7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34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tcPr>
          <w:p>
            <w:pPr>
              <w:spacing w:after="0"/>
              <w:rPr>
                <w:sz w:val="15"/>
                <w:szCs w:val="15"/>
                <w:color w:val="auto"/>
              </w:rPr>
            </w:pPr>
          </w:p>
        </w:tc>
        <w:tc>
          <w:tcPr>
            <w:tcW w:w="720" w:type="dxa"/>
            <w:vAlign w:val="bottom"/>
          </w:tcPr>
          <w:p>
            <w:pPr>
              <w:jc w:val="right"/>
              <w:ind w:right="539"/>
              <w:spacing w:after="0" w:line="183" w:lineRule="exact"/>
              <w:rPr>
                <w:sz w:val="20"/>
                <w:szCs w:val="20"/>
                <w:color w:val="auto"/>
              </w:rPr>
            </w:pPr>
            <w:r>
              <w:rPr>
                <w:rFonts w:ascii="Arial" w:cs="Arial" w:eastAsia="Arial" w:hAnsi="Arial"/>
                <w:sz w:val="16"/>
                <w:szCs w:val="16"/>
                <w:b w:val="1"/>
                <w:bCs w:val="1"/>
                <w:color w:val="auto"/>
                <w:w w:val="89"/>
              </w:rPr>
              <w:t>$</w:t>
            </w:r>
          </w:p>
        </w:tc>
        <w:tc>
          <w:tcPr>
            <w:tcW w:w="44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(122)</w:t>
            </w:r>
          </w:p>
        </w:tc>
        <w:tc>
          <w:tcPr>
            <w:tcW w:w="900" w:type="dxa"/>
            <w:vAlign w:val="bottom"/>
            <w:gridSpan w:val="2"/>
          </w:tcPr>
          <w:p>
            <w:pPr>
              <w:jc w:val="right"/>
              <w:ind w:right="620"/>
              <w:spacing w:after="0" w:line="183"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112</w:t>
            </w:r>
          </w:p>
        </w:tc>
        <w:tc>
          <w:tcPr>
            <w:tcW w:w="2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Derivatives not designated as hedges:</w:t>
            </w:r>
          </w:p>
        </w:tc>
        <w:tc>
          <w:tcPr>
            <w:tcW w:w="7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00"/>
              <w:spacing w:after="0" w:line="169" w:lineRule="exact"/>
              <w:rPr>
                <w:sz w:val="20"/>
                <w:szCs w:val="20"/>
                <w:color w:val="auto"/>
              </w:rPr>
            </w:pPr>
            <w:r>
              <w:rPr>
                <w:rFonts w:ascii="Arial" w:cs="Arial" w:eastAsia="Arial" w:hAnsi="Arial"/>
                <w:sz w:val="16"/>
                <w:szCs w:val="16"/>
                <w:color w:val="auto"/>
              </w:rPr>
              <w:t>Foreign currency forward contracts</w:t>
            </w:r>
          </w:p>
        </w:tc>
        <w:tc>
          <w:tcPr>
            <w:tcW w:w="720" w:type="dxa"/>
            <w:vAlign w:val="bottom"/>
          </w:tcPr>
          <w:p>
            <w:pPr>
              <w:jc w:val="right"/>
              <w:ind w:right="539"/>
              <w:spacing w:after="0" w:line="169" w:lineRule="exact"/>
              <w:rPr>
                <w:sz w:val="20"/>
                <w:szCs w:val="20"/>
                <w:color w:val="auto"/>
              </w:rPr>
            </w:pPr>
            <w:r>
              <w:rPr>
                <w:rFonts w:ascii="Arial" w:cs="Arial" w:eastAsia="Arial" w:hAnsi="Arial"/>
                <w:sz w:val="16"/>
                <w:szCs w:val="16"/>
                <w:b w:val="1"/>
                <w:bCs w:val="1"/>
                <w:color w:val="auto"/>
                <w:w w:val="89"/>
              </w:rPr>
              <w:t>$</w:t>
            </w:r>
          </w:p>
        </w:tc>
        <w:tc>
          <w:tcPr>
            <w:tcW w:w="440" w:type="dxa"/>
            <w:vAlign w:val="bottom"/>
            <w:gridSpan w:val="2"/>
          </w:tcPr>
          <w:p>
            <w:pPr>
              <w:jc w:val="right"/>
              <w:ind w:right="40"/>
              <w:spacing w:after="0" w:line="169" w:lineRule="exact"/>
              <w:rPr>
                <w:sz w:val="20"/>
                <w:szCs w:val="20"/>
                <w:color w:val="auto"/>
              </w:rPr>
            </w:pPr>
            <w:r>
              <w:rPr>
                <w:rFonts w:ascii="Arial" w:cs="Arial" w:eastAsia="Arial" w:hAnsi="Arial"/>
                <w:sz w:val="16"/>
                <w:szCs w:val="16"/>
                <w:b w:val="1"/>
                <w:bCs w:val="1"/>
                <w:color w:val="auto"/>
              </w:rPr>
              <w:t>(5)</w:t>
            </w:r>
          </w:p>
        </w:tc>
        <w:tc>
          <w:tcPr>
            <w:tcW w:w="900" w:type="dxa"/>
            <w:vAlign w:val="bottom"/>
            <w:gridSpan w:val="2"/>
          </w:tcPr>
          <w:p>
            <w:pPr>
              <w:jc w:val="right"/>
              <w:ind w:right="620"/>
              <w:spacing w:after="0" w:line="169"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69" w:lineRule="exact"/>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3460" w:type="dxa"/>
            <w:vAlign w:val="bottom"/>
          </w:tcPr>
          <w:p>
            <w:pPr>
              <w:spacing w:after="0" w:line="169" w:lineRule="exact"/>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-419100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-419100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has issued credit default swaps (“CDSs”) to certain third-party financial institutions that have an aggregate notional amount outstanding of approximately $ 0.3 billion as of March 31, 2026. The CDSs relate to borrowings provided by the financial institutions to SLB’s primary customer in Mexico. The borrowings were used by this customer to pay certain of SLB’s outstanding receivables. The $0.3 billion of outstanding CDSs will reduce on a monthly basis over its remaining 3-month term. The fair value of these derivative liabilities was not material at March 31, 2026 or December 31, 2025.</w:t>
      </w:r>
    </w:p>
    <w:p>
      <w:pPr>
        <w:spacing w:after="0" w:line="17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2" w:name="page13"/>
    <w:bookmarkEnd w:id="12"/>
    <w:p>
      <w:pPr>
        <w:ind w:left="360" w:hanging="352"/>
        <w:spacing w:after="0"/>
        <w:tabs>
          <w:tab w:leader="none" w:pos="3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by segment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First Quarter 2026</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8" w:lineRule="exact"/>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80"/>
              <w:spacing w:after="0" w:line="163" w:lineRule="exact"/>
              <w:rPr>
                <w:sz w:val="20"/>
                <w:szCs w:val="20"/>
                <w:color w:val="auto"/>
              </w:rPr>
            </w:pPr>
            <w:r>
              <w:rPr>
                <w:rFonts w:ascii="Arial" w:cs="Arial" w:eastAsia="Arial" w:hAnsi="Arial"/>
                <w:sz w:val="16"/>
                <w:szCs w:val="16"/>
                <w:b w:val="1"/>
                <w:bCs w:val="1"/>
                <w:color w:val="auto"/>
                <w:w w:val="99"/>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w w:val="98"/>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rPr>
              <w:t>Capital</w:t>
            </w:r>
          </w:p>
        </w:tc>
      </w:tr>
      <w:tr>
        <w:trPr>
          <w:trHeight w:val="230"/>
        </w:trPr>
        <w:tc>
          <w:tcPr>
            <w:tcW w:w="3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Before Taxes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60"/>
              <w:spacing w:after="0" w:line="230" w:lineRule="exact"/>
              <w:rPr>
                <w:sz w:val="20"/>
                <w:szCs w:val="20"/>
                <w:color w:val="auto"/>
              </w:rPr>
            </w:pPr>
            <w:r>
              <w:rPr>
                <w:rFonts w:ascii="Arial" w:cs="Arial" w:eastAsia="Arial" w:hAnsi="Arial"/>
                <w:sz w:val="16"/>
                <w:szCs w:val="16"/>
                <w:b w:val="1"/>
                <w:bCs w:val="1"/>
                <w:color w:val="auto"/>
                <w:w w:val="97"/>
              </w:rPr>
              <w:t xml:space="preserve">Investments </w:t>
            </w:r>
            <w:r>
              <w:rPr>
                <w:rFonts w:ascii="Arial" w:cs="Arial" w:eastAsia="Arial" w:hAnsi="Arial"/>
                <w:sz w:val="21"/>
                <w:szCs w:val="21"/>
                <w:b w:val="1"/>
                <w:bCs w:val="1"/>
                <w:color w:val="auto"/>
                <w:w w:val="97"/>
                <w:vertAlign w:val="superscript"/>
              </w:rPr>
              <w:t>(5)</w:t>
            </w:r>
          </w:p>
        </w:tc>
        <w:tc>
          <w:tcPr>
            <w:tcW w:w="120" w:type="dxa"/>
            <w:vAlign w:val="bottom"/>
          </w:tcPr>
          <w:p>
            <w:pPr>
              <w:spacing w:after="0"/>
              <w:rPr>
                <w:sz w:val="19"/>
                <w:szCs w:val="19"/>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640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134</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33</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65</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1,594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257</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2,797</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424</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161</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3,508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443</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(261)</w:t>
            </w: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(104)</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(228)</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(116)</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(41)</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30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8,721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956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685</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510</w:t>
            </w:r>
          </w:p>
        </w:tc>
        <w:tc>
          <w:tcPr>
            <w:tcW w:w="120" w:type="dxa"/>
            <w:vAlign w:val="bottom"/>
            <w:shd w:val="clear" w:color="auto" w:fill="CFF0FC"/>
          </w:tcPr>
          <w:p>
            <w:pPr>
              <w:spacing w:after="0"/>
              <w:rPr>
                <w:sz w:val="19"/>
                <w:szCs w:val="19"/>
                <w:color w:val="auto"/>
              </w:rPr>
            </w:pPr>
          </w:p>
        </w:tc>
      </w:tr>
      <w:tr>
        <w:trPr>
          <w:trHeight w:val="445"/>
        </w:trPr>
        <w:tc>
          <w:tcPr>
            <w:tcW w:w="304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120" w:type="dxa"/>
            <w:vAlign w:val="bottom"/>
            <w:tcBorders>
              <w:top w:val="single" w:sz="8" w:color="CFF0FC"/>
            </w:tcBorders>
          </w:tcPr>
          <w:p>
            <w:pPr>
              <w:spacing w:after="0"/>
              <w:rPr>
                <w:sz w:val="24"/>
                <w:szCs w:val="24"/>
                <w:color w:val="auto"/>
              </w:rPr>
            </w:pP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color w:val="auto"/>
              </w:rPr>
              <w:t>First Quarter 2025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99"/>
              <w:spacing w:after="0" w:line="168" w:lineRule="exact"/>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60"/>
              <w:spacing w:after="0" w:line="163" w:lineRule="exact"/>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color w:val="auto"/>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3" w:lineRule="exact"/>
              <w:rPr>
                <w:sz w:val="20"/>
                <w:szCs w:val="20"/>
                <w:color w:val="auto"/>
              </w:rPr>
            </w:pPr>
            <w:r>
              <w:rPr>
                <w:rFonts w:ascii="Arial" w:cs="Arial" w:eastAsia="Arial" w:hAnsi="Arial"/>
                <w:sz w:val="16"/>
                <w:szCs w:val="16"/>
                <w:color w:val="auto"/>
              </w:rPr>
              <w:t>Capital</w:t>
            </w:r>
          </w:p>
        </w:tc>
      </w:tr>
      <w:tr>
        <w:trPr>
          <w:trHeight w:val="229"/>
        </w:trPr>
        <w:tc>
          <w:tcPr>
            <w:tcW w:w="3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Before Taxes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60"/>
              <w:spacing w:after="0" w:line="230" w:lineRule="exact"/>
              <w:rPr>
                <w:sz w:val="20"/>
                <w:szCs w:val="20"/>
                <w:color w:val="auto"/>
              </w:rPr>
            </w:pPr>
            <w:r>
              <w:rPr>
                <w:rFonts w:ascii="Arial" w:cs="Arial" w:eastAsia="Arial" w:hAnsi="Arial"/>
                <w:sz w:val="16"/>
                <w:szCs w:val="16"/>
                <w:color w:val="auto"/>
                <w:w w:val="96"/>
              </w:rPr>
              <w:t xml:space="preserve">Investments </w:t>
            </w:r>
            <w:r>
              <w:rPr>
                <w:rFonts w:ascii="Arial" w:cs="Arial" w:eastAsia="Arial" w:hAnsi="Arial"/>
                <w:sz w:val="21"/>
                <w:szCs w:val="21"/>
                <w:color w:val="auto"/>
                <w:w w:val="96"/>
                <w:vertAlign w:val="superscript"/>
              </w:rPr>
              <w:t>(5)</w:t>
            </w:r>
          </w:p>
        </w:tc>
        <w:tc>
          <w:tcPr>
            <w:tcW w:w="120" w:type="dxa"/>
            <w:vAlign w:val="bottom"/>
          </w:tcPr>
          <w:p>
            <w:pPr>
              <w:spacing w:after="0"/>
              <w:rPr>
                <w:sz w:val="19"/>
                <w:szCs w:val="19"/>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587</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125</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56</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2,977</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2,841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(177)</w:t>
            </w: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(179)</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(144)</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(206)</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0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8,490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1,063</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640</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557</w:t>
            </w:r>
          </w:p>
        </w:tc>
        <w:tc>
          <w:tcPr>
            <w:tcW w:w="120" w:type="dxa"/>
            <w:vAlign w:val="bottom"/>
            <w:shd w:val="clear" w:color="auto" w:fill="CFF0FC"/>
          </w:tcPr>
          <w:p>
            <w:pPr>
              <w:spacing w:after="0"/>
              <w:rPr>
                <w:sz w:val="17"/>
                <w:szCs w:val="17"/>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-2287905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-2270760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-2287905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-2270760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-2287905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-2270760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-2287905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-2270760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5" w:lineRule="exact"/>
        <w:rPr>
          <w:sz w:val="20"/>
          <w:szCs w:val="20"/>
          <w:color w:val="auto"/>
        </w:rPr>
      </w:pPr>
    </w:p>
    <w:p>
      <w:pPr>
        <w:ind w:left="380" w:hanging="372"/>
        <w:spacing w:after="0" w:line="222"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($5 million in 2026; $- million in 2025).</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 million in 2026; $3 million in 2025).</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Capital investments includes capital expenditures, APS investments, and exploration data costs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Total assets by segment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7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Mar.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Arial" w:cs="Arial" w:eastAsia="Arial" w:hAnsi="Arial"/>
                <w:sz w:val="16"/>
                <w:szCs w:val="16"/>
                <w:color w:val="auto"/>
              </w:rPr>
              <w:t>Dec. 31,</w:t>
            </w:r>
          </w:p>
        </w:tc>
      </w:tr>
      <w:tr>
        <w:trPr>
          <w:trHeight w:val="203"/>
        </w:trPr>
        <w:tc>
          <w:tcPr>
            <w:tcW w:w="7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r>
      <w:tr>
        <w:trPr>
          <w:trHeight w:val="183"/>
        </w:trPr>
        <w:tc>
          <w:tcPr>
            <w:tcW w:w="7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902</w:t>
            </w:r>
          </w:p>
        </w:tc>
        <w:tc>
          <w:tcPr>
            <w:tcW w:w="4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925</w:t>
            </w:r>
          </w:p>
        </w:tc>
        <w:tc>
          <w:tcPr>
            <w:tcW w:w="100" w:type="dxa"/>
            <w:vAlign w:val="bottom"/>
            <w:shd w:val="clear" w:color="auto" w:fill="CFF0FC"/>
          </w:tcPr>
          <w:p>
            <w:pPr>
              <w:spacing w:after="0"/>
              <w:rPr>
                <w:sz w:val="15"/>
                <w:szCs w:val="15"/>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Reservoir Performance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4,063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16"/>
                <w:szCs w:val="16"/>
                <w:color w:val="auto"/>
              </w:rPr>
            </w:pPr>
          </w:p>
        </w:tc>
      </w:tr>
      <w:tr>
        <w:trPr>
          <w:trHeight w:val="18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6,395</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6,167</w:t>
            </w:r>
          </w:p>
        </w:tc>
        <w:tc>
          <w:tcPr>
            <w:tcW w:w="100" w:type="dxa"/>
            <w:vAlign w:val="bottom"/>
            <w:shd w:val="clear" w:color="auto" w:fill="CFF0FC"/>
          </w:tcPr>
          <w:p>
            <w:pPr>
              <w:spacing w:after="0"/>
              <w:rPr>
                <w:sz w:val="16"/>
                <w:szCs w:val="16"/>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Production Systems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9,414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9,373</w:t>
            </w:r>
          </w:p>
        </w:tc>
        <w:tc>
          <w:tcPr>
            <w:tcW w:w="100" w:type="dxa"/>
            <w:vAlign w:val="bottom"/>
          </w:tcPr>
          <w:p>
            <w:pPr>
              <w:spacing w:after="0"/>
              <w:rPr>
                <w:sz w:val="16"/>
                <w:szCs w:val="16"/>
                <w:color w:val="auto"/>
              </w:rPr>
            </w:pPr>
          </w:p>
        </w:tc>
      </w:tr>
      <w:tr>
        <w:trPr>
          <w:trHeight w:val="18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2,327</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2,249</w:t>
            </w:r>
          </w:p>
        </w:tc>
        <w:tc>
          <w:tcPr>
            <w:tcW w:w="100" w:type="dxa"/>
            <w:vAlign w:val="bottom"/>
            <w:shd w:val="clear" w:color="auto" w:fill="CFF0FC"/>
          </w:tcPr>
          <w:p>
            <w:pPr>
              <w:spacing w:after="0"/>
              <w:rPr>
                <w:sz w:val="16"/>
                <w:szCs w:val="16"/>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Eliminations and other</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1,094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6"/>
                <w:szCs w:val="16"/>
                <w:color w:val="auto"/>
              </w:rPr>
            </w:pPr>
          </w:p>
        </w:tc>
      </w:tr>
      <w:tr>
        <w:trPr>
          <w:trHeight w:val="18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Goodwill and intangibles</w:t>
            </w: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21,753</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21,783</w:t>
            </w:r>
          </w:p>
        </w:tc>
        <w:tc>
          <w:tcPr>
            <w:tcW w:w="100" w:type="dxa"/>
            <w:vAlign w:val="bottom"/>
            <w:shd w:val="clear" w:color="auto" w:fill="CFF0FC"/>
          </w:tcPr>
          <w:p>
            <w:pPr>
              <w:spacing w:after="0"/>
              <w:rPr>
                <w:sz w:val="16"/>
                <w:szCs w:val="16"/>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Cash and short-term investments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3,387</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4,212</w:t>
            </w:r>
          </w:p>
        </w:tc>
        <w:tc>
          <w:tcPr>
            <w:tcW w:w="100" w:type="dxa"/>
            <w:vAlign w:val="bottom"/>
          </w:tcPr>
          <w:p>
            <w:pPr>
              <w:spacing w:after="0"/>
              <w:rPr>
                <w:sz w:val="16"/>
                <w:szCs w:val="16"/>
                <w:color w:val="auto"/>
              </w:rPr>
            </w:pPr>
          </w:p>
        </w:tc>
      </w:tr>
      <w:tr>
        <w:trPr>
          <w:trHeight w:val="189"/>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All other assets</w:t>
            </w:r>
          </w:p>
        </w:tc>
        <w:tc>
          <w:tcPr>
            <w:tcW w:w="2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5,191</w:t>
            </w:r>
          </w:p>
        </w:tc>
        <w:tc>
          <w:tcPr>
            <w:tcW w:w="2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5,179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88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54,526</w:t>
            </w:r>
          </w:p>
        </w:tc>
        <w:tc>
          <w:tcPr>
            <w:tcW w:w="4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54,868</w:t>
            </w:r>
          </w:p>
        </w:tc>
        <w:tc>
          <w:tcPr>
            <w:tcW w:w="100" w:type="dxa"/>
            <w:vAlign w:val="bottom"/>
          </w:tcPr>
          <w:p>
            <w:pPr>
              <w:spacing w:after="0"/>
              <w:rPr>
                <w:sz w:val="15"/>
                <w:szCs w:val="15"/>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Segment assets consist of receivables, inventories, fixed assets, exploration data costs capitalized, and APS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area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First Quarter</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0"/>
              <w:spacing w:after="0" w:line="183"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5"/>
                <w:szCs w:val="15"/>
                <w:color w:val="auto"/>
              </w:rPr>
            </w:pPr>
          </w:p>
        </w:tc>
      </w:tr>
      <w:tr>
        <w:trPr>
          <w:trHeight w:val="183"/>
        </w:trPr>
        <w:tc>
          <w:tcPr>
            <w:tcW w:w="7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North America</w:t>
            </w:r>
          </w:p>
        </w:tc>
        <w:tc>
          <w:tcPr>
            <w:tcW w:w="1160" w:type="dxa"/>
            <w:vAlign w:val="bottom"/>
            <w:gridSpan w:val="2"/>
            <w:shd w:val="clear" w:color="auto" w:fill="CFF0FC"/>
          </w:tcPr>
          <w:p>
            <w:pPr>
              <w:jc w:val="right"/>
              <w:ind w:right="999"/>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2,167</w:t>
            </w:r>
          </w:p>
        </w:tc>
        <w:tc>
          <w:tcPr>
            <w:tcW w:w="720" w:type="dxa"/>
            <w:vAlign w:val="bottom"/>
            <w:gridSpan w:val="2"/>
            <w:shd w:val="clear" w:color="auto" w:fill="CFF0FC"/>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1,719</w:t>
            </w:r>
          </w:p>
        </w:tc>
        <w:tc>
          <w:tcPr>
            <w:tcW w:w="100" w:type="dxa"/>
            <w:vAlign w:val="bottom"/>
            <w:shd w:val="clear" w:color="auto" w:fill="CFF0FC"/>
          </w:tcPr>
          <w:p>
            <w:pPr>
              <w:spacing w:after="0"/>
              <w:rPr>
                <w:sz w:val="15"/>
                <w:szCs w:val="15"/>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Latin America</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1,528</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Pr>
          <w:p>
            <w:pPr>
              <w:spacing w:after="0"/>
              <w:rPr>
                <w:sz w:val="16"/>
                <w:szCs w:val="16"/>
                <w:color w:val="auto"/>
              </w:rPr>
            </w:pPr>
          </w:p>
        </w:tc>
      </w:tr>
      <w:tr>
        <w:trPr>
          <w:trHeight w:val="189"/>
        </w:trPr>
        <w:tc>
          <w:tcPr>
            <w:tcW w:w="74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Europe &amp; Africa </w:t>
            </w:r>
            <w:r>
              <w:rPr>
                <w:rFonts w:ascii="Arial" w:cs="Arial" w:eastAsia="Arial" w:hAnsi="Arial"/>
                <w:sz w:val="21"/>
                <w:szCs w:val="21"/>
                <w:color w:val="auto"/>
                <w:vertAlign w:val="superscript"/>
              </w:rPr>
              <w:t>(1)</w:t>
            </w:r>
          </w:p>
        </w:tc>
        <w:tc>
          <w:tcPr>
            <w:tcW w:w="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2,256</w:t>
            </w: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2,235</w:t>
            </w:r>
          </w:p>
        </w:tc>
        <w:tc>
          <w:tcPr>
            <w:tcW w:w="100" w:type="dxa"/>
            <w:vAlign w:val="bottom"/>
            <w:shd w:val="clear" w:color="auto" w:fill="CFF0FC"/>
          </w:tcPr>
          <w:p>
            <w:pPr>
              <w:spacing w:after="0"/>
              <w:rPr>
                <w:sz w:val="16"/>
                <w:szCs w:val="16"/>
                <w:color w:val="auto"/>
              </w:rPr>
            </w:pPr>
          </w:p>
        </w:tc>
      </w:tr>
      <w:tr>
        <w:trPr>
          <w:trHeight w:val="189"/>
        </w:trPr>
        <w:tc>
          <w:tcPr>
            <w:tcW w:w="7400" w:type="dxa"/>
            <w:vAlign w:val="bottom"/>
          </w:tcPr>
          <w:p>
            <w:pPr>
              <w:spacing w:after="0"/>
              <w:rPr>
                <w:sz w:val="20"/>
                <w:szCs w:val="20"/>
                <w:color w:val="auto"/>
              </w:rPr>
            </w:pPr>
            <w:r>
              <w:rPr>
                <w:rFonts w:ascii="Arial" w:cs="Arial" w:eastAsia="Arial" w:hAnsi="Arial"/>
                <w:sz w:val="16"/>
                <w:szCs w:val="16"/>
                <w:color w:val="auto"/>
              </w:rPr>
              <w:t>Middle East &amp; Asia</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2,687</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2,997</w:t>
            </w:r>
          </w:p>
        </w:tc>
        <w:tc>
          <w:tcPr>
            <w:tcW w:w="100" w:type="dxa"/>
            <w:vAlign w:val="bottom"/>
          </w:tcPr>
          <w:p>
            <w:pPr>
              <w:spacing w:after="0"/>
              <w:rPr>
                <w:sz w:val="16"/>
                <w:szCs w:val="16"/>
                <w:color w:val="auto"/>
              </w:rPr>
            </w:pPr>
          </w:p>
        </w:tc>
      </w:tr>
      <w:tr>
        <w:trPr>
          <w:trHeight w:val="189"/>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83</w:t>
            </w:r>
          </w:p>
        </w:tc>
        <w:tc>
          <w:tcPr>
            <w:tcW w:w="3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400" w:type="dxa"/>
            <w:vAlign w:val="bottom"/>
          </w:tcPr>
          <w:p>
            <w:pPr>
              <w:spacing w:after="0"/>
              <w:rPr>
                <w:sz w:val="15"/>
                <w:szCs w:val="15"/>
                <w:color w:val="auto"/>
              </w:rPr>
            </w:pPr>
          </w:p>
        </w:tc>
        <w:tc>
          <w:tcPr>
            <w:tcW w:w="1160" w:type="dxa"/>
            <w:vAlign w:val="bottom"/>
            <w:gridSpan w:val="2"/>
          </w:tcPr>
          <w:p>
            <w:pPr>
              <w:jc w:val="right"/>
              <w:ind w:right="999"/>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8,721</w:t>
            </w:r>
          </w:p>
        </w:tc>
        <w:tc>
          <w:tcPr>
            <w:tcW w:w="720" w:type="dxa"/>
            <w:vAlign w:val="bottom"/>
            <w:gridSpan w:val="2"/>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8,490</w:t>
            </w:r>
          </w:p>
        </w:tc>
        <w:tc>
          <w:tcPr>
            <w:tcW w:w="100" w:type="dxa"/>
            <w:vAlign w:val="bottom"/>
          </w:tcPr>
          <w:p>
            <w:pPr>
              <w:spacing w:after="0"/>
              <w:rPr>
                <w:sz w:val="15"/>
                <w:szCs w:val="15"/>
                <w:color w:val="auto"/>
              </w:rPr>
            </w:pPr>
          </w:p>
        </w:tc>
      </w:tr>
      <w:tr>
        <w:trPr>
          <w:trHeight w:val="20"/>
        </w:trPr>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-153670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Includes Russia and the Caspian region.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6"/>
                <w:szCs w:val="16"/>
                <w:b w:val="1"/>
                <w:bCs w:val="1"/>
                <w:color w:val="auto"/>
              </w:rPr>
              <w:t>First Quarter 2026</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520"/>
              <w:spacing w:after="0" w:line="168" w:lineRule="exact"/>
              <w:rPr>
                <w:sz w:val="20"/>
                <w:szCs w:val="20"/>
                <w:color w:val="auto"/>
              </w:rPr>
            </w:pPr>
            <w:r>
              <w:rPr>
                <w:rFonts w:ascii="Arial" w:cs="Arial" w:eastAsia="Arial" w:hAnsi="Arial"/>
                <w:sz w:val="16"/>
                <w:szCs w:val="16"/>
                <w:b w:val="1"/>
                <w:bCs w:val="1"/>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Other</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16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197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443</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741"/>
              <w:spacing w:after="0" w:line="183" w:lineRule="exact"/>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640</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1,445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1,594</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2,195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2,797</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1,206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2,272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3,508</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443</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(70)</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(184)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(261)</w:t>
            </w:r>
          </w:p>
        </w:tc>
      </w:tr>
      <w:tr>
        <w:trPr>
          <w:trHeight w:val="183"/>
        </w:trPr>
        <w:tc>
          <w:tcPr>
            <w:tcW w:w="3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2,167</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6,471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8,721</w:t>
            </w:r>
          </w:p>
        </w:tc>
        <w:tc>
          <w:tcPr>
            <w:tcW w:w="120" w:type="dxa"/>
            <w:vAlign w:val="bottom"/>
          </w:tcPr>
          <w:p>
            <w:pPr>
              <w:spacing w:after="0"/>
              <w:rPr>
                <w:sz w:val="15"/>
                <w:szCs w:val="15"/>
                <w:color w:val="auto"/>
              </w:rPr>
            </w:pP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5"/>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6"/>
                <w:szCs w:val="16"/>
                <w:color w:val="auto"/>
              </w:rPr>
              <w:t>First Quarter 2025</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520"/>
              <w:spacing w:after="0" w:line="168" w:lineRule="exact"/>
              <w:rPr>
                <w:sz w:val="20"/>
                <w:szCs w:val="20"/>
                <w:color w:val="auto"/>
              </w:rPr>
            </w:pPr>
            <w:r>
              <w:rPr>
                <w:rFonts w:ascii="Arial" w:cs="Arial" w:eastAsia="Arial" w:hAnsi="Arial"/>
                <w:sz w:val="16"/>
                <w:szCs w:val="16"/>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16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416</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741"/>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587</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2,381</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2,977</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2,841</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(177)</w:t>
            </w: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35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1,719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6,727</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741"/>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8,490</w:t>
            </w:r>
          </w:p>
        </w:tc>
        <w:tc>
          <w:tcPr>
            <w:tcW w:w="120" w:type="dxa"/>
            <w:vAlign w:val="bottom"/>
            <w:shd w:val="clear" w:color="auto" w:fill="CFF0FC"/>
          </w:tcPr>
          <w:p>
            <w:pPr>
              <w:spacing w:after="0"/>
              <w:rPr>
                <w:sz w:val="19"/>
                <w:szCs w:val="19"/>
                <w:color w:val="auto"/>
              </w:rPr>
            </w:pPr>
          </w:p>
        </w:tc>
      </w:tr>
      <w:tr>
        <w:trPr>
          <w:trHeight w:val="613"/>
        </w:trPr>
        <w:tc>
          <w:tcPr>
            <w:tcW w:w="3560" w:type="dxa"/>
            <w:vAlign w:val="bottom"/>
            <w:tcBorders>
              <w:top w:val="single" w:sz="8" w:color="CFF0FC"/>
            </w:tcBorders>
          </w:tcPr>
          <w:p>
            <w:pPr>
              <w:spacing w:after="0"/>
              <w:rPr>
                <w:sz w:val="24"/>
                <w:szCs w:val="24"/>
                <w:color w:val="auto"/>
              </w:rPr>
            </w:pPr>
          </w:p>
        </w:tc>
        <w:tc>
          <w:tcPr>
            <w:tcW w:w="18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51"/>
        </w:trPr>
        <w:tc>
          <w:tcPr>
            <w:tcW w:w="35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-916305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-899795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-916305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-899795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-916305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-899795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Significant segment expenses, which represent the difference between segment revenue and pretax segment income,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First Quarter 2026</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b w:val="1"/>
                <w:bCs w:val="1"/>
                <w:color w:val="auto"/>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Digital</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840" w:type="dxa"/>
            <w:vAlign w:val="bottom"/>
            <w:shd w:val="clear" w:color="auto" w:fill="CFF0FC"/>
          </w:tcPr>
          <w:p>
            <w:pPr>
              <w:jc w:val="right"/>
              <w:ind w:right="68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7"/>
              </w:rPr>
              <w:t>183</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387</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582</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466</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270</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768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1,990</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152</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88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162</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229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202</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405</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633</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840" w:type="dxa"/>
            <w:vAlign w:val="bottom"/>
          </w:tcPr>
          <w:p>
            <w:pPr>
              <w:jc w:val="right"/>
              <w:ind w:right="68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7"/>
              </w:rPr>
              <w:t>506</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1,337</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4"/>
              </w:rPr>
              <w:t>2,373</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3,011</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1"/>
        </w:trPr>
        <w:tc>
          <w:tcPr>
            <w:tcW w:w="5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First Quarter 2025</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color w:val="auto"/>
                <w:w w:val="96"/>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Digital</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840" w:type="dxa"/>
            <w:vAlign w:val="bottom"/>
            <w:shd w:val="clear" w:color="auto" w:fill="CFF0FC"/>
          </w:tcPr>
          <w:p>
            <w:pPr>
              <w:jc w:val="right"/>
              <w:ind w:right="68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7"/>
              </w:rPr>
              <w:t>189</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407</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604</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240</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1,731</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140</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433</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w w:val="97"/>
              </w:rPr>
              <w:t>462</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1,418</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w w:val="94"/>
              </w:rPr>
              <w:t>2,388</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2,370</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-1636395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-1636395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-1636395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-1636395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-153670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Other segment expenses include transportation, mobilization, lease, professional fees, and other costs.</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$0.6 billion at March 31, 2026 and $0.4 billion at December 31, 2025.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Total backlog was $5.9 billion at March 31, 2026, of which approximately 65% is expected to be recognized as revenue over the next 12 months.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Billings and cash collections in excess of revenue was $2.5 billion at March 31, 2026 and $2.3 billion at December 31, 2025. Such amounts are included within </w:t>
      </w:r>
      <w:r>
        <w:rPr>
          <w:rFonts w:ascii="Arial" w:cs="Arial" w:eastAsia="Arial" w:hAnsi="Arial"/>
          <w:sz w:val="16"/>
          <w:szCs w:val="16"/>
          <w:i w:val="1"/>
          <w:iCs w:val="1"/>
          <w:color w:val="auto"/>
        </w:rPr>
        <w:t>Accounts payable and accrued liabilities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Item 2. Management’s Discussion and Analysis of Financial Condition and Results of Operations.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First Quarter 2026 Compared to First Quarter 2025</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First Quarter 2026</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840"/>
              <w:spacing w:after="0"/>
              <w:rPr>
                <w:sz w:val="20"/>
                <w:szCs w:val="20"/>
                <w:color w:val="auto"/>
              </w:rPr>
            </w:pPr>
            <w:r>
              <w:rPr>
                <w:rFonts w:ascii="Arial" w:cs="Arial" w:eastAsia="Arial" w:hAnsi="Arial"/>
                <w:sz w:val="16"/>
                <w:szCs w:val="16"/>
                <w:color w:val="auto"/>
              </w:rPr>
              <w:t>First Quarter 2025</w:t>
            </w: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left="239"/>
              <w:spacing w:after="0" w:line="168" w:lineRule="exact"/>
              <w:rPr>
                <w:sz w:val="20"/>
                <w:szCs w:val="20"/>
                <w:color w:val="auto"/>
              </w:rPr>
            </w:pPr>
            <w:r>
              <w:rPr>
                <w:rFonts w:ascii="Arial" w:cs="Arial" w:eastAsia="Arial" w:hAnsi="Arial"/>
                <w:sz w:val="16"/>
                <w:szCs w:val="16"/>
                <w:b w:val="1"/>
                <w:bCs w:val="1"/>
                <w:color w:val="auto"/>
              </w:rPr>
              <w:t>Income</w:t>
            </w:r>
          </w:p>
        </w:tc>
        <w:tc>
          <w:tcPr>
            <w:tcW w:w="3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159"/>
              <w:spacing w:after="0" w:line="168" w:lineRule="exact"/>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4"/>
                <w:szCs w:val="14"/>
                <w:color w:val="auto"/>
              </w:rPr>
            </w:pPr>
          </w:p>
        </w:tc>
      </w:tr>
      <w:tr>
        <w:trPr>
          <w:trHeight w:val="189"/>
        </w:trPr>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ind w:left="239"/>
              <w:spacing w:after="0"/>
              <w:rPr>
                <w:sz w:val="20"/>
                <w:szCs w:val="20"/>
                <w:color w:val="auto"/>
              </w:rPr>
            </w:pPr>
            <w:r>
              <w:rPr>
                <w:rFonts w:ascii="Arial" w:cs="Arial" w:eastAsia="Arial" w:hAnsi="Arial"/>
                <w:sz w:val="16"/>
                <w:szCs w:val="16"/>
                <w:b w:val="1"/>
                <w:bCs w:val="1"/>
                <w:color w:val="auto"/>
                <w:w w:val="98"/>
              </w:rPr>
              <w:t>Before</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Before</w:t>
            </w: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7"/>
                <w:szCs w:val="17"/>
                <w:color w:val="auto"/>
              </w:rPr>
            </w:pPr>
          </w:p>
        </w:tc>
        <w:tc>
          <w:tcPr>
            <w:tcW w:w="90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rPr>
              <w:t>Taxes</w:t>
            </w:r>
          </w:p>
        </w:tc>
        <w:tc>
          <w:tcPr>
            <w:tcW w:w="3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0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640</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719"/>
              <w:spacing w:after="0" w:line="183" w:lineRule="exact"/>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134</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587</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125</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1,594</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257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2,797</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424</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2,977</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3,508</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443</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(261)</w:t>
            </w:r>
          </w:p>
        </w:tc>
        <w:tc>
          <w:tcPr>
            <w:tcW w:w="9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6"/>
              </w:rPr>
              <w:t>(104)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r>
      <w:tr>
        <w:trPr>
          <w:trHeight w:val="189"/>
        </w:trPr>
        <w:tc>
          <w:tcPr>
            <w:tcW w:w="35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96"/>
              </w:rPr>
              <w:t>(228)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w:t>
            </w: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96"/>
              </w:rPr>
              <w:t>(116)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w:t>
            </w: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(206)</w:t>
            </w: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5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8,721</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19"/>
              <w:spacing w:after="0" w:line="183" w:lineRule="exact"/>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956</w:t>
            </w:r>
          </w:p>
        </w:tc>
        <w:tc>
          <w:tcPr>
            <w:tcW w:w="1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8,490</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8"/>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1,063</w:t>
            </w:r>
          </w:p>
        </w:tc>
        <w:tc>
          <w:tcPr>
            <w:tcW w:w="120" w:type="dxa"/>
            <w:vAlign w:val="bottom"/>
            <w:shd w:val="clear" w:color="auto" w:fill="CFF0FC"/>
          </w:tcPr>
          <w:p>
            <w:pPr>
              <w:spacing w:after="0"/>
              <w:rPr>
                <w:sz w:val="17"/>
                <w:szCs w:val="17"/>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68" w:lineRule="exact"/>
        <w:rPr>
          <w:sz w:val="20"/>
          <w:szCs w:val="20"/>
          <w:color w:val="auto"/>
        </w:rPr>
      </w:pPr>
    </w:p>
    <w:p>
      <w:pPr>
        <w:ind w:left="380" w:hanging="372"/>
        <w:spacing w:after="0" w:line="222"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($5 million in 2026; $- million in 2025).</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 million in 2026; $3 million in 2025).</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231F20"/>
        </w:rPr>
        <w:t>First-quarter 2026 revenue of $8.7 billion increased 3% year on year. Excluding the impact of the ChampionX acquisition in the third quarter last year, revenue declined by $607 million, or 7%, year on year. This was due to a 7% decline in international revenue and an 8% decrease in North America revenue.</w:t>
      </w:r>
    </w:p>
    <w:p>
      <w:pPr>
        <w:spacing w:after="0" w:line="3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It was a challenging start to the year as widespread disruptions in the Middle East, which represents approximately 70% of SLB’s Middle East &amp; Asia first quarter revenue of $2.7 billion, impacted the business. This impact was most pronounced in the Well Construction and Reservoir Performance divisions, as SLB demobilized operations in a number of countries in response to customer actions to safeguard personnel and facilities.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SLB entered 2026 anticipating that global liquid supply and demand would gradually rebalance throughout the year and into 2027. However, the conflict in the Middle East has accelerated this rebalancing while exposing critical vulnerabilities in the global energy supply chain.</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SLB expects postconflict liquid commodity prices to remain above preconflict levels. This reflects the near-term supply disruptions caused by infrastructure impairments, production impacts, and geopolitical risk premium.</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In response, many countries are likely to prioritize supply diversification, invest in exploration and domestic resource development, and replenish strategic reserves once the conflict subsides. Alongside SLB’s work supporting customers as they restore production capacity in the Middle East, SLB expects these trends to drive increased investment in short-cycle projects in North America and Latin America as well as long-cycle developments, particularly in deepwater offshore markets.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Absent a prolonged conflict leading to an economic slowdown and demand destruction, these supply responses reinforce SLB’s conviction of a broad-based recovery in upstream markets in 2027 and 2028.</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Digital revenue of $640 million increased 9% year on year primarily driven by a $66 million increase in Digital Operations. This growth was </w:t>
      </w:r>
      <w:r>
        <w:rPr>
          <w:rFonts w:ascii="Arial" w:cs="Arial" w:eastAsia="Arial" w:hAnsi="Arial"/>
          <w:sz w:val="16"/>
          <w:szCs w:val="16"/>
          <w:color w:val="231F20"/>
        </w:rPr>
        <w:t>supported by</w:t>
      </w:r>
      <w:r>
        <w:rPr>
          <w:rFonts w:ascii="Arial" w:cs="Arial" w:eastAsia="Arial" w:hAnsi="Arial"/>
          <w:sz w:val="16"/>
          <w:szCs w:val="16"/>
          <w:color w:val="auto"/>
        </w:rPr>
        <w:t xml:space="preserve"> </w:t>
      </w:r>
      <w:r>
        <w:rPr>
          <w:rFonts w:ascii="Arial" w:cs="Arial" w:eastAsia="Arial" w:hAnsi="Arial"/>
          <w:sz w:val="16"/>
          <w:szCs w:val="16"/>
          <w:color w:val="231F20"/>
        </w:rPr>
        <w:t>increased digital services adoption and new technology introduction as well as the acquisition of ChampionX, which contributed $32 million of digital revenue during the first quarter of 2026.</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Digital pretax operating margin of 21% slightly declined by 28 basis points (“bps”) year on year.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Reservoir Performance revenue of $1.6 billion decreased 6% year on year due to lower stimulation and intervention activity primarily driven by operational disruptions caused by the Middle East conflict.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Reservoir Performance pretax operating margin of 16% contracted 47 bps year on year primarily due to lower profitability in stimulation and intervention.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Well Construction revenue of $2.8 billion decreased 6% year on year primarily from lower activity due to the Middle East conflict.</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Well Construction pretax operating margin of 15% contracted 463 bps year on year primarily due to lower profitability as a result of the Middle East conflict, compounded by pricing headwinds in select markets.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Production Systems revenue of $3.5 billion increased 23% year on year from the acquired ChampionX production chemicals and artificial lift businesses, which contributed $833 million revenue and $148 million in pretax operating income during the quarter.</w:t>
      </w:r>
    </w:p>
    <w:p>
      <w:pPr>
        <w:spacing w:after="0" w:line="12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231F20"/>
        </w:rPr>
        <w:t>Excluding the impact of the acquisition, Production Systems first-quarter 2026 revenue decreased 6% year on year due to the disruptions from the Middle East conflict.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Production Systems pretax operating margin of 14% contracted 240 bps year on year primarily due to lower profitability in surface production systems, SLB OneSubsea and completions.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All Other revenue of $443 million decreased 21% year on year driven by the absence of $118 million in Asset Performance Solutions (“APS”) revenue following the divestiture of the Palliser asset in Canada in the second quarter of 2025 coupled with reduced revenue in SLB Capturi. This decline was partially offset by a $44 million, or 45%, increase in Data Center Solutions revenue.</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Other pretax operating income of $113 million decreased $49 million year on year primarily due to lower profitability in APS projects following the Palliser divestiture.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First Quarter 2026 Compared to Fourth Quarter 2025</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First Quarter 2026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6"/>
                <w:szCs w:val="16"/>
                <w:color w:val="auto"/>
              </w:rPr>
              <w:t>Fourth Quarter 2025</w:t>
            </w: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39"/>
              <w:spacing w:after="0" w:line="168" w:lineRule="exact"/>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79"/>
              <w:spacing w:after="0" w:line="168" w:lineRule="exact"/>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Before 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Before Taxes</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0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640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134</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825</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280</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1,594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257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2,797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424</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3,508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4,078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(261)</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(114)</w:t>
            </w:r>
          </w:p>
        </w:tc>
      </w:tr>
      <w:tr>
        <w:trPr>
          <w:trHeight w:val="189"/>
        </w:trPr>
        <w:tc>
          <w:tcPr>
            <w:tcW w:w="35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(228)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w:t>
            </w: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(116)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(126)</w:t>
            </w: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(561)</w:t>
            </w: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5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8,721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956</w:t>
            </w:r>
          </w:p>
        </w:tc>
        <w:tc>
          <w:tcPr>
            <w:tcW w:w="1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9,745</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943</w:t>
            </w:r>
          </w:p>
        </w:tc>
        <w:tc>
          <w:tcPr>
            <w:tcW w:w="120" w:type="dxa"/>
            <w:vAlign w:val="bottom"/>
            <w:shd w:val="clear" w:color="auto" w:fill="CFF0FC"/>
          </w:tcPr>
          <w:p>
            <w:pPr>
              <w:spacing w:after="0"/>
              <w:rPr>
                <w:sz w:val="17"/>
                <w:szCs w:val="17"/>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ind w:left="380" w:hanging="372"/>
        <w:spacing w:after="0" w:line="222"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($5 million in the first quarter of 2026; $- in the fourth quarter of 2025).</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 million in the first quarter of 2026; $- million in the fourth quarter of 2025).</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6"/>
          <w:szCs w:val="16"/>
          <w:color w:val="231F20"/>
        </w:rPr>
        <w:t>First-quarter 2026 revenue of $8.7 billion decreased 11% sequentially as revenue declined 13% in the international markets and 2% in North America primarily due to seasonal effects and disruptions caused by the Middle East conflict.</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231F20"/>
        </w:rPr>
        <w:t>Internationally, revenue decreased 17% on a sequential basis in the Middle East &amp; Asia, 11% in Europe and Africa and 9% in Latin America due to seasonally lower activity following strong year-end product and digital sales. Revenue in the Middle East &amp; Asia was also negatively impacted by disruptions from the conflict.</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Revenue in North America declined 2% sequentially due to lower drilling activity on land and lower digital exploration sales following strong year-end sales in the fourth quarter of 2025. These declines were partially offset by higher revenue from Data Center Solutions.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Digital revenue of $640 million declined 22% sequentially due to seasonally lower activity following strong year-end digital sales in the fourth quarter of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Digital pretax operating margin of 21% contracted 13 percentage points sequentially reflecting the seasonally lower digital sales.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Reservoir Performance revenue of $1.6 billion declined 9% sequentially reflecting the combined effects of seasonally lower activity in Europe &amp; Africa and Asia, and the disruptions related to the Middle East conflict.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Reservoir Performance pretax operating margin of 16% contracted 348 bps sequentially due to the effects of the seasonally lower activity and disruptions in the Middle East.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Well Construction revenue of $2.8 billion declined 5% sequentially primarily reflecting the combined effect of seasonally lower activity in Europe &amp; Africa and Asia and the disruptions related to the Middle East conflict.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Well Construction pretax operating margin of 15% contracted 350 bps sequentially due to the seasonally lower activity and disruptions in the Middle East.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Production Systems revenue declined 14% sequentially following strong year-end product sales internationally in the fourth quarter of 2025 as well as disruptions from the Middle East conflict.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Production Systems pretax operating margin of 14% contracted 212 bps sequentially reflecting seasonally lower profitability following the strong year-end product sales in the fourth quarter of 2025.</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All Other revenue of $443 million declined slightly by 1% sequentially due to lower revenue from APS projects in Ecuador partially offset by $12 million of higher Data Center Solutions revenue.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All Other pretax operating income of $113 million increased $28 million sequentially due to an improved performance in SLB Capturi.</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&amp; Other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4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First Quarter</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41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1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1"/>
              <w:spacing w:after="0" w:line="183"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5"/>
                <w:szCs w:val="15"/>
                <w:color w:val="auto"/>
              </w:rPr>
            </w:pPr>
          </w:p>
        </w:tc>
      </w:tr>
      <w:tr>
        <w:trPr>
          <w:trHeight w:val="183"/>
        </w:trPr>
        <w:tc>
          <w:tcPr>
            <w:tcW w:w="4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income</w:t>
            </w:r>
          </w:p>
        </w:tc>
        <w:tc>
          <w:tcPr>
            <w:tcW w:w="4600" w:type="dxa"/>
            <w:vAlign w:val="bottom"/>
            <w:gridSpan w:val="2"/>
            <w:shd w:val="clear" w:color="auto" w:fill="CFF0FC"/>
          </w:tcPr>
          <w:p>
            <w:pPr>
              <w:jc w:val="right"/>
              <w:ind w:right="919"/>
              <w:spacing w:after="0" w:line="183" w:lineRule="exact"/>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25</w:t>
            </w:r>
          </w:p>
        </w:tc>
        <w:tc>
          <w:tcPr>
            <w:tcW w:w="640" w:type="dxa"/>
            <w:vAlign w:val="bottom"/>
            <w:gridSpan w:val="2"/>
            <w:shd w:val="clear" w:color="auto" w:fill="CFF0FC"/>
          </w:tcPr>
          <w:p>
            <w:pPr>
              <w:jc w:val="right"/>
              <w:ind w:right="184"/>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5"/>
                <w:szCs w:val="15"/>
                <w:color w:val="auto"/>
              </w:rPr>
            </w:pPr>
          </w:p>
        </w:tc>
      </w:tr>
      <w:tr>
        <w:trPr>
          <w:trHeight w:val="189"/>
        </w:trPr>
        <w:tc>
          <w:tcPr>
            <w:tcW w:w="4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Earnings of equity method investments</w:t>
            </w:r>
          </w:p>
        </w:tc>
        <w:tc>
          <w:tcPr>
            <w:tcW w:w="350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3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FF0FC"/>
            </w:tcBorders>
          </w:tcPr>
          <w:p>
            <w:pPr>
              <w:spacing w:after="0"/>
              <w:rPr>
                <w:sz w:val="16"/>
                <w:szCs w:val="16"/>
                <w:color w:val="auto"/>
              </w:rPr>
            </w:pPr>
          </w:p>
        </w:tc>
      </w:tr>
      <w:tr>
        <w:trPr>
          <w:trHeight w:val="223"/>
        </w:trPr>
        <w:tc>
          <w:tcPr>
            <w:tcW w:w="4160" w:type="dxa"/>
            <w:vAlign w:val="bottom"/>
            <w:tcBorders>
              <w:bottom w:val="single" w:sz="8" w:color="CFF0FC"/>
            </w:tcBorders>
            <w:shd w:val="clear" w:color="auto" w:fill="CFF0FC"/>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9"/>
              <w:spacing w:after="0" w:line="183"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43</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613"/>
        </w:trPr>
        <w:tc>
          <w:tcPr>
            <w:tcW w:w="4160" w:type="dxa"/>
            <w:vAlign w:val="bottom"/>
          </w:tcPr>
          <w:p>
            <w:pPr>
              <w:spacing w:after="0"/>
              <w:rPr>
                <w:sz w:val="24"/>
                <w:szCs w:val="24"/>
                <w:color w:val="auto"/>
              </w:rPr>
            </w:pPr>
          </w:p>
        </w:tc>
        <w:tc>
          <w:tcPr>
            <w:tcW w:w="3500" w:type="dxa"/>
            <w:vAlign w:val="bottom"/>
          </w:tcPr>
          <w:p>
            <w:pPr>
              <w:jc w:val="right"/>
              <w:ind w:right="1859"/>
              <w:spacing w:after="0"/>
              <w:rPr>
                <w:sz w:val="20"/>
                <w:szCs w:val="20"/>
                <w:color w:val="auto"/>
              </w:rPr>
            </w:pPr>
            <w:r>
              <w:rPr>
                <w:rFonts w:ascii="Arial" w:cs="Arial" w:eastAsia="Arial" w:hAnsi="Arial"/>
                <w:sz w:val="16"/>
                <w:szCs w:val="16"/>
                <w:color w:val="auto"/>
              </w:rPr>
              <w:t>18</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1"/>
        </w:trPr>
        <w:tc>
          <w:tcPr>
            <w:tcW w:w="41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-899795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-1045210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u w:val="single" w:color="auto"/>
          <w:color w:val="auto"/>
        </w:rPr>
        <w:t>Other</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 </w:t>
      </w:r>
      <w:r>
        <w:rPr>
          <w:rFonts w:ascii="Arial" w:cs="Arial" w:eastAsia="Arial" w:hAnsi="Arial"/>
          <w:sz w:val="16"/>
          <w:szCs w:val="16"/>
          <w:color w:val="auto"/>
        </w:rPr>
        <w:t>for the first quarter ended March 31, 2026 and 2025 were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w:t>
      </w:r>
    </w:p>
    <w:p>
      <w:pPr>
        <w:spacing w:after="0" w:line="318"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First Quarter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2026</w:t>
            </w:r>
          </w:p>
        </w:tc>
        <w:tc>
          <w:tcPr>
            <w:tcW w:w="4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Arial" w:cs="Arial" w:eastAsia="Arial" w:hAnsi="Arial"/>
                <w:sz w:val="16"/>
                <w:szCs w:val="16"/>
                <w:color w:val="auto"/>
              </w:rPr>
              <w:t>2025</w:t>
            </w:r>
          </w:p>
        </w:tc>
        <w:tc>
          <w:tcPr>
            <w:tcW w:w="160" w:type="dxa"/>
            <w:vAlign w:val="bottom"/>
          </w:tcPr>
          <w:p>
            <w:pPr>
              <w:spacing w:after="0"/>
              <w:rPr>
                <w:sz w:val="15"/>
                <w:szCs w:val="15"/>
                <w:color w:val="auto"/>
              </w:rPr>
            </w:pPr>
          </w:p>
        </w:tc>
      </w:tr>
      <w:tr>
        <w:trPr>
          <w:trHeight w:val="183"/>
        </w:trPr>
        <w:tc>
          <w:tcPr>
            <w:tcW w:w="87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Research &amp; engineering</w:t>
            </w:r>
          </w:p>
        </w:tc>
        <w:tc>
          <w:tcPr>
            <w:tcW w:w="72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b w:val="1"/>
                <w:bCs w:val="1"/>
                <w:color w:val="auto"/>
              </w:rPr>
              <w:t>1.9%</w:t>
            </w:r>
          </w:p>
        </w:tc>
        <w:tc>
          <w:tcPr>
            <w:tcW w:w="18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2.0%</w:t>
            </w:r>
          </w:p>
        </w:tc>
      </w:tr>
      <w:tr>
        <w:trPr>
          <w:trHeight w:val="223"/>
        </w:trPr>
        <w:tc>
          <w:tcPr>
            <w:tcW w:w="8720" w:type="dxa"/>
            <w:vAlign w:val="bottom"/>
            <w:gridSpan w:val="2"/>
          </w:tcPr>
          <w:p>
            <w:pPr>
              <w:spacing w:after="0"/>
              <w:rPr>
                <w:sz w:val="20"/>
                <w:szCs w:val="20"/>
                <w:color w:val="auto"/>
              </w:rPr>
            </w:pPr>
            <w:r>
              <w:rPr>
                <w:rFonts w:ascii="Arial" w:cs="Arial" w:eastAsia="Arial" w:hAnsi="Arial"/>
                <w:sz w:val="16"/>
                <w:szCs w:val="16"/>
                <w:color w:val="auto"/>
              </w:rPr>
              <w:t>General &amp; administrative</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1.1%</w:t>
            </w: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bl>
    <w:p>
      <w:pPr>
        <w:spacing w:after="0" w:line="16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effective tax rate was 20% for the first quarter of 2026 as compared to 22% for the same period of 2025. The decrease in the effective tax rate was primarily due to the effect of the charges and credits described in Note 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Charges and Credits</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SLB recorded charges and credits during the first three months of 2026 and 2025. These charges and credits, which are summarized below, are more fully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2026:</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3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37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7"/>
                <w:szCs w:val="17"/>
                <w:color w:val="auto"/>
              </w:rPr>
            </w:pPr>
          </w:p>
        </w:tc>
      </w:tr>
      <w:tr>
        <w:trPr>
          <w:trHeight w:val="223"/>
        </w:trPr>
        <w:tc>
          <w:tcPr>
            <w:tcW w:w="3760" w:type="dxa"/>
            <w:vAlign w:val="bottom"/>
            <w:shd w:val="clear" w:color="auto" w:fill="CFF0FC"/>
          </w:tcPr>
          <w:p>
            <w:pPr>
              <w:ind w:left="120"/>
              <w:spacing w:after="0" w:line="169" w:lineRule="exact"/>
              <w:rPr>
                <w:sz w:val="20"/>
                <w:szCs w:val="20"/>
                <w:color w:val="auto"/>
              </w:rPr>
            </w:pPr>
            <w:r>
              <w:rPr>
                <w:rFonts w:ascii="Arial" w:cs="Arial" w:eastAsia="Arial" w:hAnsi="Arial"/>
                <w:sz w:val="16"/>
                <w:szCs w:val="16"/>
                <w:color w:val="auto"/>
              </w:rPr>
              <w:t>Merger and integration</w:t>
            </w:r>
          </w:p>
        </w:tc>
        <w:tc>
          <w:tcPr>
            <w:tcW w:w="2480" w:type="dxa"/>
            <w:vAlign w:val="bottom"/>
            <w:gridSpan w:val="2"/>
            <w:shd w:val="clear" w:color="auto" w:fill="CFF0FC"/>
          </w:tcPr>
          <w:p>
            <w:pPr>
              <w:jc w:val="right"/>
              <w:ind w:right="301"/>
              <w:spacing w:after="0" w:line="169"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41</w:t>
            </w:r>
          </w:p>
        </w:tc>
        <w:tc>
          <w:tcPr>
            <w:tcW w:w="3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8</w:t>
            </w:r>
          </w:p>
        </w:tc>
        <w:tc>
          <w:tcPr>
            <w:tcW w:w="420" w:type="dxa"/>
            <w:vAlign w:val="bottom"/>
            <w:gridSpan w:val="2"/>
            <w:shd w:val="clear" w:color="auto" w:fill="CFF0FC"/>
          </w:tcPr>
          <w:p>
            <w:pPr>
              <w:jc w:val="right"/>
              <w:ind w:right="21"/>
              <w:spacing w:after="0" w:line="169"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w:t>
            </w:r>
          </w:p>
        </w:tc>
        <w:tc>
          <w:tcPr>
            <w:tcW w:w="500" w:type="dxa"/>
            <w:vAlign w:val="bottom"/>
            <w:gridSpan w:val="2"/>
            <w:shd w:val="clear" w:color="auto" w:fill="CFF0FC"/>
          </w:tcPr>
          <w:p>
            <w:pPr>
              <w:jc w:val="right"/>
              <w:ind w:right="104"/>
              <w:spacing w:after="0" w:line="169"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19"/>
                <w:szCs w:val="19"/>
                <w:color w:val="auto"/>
              </w:rPr>
            </w:pPr>
          </w:p>
        </w:tc>
      </w:tr>
      <w:tr>
        <w:trPr>
          <w:trHeight w:val="378"/>
        </w:trPr>
        <w:tc>
          <w:tcPr>
            <w:tcW w:w="3760" w:type="dxa"/>
            <w:vAlign w:val="bottom"/>
            <w:tcBorders>
              <w:top w:val="single" w:sz="8" w:color="CFF0FC"/>
            </w:tcBorders>
          </w:tcPr>
          <w:p>
            <w:pPr>
              <w:jc w:val="right"/>
              <w:ind w:right="3259"/>
              <w:spacing w:after="0"/>
              <w:rPr>
                <w:sz w:val="20"/>
                <w:szCs w:val="20"/>
                <w:color w:val="auto"/>
              </w:rPr>
            </w:pPr>
            <w:r>
              <w:rPr>
                <w:rFonts w:ascii="Arial" w:cs="Arial" w:eastAsia="Arial" w:hAnsi="Arial"/>
                <w:sz w:val="16"/>
                <w:szCs w:val="16"/>
                <w:b w:val="1"/>
                <w:bCs w:val="1"/>
                <w:color w:val="auto"/>
                <w:w w:val="97"/>
              </w:rPr>
              <w:t>2025:</w:t>
            </w:r>
          </w:p>
        </w:tc>
        <w:tc>
          <w:tcPr>
            <w:tcW w:w="202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391"/>
        </w:trPr>
        <w:tc>
          <w:tcPr>
            <w:tcW w:w="3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3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37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7"/>
                <w:szCs w:val="17"/>
                <w:color w:val="auto"/>
              </w:rPr>
            </w:pPr>
          </w:p>
        </w:tc>
      </w:tr>
      <w:tr>
        <w:trPr>
          <w:trHeight w:val="183"/>
        </w:trPr>
        <w:tc>
          <w:tcPr>
            <w:tcW w:w="376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Workforce reductions</w:t>
            </w:r>
          </w:p>
        </w:tc>
        <w:tc>
          <w:tcPr>
            <w:tcW w:w="2480" w:type="dxa"/>
            <w:vAlign w:val="bottom"/>
            <w:gridSpan w:val="2"/>
            <w:shd w:val="clear" w:color="auto" w:fill="CFF0FC"/>
          </w:tcPr>
          <w:p>
            <w:pPr>
              <w:jc w:val="right"/>
              <w:ind w:right="301"/>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158</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w:t>
            </w:r>
          </w:p>
        </w:tc>
        <w:tc>
          <w:tcPr>
            <w:tcW w:w="420" w:type="dxa"/>
            <w:vAlign w:val="bottom"/>
            <w:gridSpan w:val="2"/>
            <w:shd w:val="clear" w:color="auto" w:fill="CFF0FC"/>
          </w:tcPr>
          <w:p>
            <w:pPr>
              <w:jc w:val="right"/>
              <w:ind w:right="21"/>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104"/>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w:t>
            </w:r>
          </w:p>
        </w:tc>
        <w:tc>
          <w:tcPr>
            <w:tcW w:w="120" w:type="dxa"/>
            <w:vAlign w:val="bottom"/>
            <w:shd w:val="clear" w:color="auto" w:fill="CFF0FC"/>
          </w:tcPr>
          <w:p>
            <w:pPr>
              <w:spacing w:after="0"/>
              <w:rPr>
                <w:sz w:val="15"/>
                <w:szCs w:val="15"/>
                <w:color w:val="auto"/>
              </w:rPr>
            </w:pPr>
          </w:p>
        </w:tc>
      </w:tr>
      <w:tr>
        <w:trPr>
          <w:trHeight w:val="189"/>
        </w:trPr>
        <w:tc>
          <w:tcPr>
            <w:tcW w:w="3760" w:type="dxa"/>
            <w:vAlign w:val="bottom"/>
            <w:tcBorders>
              <w:bottom w:val="single" w:sz="8" w:color="CFF0FC"/>
            </w:tcBorders>
          </w:tcPr>
          <w:p>
            <w:pPr>
              <w:ind w:left="60"/>
              <w:spacing w:after="0"/>
              <w:rPr>
                <w:sz w:val="20"/>
                <w:szCs w:val="20"/>
                <w:color w:val="auto"/>
              </w:rPr>
            </w:pPr>
            <w:r>
              <w:rPr>
                <w:rFonts w:ascii="Arial" w:cs="Arial" w:eastAsia="Arial" w:hAnsi="Arial"/>
                <w:sz w:val="16"/>
                <w:szCs w:val="16"/>
                <w:color w:val="auto"/>
              </w:rPr>
              <w:t>Merger and integration</w:t>
            </w:r>
          </w:p>
        </w:tc>
        <w:tc>
          <w:tcPr>
            <w:tcW w:w="202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FF0FC"/>
            </w:tcBorders>
          </w:tcPr>
          <w:p>
            <w:pPr>
              <w:spacing w:after="0"/>
              <w:rPr>
                <w:sz w:val="16"/>
                <w:szCs w:val="16"/>
                <w:color w:val="auto"/>
              </w:rPr>
            </w:pPr>
          </w:p>
        </w:tc>
      </w:tr>
      <w:tr>
        <w:trPr>
          <w:trHeight w:val="223"/>
        </w:trPr>
        <w:tc>
          <w:tcPr>
            <w:tcW w:w="376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1"/>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191</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-1294130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-1276350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-1294130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-1276350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-1294130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-1276350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-1294130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-153670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Liquidity and Capital Resources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45"/>
        </w:trPr>
        <w:tc>
          <w:tcPr>
            <w:tcW w:w="4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Mar.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6"/>
                <w:szCs w:val="16"/>
                <w:color w:val="auto"/>
              </w:rPr>
              <w:t>Mar.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6"/>
                <w:szCs w:val="16"/>
                <w:color w:val="auto"/>
              </w:rPr>
              <w:t>Dec. 31,</w:t>
            </w:r>
          </w:p>
        </w:tc>
      </w:tr>
      <w:tr>
        <w:trPr>
          <w:trHeight w:val="203"/>
        </w:trPr>
        <w:tc>
          <w:tcPr>
            <w:tcW w:w="4900" w:type="dxa"/>
            <w:vAlign w:val="bottom"/>
          </w:tcPr>
          <w:p>
            <w:pPr>
              <w:spacing w:after="0"/>
              <w:rPr>
                <w:sz w:val="20"/>
                <w:szCs w:val="20"/>
                <w:color w:val="auto"/>
              </w:rPr>
            </w:pPr>
            <w:r>
              <w:rPr>
                <w:rFonts w:ascii="Arial" w:cs="Arial" w:eastAsia="Arial" w:hAnsi="Arial"/>
                <w:sz w:val="16"/>
                <w:szCs w:val="16"/>
                <w:b w:val="1"/>
                <w:bCs w:val="1"/>
                <w:color w:val="auto"/>
              </w:rPr>
              <w:t>Components of Liquidity:</w:t>
            </w:r>
          </w:p>
        </w:tc>
        <w:tc>
          <w:tcPr>
            <w:tcW w:w="1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r>
      <w:tr>
        <w:trPr>
          <w:trHeight w:val="183"/>
        </w:trPr>
        <w:tc>
          <w:tcPr>
            <w:tcW w:w="49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w:t>
            </w:r>
          </w:p>
        </w:tc>
        <w:tc>
          <w:tcPr>
            <w:tcW w:w="18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2,819</w:t>
            </w:r>
          </w:p>
        </w:tc>
        <w:tc>
          <w:tcPr>
            <w:tcW w:w="16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2,936</w:t>
            </w:r>
          </w:p>
        </w:tc>
        <w:tc>
          <w:tcPr>
            <w:tcW w:w="1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3,036</w:t>
            </w:r>
          </w:p>
        </w:tc>
        <w:tc>
          <w:tcPr>
            <w:tcW w:w="100" w:type="dxa"/>
            <w:vAlign w:val="bottom"/>
            <w:shd w:val="clear" w:color="auto" w:fill="CFF0FC"/>
          </w:tcPr>
          <w:p>
            <w:pPr>
              <w:spacing w:after="0"/>
              <w:rPr>
                <w:sz w:val="15"/>
                <w:szCs w:val="15"/>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Short-term investments</w:t>
            </w: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568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6"/>
                <w:szCs w:val="16"/>
                <w:color w:val="auto"/>
              </w:rPr>
            </w:pPr>
          </w:p>
        </w:tc>
      </w:tr>
      <w:tr>
        <w:trPr>
          <w:trHeight w:val="18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 and current portion of long-term debt</w:t>
            </w:r>
          </w:p>
        </w:tc>
        <w:tc>
          <w:tcPr>
            <w:tcW w:w="1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(1,938)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(3,475)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(1,894)</w:t>
            </w: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Long-term debt</w:t>
            </w: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(9,670)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(10,527)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(9,742)</w:t>
            </w:r>
          </w:p>
        </w:tc>
      </w:tr>
      <w:tr>
        <w:trPr>
          <w:trHeight w:val="20"/>
        </w:trPr>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 xml:space="preserve">Net debt </w:t>
            </w:r>
            <w:r>
              <w:rPr>
                <w:rFonts w:ascii="Arial" w:cs="Arial" w:eastAsia="Arial" w:hAnsi="Arial"/>
                <w:sz w:val="19"/>
                <w:szCs w:val="19"/>
                <w:color w:val="auto"/>
                <w:vertAlign w:val="superscript"/>
              </w:rPr>
              <w:t>(1)</w:t>
            </w:r>
          </w:p>
        </w:tc>
        <w:tc>
          <w:tcPr>
            <w:tcW w:w="18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b w:val="1"/>
                <w:bCs w:val="1"/>
                <w:color w:val="auto"/>
              </w:rPr>
              <w:t>$</w:t>
            </w:r>
          </w:p>
        </w:tc>
        <w:tc>
          <w:tcPr>
            <w:tcW w:w="130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b w:val="1"/>
                <w:bCs w:val="1"/>
                <w:color w:val="auto"/>
              </w:rPr>
              <w:t>(8,221)</w:t>
            </w:r>
          </w:p>
        </w:tc>
        <w:tc>
          <w:tcPr>
            <w:tcW w:w="3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(10,105)</w:t>
            </w:r>
          </w:p>
        </w:tc>
        <w:tc>
          <w:tcPr>
            <w:tcW w:w="22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(7,424)</w:t>
            </w:r>
          </w:p>
        </w:tc>
      </w:tr>
      <w:tr>
        <w:trPr>
          <w:trHeight w:val="613"/>
        </w:trPr>
        <w:tc>
          <w:tcPr>
            <w:tcW w:w="4900" w:type="dxa"/>
            <w:vAlign w:val="bottom"/>
            <w:tcBorders>
              <w:top w:val="single" w:sz="8" w:color="CFF0FC"/>
            </w:tcBorders>
          </w:tcPr>
          <w:p>
            <w:pPr>
              <w:spacing w:after="0"/>
              <w:rPr>
                <w:sz w:val="24"/>
                <w:szCs w:val="24"/>
                <w:color w:val="auto"/>
              </w:rPr>
            </w:pPr>
          </w:p>
        </w:tc>
        <w:tc>
          <w:tcPr>
            <w:tcW w:w="1660" w:type="dxa"/>
            <w:vAlign w:val="bottom"/>
            <w:tcBorders>
              <w:top w:val="single" w:sz="8" w:color="CFF0FC"/>
            </w:tcBorders>
          </w:tcPr>
          <w:p>
            <w:pPr>
              <w:jc w:val="right"/>
              <w:ind w:right="759"/>
              <w:spacing w:after="0"/>
              <w:rPr>
                <w:sz w:val="20"/>
                <w:szCs w:val="20"/>
                <w:color w:val="auto"/>
              </w:rPr>
            </w:pPr>
            <w:r>
              <w:rPr>
                <w:rFonts w:ascii="Arial" w:cs="Arial" w:eastAsia="Arial" w:hAnsi="Arial"/>
                <w:sz w:val="16"/>
                <w:szCs w:val="16"/>
                <w:color w:val="auto"/>
              </w:rPr>
              <w:t>19</w:t>
            </w: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1"/>
        </w:trPr>
        <w:tc>
          <w:tcPr>
            <w:tcW w:w="49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-916940</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-899795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-916940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-899795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3"/>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Changes in Liquidity:</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4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Three Months Ended Mar. 31,</w:t>
            </w:r>
          </w:p>
        </w:tc>
        <w:tc>
          <w:tcPr>
            <w:tcW w:w="0" w:type="dxa"/>
            <w:vAlign w:val="bottom"/>
          </w:tcPr>
          <w:p>
            <w:pPr>
              <w:spacing w:after="0"/>
              <w:rPr>
                <w:sz w:val="1"/>
                <w:szCs w:val="1"/>
                <w:color w:val="auto"/>
              </w:rPr>
            </w:pPr>
          </w:p>
        </w:tc>
      </w:tr>
      <w:tr>
        <w:trPr>
          <w:trHeight w:val="183"/>
        </w:trPr>
        <w:tc>
          <w:tcPr>
            <w:tcW w:w="66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2026</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32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761</w:t>
            </w:r>
          </w:p>
        </w:tc>
        <w:tc>
          <w:tcPr>
            <w:tcW w:w="1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80" w:type="dxa"/>
            <w:vAlign w:val="bottom"/>
          </w:tcPr>
          <w:p>
            <w:pPr>
              <w:spacing w:after="0" w:line="189"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685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Deferred taxes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Increase in working capital</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(1,102)</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 from operations</w:t>
            </w:r>
          </w:p>
        </w:tc>
        <w:tc>
          <w:tcPr>
            <w:tcW w:w="9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487</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2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line="183" w:lineRule="exact"/>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(343)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18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APS investments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(103)</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Exploration data costs capitalized</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1"/>
                <w:szCs w:val="21"/>
                <w:b w:val="1"/>
                <w:bCs w:val="1"/>
                <w:color w:val="auto"/>
                <w:vertAlign w:val="superscript"/>
              </w:rPr>
              <w:t>(3)</w:t>
            </w: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(23)</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tcPr>
          <w:p>
            <w:pPr>
              <w:spacing w:after="0" w:line="183" w:lineRule="exact"/>
              <w:rPr>
                <w:sz w:val="20"/>
                <w:szCs w:val="20"/>
                <w:color w:val="auto"/>
              </w:rPr>
            </w:pPr>
            <w:r>
              <w:rPr>
                <w:rFonts w:ascii="Arial" w:cs="Arial" w:eastAsia="Arial" w:hAnsi="Arial"/>
                <w:sz w:val="16"/>
                <w:szCs w:val="16"/>
                <w:color w:val="auto"/>
              </w:rPr>
              <w:t>Stock repurchase program</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(451)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18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Dividends paid</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(426)</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Proceeds from employee stock purchase plan</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74</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Business acquisitions and investments, net of cash acquired and debt assumed</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Taxes paid on net settled stock-based compensation awards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(59)</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Decrease in net debt before impact of changes in foreign exchange rates</w:t>
            </w: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(881)</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(2,592)</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Impact of changes in foreign exchange rates on net debt</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Increase in net debt</w:t>
            </w: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(797)</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Net debt, beginning of period</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(7,424)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(7,405)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Net debt, end of period</w:t>
            </w: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line="169" w:lineRule="exact"/>
              <w:rPr>
                <w:sz w:val="20"/>
                <w:szCs w:val="20"/>
                <w:color w:val="auto"/>
              </w:rPr>
            </w:pPr>
            <w:r>
              <w:rPr>
                <w:rFonts w:ascii="Arial" w:cs="Arial" w:eastAsia="Arial" w:hAnsi="Arial"/>
                <w:sz w:val="16"/>
                <w:szCs w:val="16"/>
                <w:b w:val="1"/>
                <w:bCs w:val="1"/>
                <w:color w:val="auto"/>
                <w:w w:val="89"/>
              </w:rPr>
              <w:t>$</w:t>
            </w:r>
          </w:p>
        </w:tc>
        <w:tc>
          <w:tcPr>
            <w:tcW w:w="144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b w:val="1"/>
                <w:bCs w:val="1"/>
                <w:color w:val="auto"/>
              </w:rPr>
              <w:t>(8,221)</w:t>
            </w:r>
          </w:p>
        </w:tc>
        <w:tc>
          <w:tcPr>
            <w:tcW w:w="46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(10,105)</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-1996440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-1499870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both"/>
        <w:ind w:left="380" w:hanging="372"/>
        <w:spacing w:after="0" w:line="228" w:lineRule="auto"/>
        <w:tabs>
          <w:tab w:leader="none" w:pos="3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79"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79" w:lineRule="exact"/>
        <w:rPr>
          <w:rFonts w:ascii="Arial" w:cs="Arial" w:eastAsia="Arial" w:hAnsi="Arial"/>
          <w:sz w:val="19"/>
          <w:szCs w:val="19"/>
          <w:color w:val="auto"/>
          <w:vertAlign w:val="superscript"/>
        </w:rPr>
      </w:pPr>
    </w:p>
    <w:p>
      <w:pPr>
        <w:jc w:val="both"/>
        <w:ind w:left="380" w:hanging="372"/>
        <w:spacing w:after="0" w:line="233" w:lineRule="auto"/>
        <w:tabs>
          <w:tab w:leader="none" w:pos="3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the first three months of 2026 and 2025 included:</w:t>
      </w:r>
    </w:p>
    <w:p>
      <w:pPr>
        <w:spacing w:after="0" w:line="113" w:lineRule="exact"/>
        <w:rPr>
          <w:sz w:val="20"/>
          <w:szCs w:val="20"/>
          <w:color w:val="auto"/>
        </w:rPr>
      </w:pPr>
    </w:p>
    <w:p>
      <w:pPr>
        <w:jc w:val="both"/>
        <w:ind w:left="380" w:hanging="372"/>
        <w:spacing w:after="0" w:line="266" w:lineRule="auto"/>
        <w:tabs>
          <w:tab w:leader="none" w:pos="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Capital investments (consisting of capital expenditures, APS investments and exploration data capitalized) were $0.5 billion during the first three months of 2026 compared to $0.6 billion during the first three months of 2025. Capital investments for the full year 2026 are expected to be approximately $2.5 billion.</w:t>
      </w:r>
    </w:p>
    <w:p>
      <w:pPr>
        <w:spacing w:after="0" w:line="62" w:lineRule="exact"/>
        <w:rPr>
          <w:rFonts w:ascii="Times New Roman" w:cs="Times New Roman" w:eastAsia="Times New Roman" w:hAnsi="Times New Roman"/>
          <w:sz w:val="16"/>
          <w:szCs w:val="16"/>
          <w:color w:val="auto"/>
        </w:rPr>
      </w:pPr>
    </w:p>
    <w:p>
      <w:pPr>
        <w:jc w:val="both"/>
        <w:ind w:left="380" w:hanging="372"/>
        <w:spacing w:after="0" w:line="266" w:lineRule="auto"/>
        <w:tabs>
          <w:tab w:leader="none" w:pos="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2026, SLB announced a 3.5% increase to its quarterly cash dividend from $0.285 per share of outstanding common stock to $0.295 per share, beginning with the dividend payable in April 2026. Dividends paid during the first three months of 2026 and 2025 were $426 million and $386 million, respectively.</w:t>
      </w:r>
    </w:p>
    <w:p>
      <w:pPr>
        <w:spacing w:after="0" w:line="62" w:lineRule="exact"/>
        <w:rPr>
          <w:rFonts w:ascii="Times New Roman" w:cs="Times New Roman" w:eastAsia="Times New Roman" w:hAnsi="Times New Roman"/>
          <w:sz w:val="16"/>
          <w:szCs w:val="16"/>
          <w:color w:val="auto"/>
        </w:rPr>
      </w:pPr>
    </w:p>
    <w:p>
      <w:pPr>
        <w:ind w:left="380" w:right="20" w:hanging="372"/>
        <w:spacing w:after="0" w:line="285" w:lineRule="auto"/>
        <w:tabs>
          <w:tab w:leader="none" w:pos="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As of March 31, 2026, SLB had cumulatively repurchased approximately $6.3 billion of SLB common stock under its $10 billion share repurchase program.</w:t>
      </w:r>
    </w:p>
    <w:p>
      <w:pPr>
        <w:spacing w:after="0" w:line="12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The following table summarizes the activity under the share repurchase program:</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80" w:type="dxa"/>
            <w:vAlign w:val="bottom"/>
            <w:gridSpan w:val="7"/>
          </w:tcPr>
          <w:p>
            <w:pPr>
              <w:jc w:val="right"/>
              <w:ind w:right="14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45"/>
        </w:trPr>
        <w:tc>
          <w:tcPr>
            <w:tcW w:w="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Total cost</w:t>
            </w:r>
          </w:p>
        </w:tc>
        <w:tc>
          <w:tcPr>
            <w:tcW w:w="1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Average price</w:t>
            </w:r>
          </w:p>
        </w:tc>
      </w:tr>
      <w:tr>
        <w:trPr>
          <w:trHeight w:val="189"/>
        </w:trPr>
        <w:tc>
          <w:tcPr>
            <w:tcW w:w="4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of shares</w:t>
            </w:r>
          </w:p>
        </w:tc>
        <w:tc>
          <w:tcPr>
            <w:tcW w:w="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9"/>
              </w:rPr>
              <w:t>paid per</w:t>
            </w:r>
          </w:p>
        </w:tc>
      </w:tr>
      <w:tr>
        <w:trPr>
          <w:trHeight w:val="203"/>
        </w:trPr>
        <w:tc>
          <w:tcPr>
            <w:tcW w:w="4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purchased</w:t>
            </w: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share</w:t>
            </w:r>
          </w:p>
        </w:tc>
        <w:tc>
          <w:tcPr>
            <w:tcW w:w="120" w:type="dxa"/>
            <w:vAlign w:val="bottom"/>
            <w:gridSpan w:val="2"/>
          </w:tcPr>
          <w:p>
            <w:pPr>
              <w:spacing w:after="0"/>
              <w:rPr>
                <w:sz w:val="17"/>
                <w:szCs w:val="17"/>
                <w:color w:val="auto"/>
              </w:rPr>
            </w:pPr>
          </w:p>
        </w:tc>
      </w:tr>
      <w:tr>
        <w:trPr>
          <w:trHeight w:val="183"/>
        </w:trPr>
        <w:tc>
          <w:tcPr>
            <w:tcW w:w="460" w:type="dxa"/>
            <w:vAlign w:val="bottom"/>
          </w:tcPr>
          <w:p>
            <w:pPr>
              <w:spacing w:after="0"/>
              <w:rPr>
                <w:sz w:val="15"/>
                <w:szCs w:val="15"/>
                <w:color w:val="auto"/>
              </w:rPr>
            </w:pPr>
          </w:p>
        </w:tc>
        <w:tc>
          <w:tcPr>
            <w:tcW w:w="39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Three months ended March 31, 2026</w:t>
            </w:r>
          </w:p>
        </w:tc>
        <w:tc>
          <w:tcPr>
            <w:tcW w:w="25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451</w:t>
            </w:r>
          </w:p>
        </w:tc>
        <w:tc>
          <w:tcPr>
            <w:tcW w:w="15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9.2</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49.04</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215"/>
        </w:trPr>
        <w:tc>
          <w:tcPr>
            <w:tcW w:w="4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Three months ended March 31, 2025</w:t>
            </w:r>
          </w:p>
        </w:tc>
        <w:tc>
          <w:tcPr>
            <w:tcW w:w="2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1,840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47.6</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07"/>
        </w:trPr>
        <w:tc>
          <w:tcPr>
            <w:tcW w:w="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380" w:type="dxa"/>
            <w:vAlign w:val="bottom"/>
          </w:tcPr>
          <w:p>
            <w:pPr>
              <w:jc w:val="right"/>
              <w:ind w:right="979"/>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51"/>
        </w:trPr>
        <w:tc>
          <w:tcPr>
            <w:tcW w:w="46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0" w:name="page21"/>
    <w:bookmarkEnd w:id="20"/>
    <w:p>
      <w:pPr>
        <w:jc w:val="both"/>
        <w:spacing w:after="0" w:line="266" w:lineRule="auto"/>
        <w:rPr>
          <w:sz w:val="20"/>
          <w:szCs w:val="20"/>
          <w:color w:val="auto"/>
        </w:rPr>
      </w:pPr>
      <w:r>
        <w:rPr>
          <w:rFonts w:ascii="Arial" w:cs="Arial" w:eastAsia="Arial" w:hAnsi="Arial"/>
          <w:sz w:val="16"/>
          <w:szCs w:val="16"/>
          <w:color w:val="auto"/>
        </w:rPr>
        <w:t>As of March 31, 2026, SLB had $3.4 billion of cash and short-term investments on hand and committed debt facility agreements with commercial banks aggregating $5.0 billion, all of which was available. SLB believes these amounts, along with cash generated by ongoing operations, are sufficient to meet future business requirements for the next 12 months and beyond.</w:t>
      </w:r>
    </w:p>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SLB has a global footprint in more than 100 countries. As of March 31, 2026, only three of those countries individually accounted for greater than 5% of SLB’s net receivable balance. Only one of those countries, the United States, represented greater than 10% of such receivables.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first-quarter 2026 Form 10-Q,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w:t>
      </w:r>
    </w:p>
    <w:p>
      <w:pPr>
        <w:spacing w:after="0" w:line="3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April 29, 2026, and SLB disclaims any intention or obligation to update publicly or revise such statements, whether as a result of new information, future events, or otherwise.</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quantitative and qualitative disclosures about market risk affecting SLB, see Item 7A, “Quantitative and Qualitative Disclosures about Market Risk,” of the SLB Annual Report on Form 10-K for the fiscal year ended December 31, 2025. SLB’s exposure to market risk has not changed materially since December 31, 2025.</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p>
      <w:pPr>
        <w:spacing w:after="0" w:line="286" w:lineRule="auto"/>
        <w:rPr>
          <w:sz w:val="20"/>
          <w:szCs w:val="20"/>
          <w:color w:val="auto"/>
        </w:rPr>
      </w:pPr>
      <w:r>
        <w:rPr>
          <w:rFonts w:ascii="Arial" w:cs="Arial" w:eastAsia="Arial" w:hAnsi="Arial"/>
          <w:sz w:val="16"/>
          <w:szCs w:val="16"/>
          <w:color w:val="auto"/>
        </w:rPr>
        <w:t>required disclosure. There was no change in SLB’s internal control over financial reporting during the quarter to which this report relates that has materially affected, or is reasonably likely to materially affect, SLB’s internal control over financial reporting.</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with respect to this Item 1 is set forth under Note 10—Contingencies, in the accompanying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the date of this filing, there have been no material changes from the risk factors disclosed in Part 1, Item 1A, of SLB’s Annual Report on Form 10-K for the fiscal year ended December 31, 2025.</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Issuer Repurchases of Equity Securities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As of March 31, 2026, SLB had repurchased approximately $6.3 billion of SLB common stock under this program.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activity for the three months ended March 31, 2026 was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345"/>
        </w:trPr>
        <w:tc>
          <w:tcPr>
            <w:tcW w:w="5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Total number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rPr>
              <w:t>Maximum</w:t>
            </w:r>
          </w:p>
        </w:tc>
      </w:tr>
      <w:tr>
        <w:trPr>
          <w:trHeight w:val="189"/>
        </w:trPr>
        <w:tc>
          <w:tcPr>
            <w:tcW w:w="5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purchased as</w:t>
            </w:r>
          </w:p>
        </w:tc>
        <w:tc>
          <w:tcPr>
            <w:tcW w:w="26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w w:val="99"/>
              </w:rPr>
              <w:t>value of shares</w:t>
            </w:r>
          </w:p>
        </w:tc>
      </w:tr>
      <w:tr>
        <w:trPr>
          <w:trHeight w:val="189"/>
        </w:trPr>
        <w:tc>
          <w:tcPr>
            <w:tcW w:w="5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part of publicly</w:t>
            </w:r>
          </w:p>
        </w:tc>
        <w:tc>
          <w:tcPr>
            <w:tcW w:w="26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that may yet be</w:t>
            </w:r>
          </w:p>
        </w:tc>
      </w:tr>
      <w:tr>
        <w:trPr>
          <w:trHeight w:val="189"/>
        </w:trPr>
        <w:tc>
          <w:tcPr>
            <w:tcW w:w="54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Total number</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announced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rPr>
              <w:t>purchased</w:t>
            </w:r>
          </w:p>
        </w:tc>
      </w:tr>
      <w:tr>
        <w:trPr>
          <w:trHeight w:val="189"/>
        </w:trPr>
        <w:tc>
          <w:tcPr>
            <w:tcW w:w="54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Average price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plans or</w:t>
            </w:r>
          </w:p>
        </w:tc>
        <w:tc>
          <w:tcPr>
            <w:tcW w:w="26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w w:val="99"/>
              </w:rPr>
              <w:t>under the plans</w:t>
            </w:r>
          </w:p>
        </w:tc>
      </w:tr>
      <w:tr>
        <w:trPr>
          <w:trHeight w:val="203"/>
        </w:trPr>
        <w:tc>
          <w:tcPr>
            <w:tcW w:w="54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purchased</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9"/>
              </w:rPr>
              <w:t>paid per share</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or programs</w:t>
            </w:r>
          </w:p>
        </w:tc>
        <w:tc>
          <w:tcPr>
            <w:tcW w:w="100" w:type="dxa"/>
            <w:vAlign w:val="bottom"/>
          </w:tcPr>
          <w:p>
            <w:pPr>
              <w:spacing w:after="0"/>
              <w:rPr>
                <w:sz w:val="17"/>
                <w:szCs w:val="17"/>
                <w:color w:val="auto"/>
              </w:rPr>
            </w:pPr>
          </w:p>
        </w:tc>
      </w:tr>
      <w:tr>
        <w:trPr>
          <w:trHeight w:val="183"/>
        </w:trPr>
        <w:tc>
          <w:tcPr>
            <w:tcW w:w="54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January 2026</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762.0</w:t>
            </w:r>
          </w:p>
        </w:tc>
        <w:tc>
          <w:tcPr>
            <w:tcW w:w="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49.60</w:t>
            </w:r>
          </w:p>
        </w:tc>
        <w:tc>
          <w:tcPr>
            <w:tcW w:w="1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762.0</w:t>
            </w:r>
          </w:p>
        </w:tc>
        <w:tc>
          <w:tcPr>
            <w:tcW w:w="3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4,089,473</w:t>
            </w:r>
          </w:p>
        </w:tc>
        <w:tc>
          <w:tcPr>
            <w:tcW w:w="100" w:type="dxa"/>
            <w:vAlign w:val="bottom"/>
            <w:shd w:val="clear" w:color="auto" w:fill="CFF0FC"/>
          </w:tcPr>
          <w:p>
            <w:pPr>
              <w:spacing w:after="0"/>
              <w:rPr>
                <w:sz w:val="15"/>
                <w:szCs w:val="15"/>
                <w:color w:val="auto"/>
              </w:rPr>
            </w:pPr>
          </w:p>
        </w:tc>
      </w:tr>
      <w:tr>
        <w:trPr>
          <w:trHeight w:val="189"/>
        </w:trPr>
        <w:tc>
          <w:tcPr>
            <w:tcW w:w="5420" w:type="dxa"/>
            <w:vAlign w:val="bottom"/>
          </w:tcPr>
          <w:p>
            <w:pPr>
              <w:spacing w:after="0"/>
              <w:rPr>
                <w:sz w:val="20"/>
                <w:szCs w:val="20"/>
                <w:color w:val="auto"/>
              </w:rPr>
            </w:pPr>
            <w:r>
              <w:rPr>
                <w:rFonts w:ascii="Arial" w:cs="Arial" w:eastAsia="Arial" w:hAnsi="Arial"/>
                <w:sz w:val="16"/>
                <w:szCs w:val="16"/>
                <w:color w:val="auto"/>
              </w:rPr>
              <w:t>February 2026</w:t>
            </w:r>
          </w:p>
        </w:tc>
        <w:tc>
          <w:tcPr>
            <w:tcW w:w="1360" w:type="dxa"/>
            <w:vAlign w:val="bottom"/>
          </w:tcPr>
          <w:p>
            <w:pPr>
              <w:jc w:val="right"/>
              <w:spacing w:after="0"/>
              <w:rPr>
                <w:sz w:val="20"/>
                <w:szCs w:val="20"/>
                <w:color w:val="auto"/>
              </w:rPr>
            </w:pPr>
            <w:r>
              <w:rPr>
                <w:rFonts w:ascii="Arial" w:cs="Arial" w:eastAsia="Arial" w:hAnsi="Arial"/>
                <w:sz w:val="16"/>
                <w:szCs w:val="16"/>
                <w:color w:val="auto"/>
              </w:rPr>
              <w:t>4,180.3</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50.29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4,180.3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3,879,262</w:t>
            </w:r>
          </w:p>
        </w:tc>
        <w:tc>
          <w:tcPr>
            <w:tcW w:w="100" w:type="dxa"/>
            <w:vAlign w:val="bottom"/>
          </w:tcPr>
          <w:p>
            <w:pPr>
              <w:spacing w:after="0"/>
              <w:rPr>
                <w:sz w:val="16"/>
                <w:szCs w:val="16"/>
                <w:color w:val="auto"/>
              </w:rPr>
            </w:pPr>
          </w:p>
        </w:tc>
      </w:tr>
      <w:tr>
        <w:trPr>
          <w:trHeight w:val="189"/>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March 2026</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4,256.3</w:t>
            </w:r>
          </w:p>
        </w:tc>
        <w:tc>
          <w:tcPr>
            <w:tcW w:w="2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47.72</w:t>
            </w:r>
          </w:p>
        </w:tc>
        <w:tc>
          <w:tcPr>
            <w:tcW w:w="2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4,256.3</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3,676,191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42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9,198.6</w:t>
            </w:r>
          </w:p>
        </w:tc>
        <w:tc>
          <w:tcPr>
            <w:tcW w:w="4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49.04</w:t>
            </w:r>
          </w:p>
        </w:tc>
        <w:tc>
          <w:tcPr>
            <w:tcW w:w="13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9,198.6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-153670</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SLB completed the wind down of its service operations in Iran. Prior to this, certain non-US subsidiaries provided oilfield services to the National Iranian Oil Company and certain of its affiliates (“NIOC”).</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SLB’s residual transactions or dealings with the government of Iran during the first quarter of 2026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383" w:lineRule="exact"/>
        <w:rPr>
          <w:sz w:val="20"/>
          <w:szCs w:val="20"/>
          <w:color w:val="auto"/>
        </w:rPr>
      </w:pPr>
    </w:p>
    <w:p>
      <w:pPr>
        <w:ind w:left="520"/>
        <w:spacing w:after="0" w:line="286" w:lineRule="auto"/>
        <w:rPr>
          <w:rFonts w:ascii="Arial" w:cs="Arial" w:eastAsia="Arial" w:hAnsi="Arial"/>
          <w:sz w:val="16"/>
          <w:szCs w:val="16"/>
          <w:color w:val="auto"/>
        </w:rPr>
      </w:pPr>
      <w:hyperlink r:id="rId239">
        <w:r>
          <w:rPr>
            <w:rFonts w:ascii="Arial" w:cs="Arial" w:eastAsia="Arial" w:hAnsi="Arial"/>
            <w:sz w:val="16"/>
            <w:szCs w:val="16"/>
            <w:color w:val="auto"/>
          </w:rPr>
          <w:t>Exhibit 3.1—Articles of Incorporation of SLB N.V (SLB Limited) (incorporated by reference to Exhibit 3.1 to SLB’s Quarterly Report on Form 10-Q for</w:t>
        </w:r>
      </w:hyperlink>
      <w:r>
        <w:rPr>
          <w:rFonts w:ascii="Arial" w:cs="Arial" w:eastAsia="Arial" w:hAnsi="Arial"/>
          <w:sz w:val="16"/>
          <w:szCs w:val="16"/>
          <w:color w:val="auto"/>
        </w:rPr>
        <w:t xml:space="preserve"> </w:t>
      </w:r>
      <w:hyperlink r:id="rId239">
        <w:r>
          <w:rPr>
            <w:rFonts w:ascii="Arial" w:cs="Arial" w:eastAsia="Arial" w:hAnsi="Arial"/>
            <w:sz w:val="16"/>
            <w:szCs w:val="16"/>
            <w:color w:val="auto"/>
          </w:rPr>
          <w:t>the quarter ended September 30,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-165735</wp:posOffset>
            </wp:positionV>
            <wp:extent cx="62236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18357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835785" cy="8255"/>
                    </a:xfrm>
                    <a:prstGeom prst="rect">
                      <a:avLst/>
                    </a:prstGeom>
                    <a:noFill/>
                  </pic:spPr>
                </pic:pic>
              </a:graphicData>
            </a:graphic>
          </wp:anchor>
        </w:drawing>
      </w:r>
    </w:p>
    <w:p>
      <w:pPr>
        <w:spacing w:after="0" w:line="109" w:lineRule="exact"/>
        <w:rPr>
          <w:sz w:val="20"/>
          <w:szCs w:val="20"/>
          <w:color w:val="auto"/>
        </w:rPr>
      </w:pPr>
    </w:p>
    <w:p>
      <w:pPr>
        <w:ind w:left="520" w:right="20"/>
        <w:spacing w:after="0" w:line="286" w:lineRule="auto"/>
        <w:rPr>
          <w:rFonts w:ascii="Arial" w:cs="Arial" w:eastAsia="Arial" w:hAnsi="Arial"/>
          <w:sz w:val="16"/>
          <w:szCs w:val="16"/>
          <w:color w:val="auto"/>
        </w:rPr>
      </w:pPr>
      <w:hyperlink r:id="rId242">
        <w:r>
          <w:rPr>
            <w:rFonts w:ascii="Arial" w:cs="Arial" w:eastAsia="Arial" w:hAnsi="Arial"/>
            <w:sz w:val="16"/>
            <w:szCs w:val="16"/>
            <w:color w:val="auto"/>
          </w:rPr>
          <w:t>Exhibit 3.2—Amended and Restated By-Laws of SLB N.V. (SLB Limited) (incorporated by reference to Exhibit 3.2 to SLB’s Quarterly Report on Form</w:t>
        </w:r>
      </w:hyperlink>
      <w:r>
        <w:rPr>
          <w:rFonts w:ascii="Arial" w:cs="Arial" w:eastAsia="Arial" w:hAnsi="Arial"/>
          <w:sz w:val="16"/>
          <w:szCs w:val="16"/>
          <w:color w:val="auto"/>
        </w:rPr>
        <w:t xml:space="preserve"> </w:t>
      </w:r>
      <w:hyperlink r:id="rId242">
        <w:r>
          <w:rPr>
            <w:rFonts w:ascii="Arial" w:cs="Arial" w:eastAsia="Arial" w:hAnsi="Arial"/>
            <w:sz w:val="16"/>
            <w:szCs w:val="16"/>
            <w:color w:val="auto"/>
          </w:rPr>
          <w:t>10-Q for the quarter ended September 30,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-165735</wp:posOffset>
            </wp:positionV>
            <wp:extent cx="62179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6217920"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22415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2241550" cy="8890"/>
                    </a:xfrm>
                    <a:prstGeom prst="rect">
                      <a:avLst/>
                    </a:prstGeom>
                    <a:noFill/>
                  </pic:spPr>
                </pic:pic>
              </a:graphicData>
            </a:graphic>
          </wp:anchor>
        </w:drawing>
      </w:r>
    </w:p>
    <w:p>
      <w:pPr>
        <w:spacing w:after="0" w:line="109" w:lineRule="exact"/>
        <w:rPr>
          <w:sz w:val="20"/>
          <w:szCs w:val="20"/>
          <w:color w:val="auto"/>
        </w:rPr>
      </w:pPr>
    </w:p>
    <w:p>
      <w:pPr>
        <w:ind w:left="620" w:hanging="103"/>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10—Form of Performance Share Unit Award Agreement under SLB’s 2017 Omnibus Stock Incentive Plan (+)</w:t>
      </w:r>
    </w:p>
    <w:p>
      <w:pPr>
        <w:spacing w:after="0" w:line="194" w:lineRule="exact"/>
        <w:rPr>
          <w:rFonts w:ascii="Arial" w:cs="Arial" w:eastAsia="Arial" w:hAnsi="Arial"/>
          <w:sz w:val="16"/>
          <w:szCs w:val="16"/>
          <w:color w:val="auto"/>
        </w:rPr>
      </w:pPr>
    </w:p>
    <w:p>
      <w:pPr>
        <w:ind w:left="620" w:hanging="103"/>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22—Issuers of Registered Guaranteed Debt Securities</w:t>
      </w:r>
    </w:p>
    <w:p>
      <w:pPr>
        <w:spacing w:after="0" w:line="194" w:lineRule="exact"/>
        <w:rPr>
          <w:rFonts w:ascii="Arial" w:cs="Arial" w:eastAsia="Arial" w:hAnsi="Arial"/>
          <w:sz w:val="16"/>
          <w:szCs w:val="16"/>
          <w:color w:val="auto"/>
        </w:rPr>
      </w:pPr>
    </w:p>
    <w:p>
      <w:pPr>
        <w:ind w:left="520" w:right="20" w:hanging="3"/>
        <w:spacing w:after="0" w:line="286" w:lineRule="auto"/>
        <w:tabs>
          <w:tab w:leader="none" w:pos="6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31.1—Certification of Chief Executive Officer pursuant to Rule 13a-14(a) of the Securities Exchange Act of 1934, as amended, as adopted pursuant to Section 302 of the Sarbanes-Oxley Act of 2002</w:t>
      </w:r>
    </w:p>
    <w:p>
      <w:pPr>
        <w:spacing w:after="0" w:line="128" w:lineRule="exact"/>
        <w:rPr>
          <w:rFonts w:ascii="Arial" w:cs="Arial" w:eastAsia="Arial" w:hAnsi="Arial"/>
          <w:sz w:val="16"/>
          <w:szCs w:val="16"/>
          <w:color w:val="auto"/>
        </w:rPr>
      </w:pPr>
    </w:p>
    <w:p>
      <w:pPr>
        <w:ind w:left="520" w:right="20" w:hanging="3"/>
        <w:spacing w:after="0" w:line="286" w:lineRule="auto"/>
        <w:tabs>
          <w:tab w:leader="none" w:pos="6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31.2—Certification of Chief Financial Officer pursuant to Rule 13a-14(a)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-1005840</wp:posOffset>
            </wp:positionV>
            <wp:extent cx="47428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4742815" cy="8255"/>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-765810</wp:posOffset>
            </wp:positionV>
            <wp:extent cx="22701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2270125" cy="825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-525780</wp:posOffset>
            </wp:positionV>
            <wp:extent cx="60839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608393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-405765</wp:posOffset>
            </wp:positionV>
            <wp:extent cx="2687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-165735</wp:posOffset>
            </wp:positionV>
            <wp:extent cx="60839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6083935" cy="889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2687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109" w:lineRule="exact"/>
        <w:rPr>
          <w:sz w:val="20"/>
          <w:szCs w:val="20"/>
          <w:color w:val="auto"/>
        </w:rPr>
      </w:pPr>
    </w:p>
    <w:p>
      <w:pPr>
        <w:ind w:left="520" w:hanging="3"/>
        <w:spacing w:after="0" w:line="286"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 32.1—Certification of Chief Executive Officer pursuant to 18 U.S.C. Section 1350, as adopted pursuant to Section 906 of the Sarbanes-Oxley Act of 2002</w:t>
      </w:r>
    </w:p>
    <w:p>
      <w:pPr>
        <w:spacing w:after="0" w:line="128" w:lineRule="exact"/>
        <w:rPr>
          <w:rFonts w:ascii="Arial" w:cs="Arial" w:eastAsia="Arial" w:hAnsi="Arial"/>
          <w:sz w:val="16"/>
          <w:szCs w:val="16"/>
          <w:color w:val="auto"/>
        </w:rPr>
      </w:pPr>
    </w:p>
    <w:p>
      <w:pPr>
        <w:ind w:left="520" w:hanging="3"/>
        <w:spacing w:after="0" w:line="286" w:lineRule="auto"/>
        <w:tabs>
          <w:tab w:leader="none" w:pos="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 32.2—Certification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-525780</wp:posOffset>
            </wp:positionV>
            <wp:extent cx="60382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603821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-405765</wp:posOffset>
            </wp:positionV>
            <wp:extent cx="8115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81153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-165735</wp:posOffset>
            </wp:positionV>
            <wp:extent cx="60382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603821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8115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109" w:lineRule="exact"/>
        <w:rPr>
          <w:sz w:val="20"/>
          <w:szCs w:val="20"/>
          <w:color w:val="auto"/>
        </w:rPr>
      </w:pPr>
    </w:p>
    <w:p>
      <w:pPr>
        <w:ind w:left="620" w:hanging="103"/>
        <w:spacing w:after="0"/>
        <w:tabs>
          <w:tab w:leader="none" w:pos="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 95—Mine Safety Disclosures</w:t>
      </w:r>
    </w:p>
    <w:p>
      <w:pPr>
        <w:spacing w:after="0" w:line="194" w:lineRule="exact"/>
        <w:rPr>
          <w:rFonts w:ascii="Arial" w:cs="Arial" w:eastAsia="Arial" w:hAnsi="Arial"/>
          <w:sz w:val="16"/>
          <w:szCs w:val="16"/>
          <w:color w:val="auto"/>
        </w:rPr>
      </w:pPr>
    </w:p>
    <w:p>
      <w:pPr>
        <w:ind w:left="520" w:hanging="3"/>
        <w:spacing w:after="0" w:line="286" w:lineRule="auto"/>
        <w:tabs>
          <w:tab w:leader="none" w:pos="643"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 101.INS—Inline XBRL Instance Document – the instance document does not appear in the Interactive Data File because XBRL tags are embedded within the Inline XBRL document</w:t>
      </w:r>
    </w:p>
    <w:p>
      <w:pPr>
        <w:spacing w:after="0" w:line="128" w:lineRule="exact"/>
        <w:rPr>
          <w:rFonts w:ascii="Arial" w:cs="Arial" w:eastAsia="Arial" w:hAnsi="Arial"/>
          <w:sz w:val="16"/>
          <w:szCs w:val="16"/>
          <w:color w:val="auto"/>
        </w:rPr>
      </w:pPr>
    </w:p>
    <w:p>
      <w:pPr>
        <w:ind w:left="620" w:hanging="103"/>
        <w:spacing w:after="0"/>
        <w:tabs>
          <w:tab w:leader="none" w:pos="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 101.SCH—Inline XBRL Taxonomy Extension Schema Document</w:t>
      </w:r>
    </w:p>
    <w:p>
      <w:pPr>
        <w:spacing w:after="0" w:line="194" w:lineRule="exact"/>
        <w:rPr>
          <w:rFonts w:ascii="Arial" w:cs="Arial" w:eastAsia="Arial" w:hAnsi="Arial"/>
          <w:sz w:val="16"/>
          <w:szCs w:val="16"/>
          <w:color w:val="auto"/>
        </w:rPr>
      </w:pPr>
    </w:p>
    <w:p>
      <w:pPr>
        <w:ind w:right="4000" w:firstLine="517"/>
        <w:spacing w:after="0" w:line="440" w:lineRule="auto"/>
        <w:tabs>
          <w:tab w:leader="none" w:pos="61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 104—Cover Page Interactive Data File (embedded within the Inline XBRL document) * Filed with this Form 10-Q.</w:t>
      </w:r>
    </w:p>
    <w:p>
      <w:pPr>
        <w:ind w:left="180" w:hanging="172"/>
        <w:spacing w:after="0"/>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-1273175</wp:posOffset>
            </wp:positionV>
            <wp:extent cx="11029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6"/>
          <w:szCs w:val="16"/>
          <w:color w:val="auto"/>
        </w:rPr>
        <w:t>SIGNATURE</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SLB LIMITED</w:t>
      </w:r>
    </w:p>
    <w:p>
      <w:pPr>
        <w:spacing w:after="0" w:line="235" w:lineRule="exact"/>
        <w:rPr>
          <w:sz w:val="20"/>
          <w:szCs w:val="20"/>
          <w:color w:val="auto"/>
        </w:rPr>
      </w:pPr>
    </w:p>
    <w:p>
      <w:pPr>
        <w:spacing w:after="0"/>
        <w:tabs>
          <w:tab w:leader="none" w:pos="560" w:val="left"/>
          <w:tab w:leader="none" w:pos="5720" w:val="left"/>
        </w:tabs>
        <w:rPr>
          <w:sz w:val="20"/>
          <w:szCs w:val="20"/>
          <w:color w:val="auto"/>
        </w:rPr>
      </w:pPr>
      <w:r>
        <w:rPr>
          <w:rFonts w:ascii="Arial" w:cs="Arial" w:eastAsia="Arial" w:hAnsi="Arial"/>
          <w:sz w:val="16"/>
          <w:szCs w:val="16"/>
          <w:color w:val="auto"/>
        </w:rPr>
        <w:t>Date:</w:t>
        <w:tab/>
        <w:t>April 29, 2026</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12065</wp:posOffset>
            </wp:positionV>
            <wp:extent cx="3488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Howard Guild</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163195</wp:posOffset>
            </wp:positionV>
            <wp:extent cx="685800" cy="651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6858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  ] PERFORMANCE SHARE UNIT AWARD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w:t>
      </w:r>
    </w:p>
    <w:p>
      <w:pPr>
        <w:jc w:val="center"/>
        <w:spacing w:after="0"/>
        <w:rPr>
          <w:sz w:val="20"/>
          <w:szCs w:val="20"/>
          <w:color w:val="auto"/>
        </w:rPr>
      </w:pPr>
      <w:r>
        <w:rPr>
          <w:rFonts w:ascii="Arial" w:cs="Arial" w:eastAsia="Arial" w:hAnsi="Arial"/>
          <w:sz w:val="22"/>
          <w:szCs w:val="22"/>
          <w:b w:val="1"/>
          <w:bCs w:val="1"/>
          <w:color w:val="auto"/>
        </w:rPr>
        <w:t>SLB 2017 OMNIBUS STOCK INCENTIVE PLAN</w:t>
      </w:r>
    </w:p>
    <w:p>
      <w:pPr>
        <w:spacing w:after="0" w:line="213" w:lineRule="exact"/>
        <w:rPr>
          <w:sz w:val="20"/>
          <w:szCs w:val="20"/>
          <w:color w:val="auto"/>
        </w:rPr>
      </w:pPr>
    </w:p>
    <w:p>
      <w:pPr>
        <w:jc w:val="center"/>
        <w:ind w:right="60"/>
        <w:spacing w:after="0" w:line="27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u w:val="single" w:color="auto"/>
          <w:color w:val="auto"/>
        </w:rPr>
        <w:t>Includes Confidentiality, Intellectual Property, Non-Competition, and Non-Solicitation Provisions in Section</w:t>
      </w:r>
      <w:r>
        <w:rPr>
          <w:rFonts w:ascii="Arial" w:cs="Arial" w:eastAsia="Arial" w:hAnsi="Arial"/>
          <w:sz w:val="22"/>
          <w:szCs w:val="22"/>
          <w:color w:val="auto"/>
        </w:rPr>
        <w:t xml:space="preserve"> </w:t>
      </w:r>
      <w:r>
        <w:rPr>
          <w:rFonts w:ascii="Arial" w:cs="Arial" w:eastAsia="Arial" w:hAnsi="Arial"/>
          <w:sz w:val="22"/>
          <w:szCs w:val="22"/>
          <w:b w:val="1"/>
          <w:bCs w:val="1"/>
          <w:i w:val="1"/>
          <w:iCs w:val="1"/>
          <w:u w:val="single" w:color="auto"/>
          <w:color w:val="auto"/>
        </w:rPr>
        <w:t>9 and Attachment IV</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Period: 20[  ], 20[  ] and 20[  ]</w:t>
      </w:r>
    </w:p>
    <w:p>
      <w:pPr>
        <w:spacing w:after="0" w:line="23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This Performance Share Unit Award Agreement (as may be amended, the “Agreement”) is granted to you (“Employee”) effective as of [ ], 20[ ] (the “Grant Date”) by SLB Limited (the “Company”), pursuant to the SLB 2017 Omnibus Stock Incentive Plan, as may be amended (the “Plan”).</w:t>
      </w:r>
    </w:p>
    <w:p>
      <w:pPr>
        <w:spacing w:after="0" w:line="170" w:lineRule="exact"/>
        <w:rPr>
          <w:sz w:val="20"/>
          <w:szCs w:val="20"/>
          <w:color w:val="auto"/>
        </w:rPr>
      </w:pPr>
    </w:p>
    <w:p>
      <w:pPr>
        <w:jc w:val="both"/>
        <w:ind w:firstLine="943"/>
        <w:spacing w:after="0" w:line="235" w:lineRule="auto"/>
        <w:rPr>
          <w:sz w:val="20"/>
          <w:szCs w:val="20"/>
          <w:color w:val="auto"/>
        </w:rPr>
      </w:pPr>
      <w:r>
        <w:rPr>
          <w:rFonts w:ascii="Arial" w:cs="Arial" w:eastAsia="Arial" w:hAnsi="Arial"/>
          <w:sz w:val="22"/>
          <w:szCs w:val="22"/>
          <w:color w:val="auto"/>
        </w:rPr>
        <w:t>1.</w:t>
      </w:r>
      <w:r>
        <w:rPr>
          <w:rFonts w:ascii="Arial" w:cs="Arial" w:eastAsia="Arial" w:hAnsi="Arial"/>
          <w:sz w:val="22"/>
          <w:szCs w:val="22"/>
          <w:u w:val="single" w:color="auto"/>
          <w:color w:val="auto"/>
        </w:rPr>
        <w:t>Award</w:t>
      </w:r>
      <w:r>
        <w:rPr>
          <w:rFonts w:ascii="Arial" w:cs="Arial" w:eastAsia="Arial" w:hAnsi="Arial"/>
          <w:sz w:val="22"/>
          <w:szCs w:val="22"/>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II, and III to this Agreement. The target Performance Share Units subject to this award are set forth in an award letter previously delivered to Employee.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8" w:lineRule="exact"/>
        <w:rPr>
          <w:sz w:val="20"/>
          <w:szCs w:val="20"/>
          <w:color w:val="auto"/>
        </w:rPr>
      </w:pPr>
    </w:p>
    <w:p>
      <w:pPr>
        <w:ind w:left="960"/>
        <w:spacing w:after="0"/>
        <w:tabs>
          <w:tab w:leader="none" w:pos="5040" w:val="left"/>
          <w:tab w:leader="none" w:pos="10860" w:val="left"/>
        </w:tabs>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w:t>
        <w:tab/>
        <w:t>The period of time from and including January 1, 20[</w:t>
        <w:tab/>
        <w:t>] to</w:t>
      </w:r>
    </w:p>
    <w:p>
      <w:pPr>
        <w:spacing w:after="0" w:line="10"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December 31, 20[</w:t>
      </w:r>
      <w:r>
        <w:rPr>
          <w:sz w:val="20"/>
          <w:szCs w:val="20"/>
          <w:color w:val="auto"/>
        </w:rPr>
        <w:tab/>
      </w:r>
      <w:r>
        <w:rPr>
          <w:rFonts w:ascii="Arial" w:cs="Arial" w:eastAsia="Arial" w:hAnsi="Arial"/>
          <w:sz w:val="21"/>
          <w:szCs w:val="21"/>
          <w:color w:val="auto"/>
        </w:rPr>
        <w:t>] is the “Performance Period.” The Performance Share Units will vest as follows:</w:t>
      </w:r>
    </w:p>
    <w:p>
      <w:pPr>
        <w:spacing w:after="0" w:line="186" w:lineRule="exact"/>
        <w:rPr>
          <w:sz w:val="20"/>
          <w:szCs w:val="20"/>
          <w:color w:val="auto"/>
        </w:rPr>
      </w:pPr>
    </w:p>
    <w:p>
      <w:pPr>
        <w:jc w:val="both"/>
        <w:ind w:firstLine="943"/>
        <w:spacing w:after="0" w:line="234" w:lineRule="auto"/>
        <w:rPr>
          <w:sz w:val="20"/>
          <w:szCs w:val="20"/>
          <w:color w:val="auto"/>
        </w:rPr>
      </w:pPr>
      <w:r>
        <w:rPr>
          <w:rFonts w:ascii="Arial" w:cs="Arial" w:eastAsia="Arial" w:hAnsi="Arial"/>
          <w:sz w:val="22"/>
          <w:szCs w:val="22"/>
          <w:color w:val="auto"/>
        </w:rPr>
        <w:t>(a)On the Friday following the first meeting of the Compensation Committee of the Board of Directors of the Company (the “Committee”) in 20[ ], or as soon thereafter as reasonably practicable (such date, the “Vesting Date”), a number of Performance Share Units will vest based on the extent to which the Company has satisfied the performance conditions set forth on Attachment I, II, and III, provided that Employee is continuously employed by the Company or any of its Subsidiaries from the Grant Date through the Vesting Date and has not experienced a Termination of Employment (as defined in Section 10 below) as of such date. Except as provided in Sections 2(b) and 2(c) below, if there is any Termination of Employment during the period from and between the Grant Date until and including the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22"/>
          <w:szCs w:val="22"/>
          <w:color w:val="auto"/>
        </w:rPr>
        <w:t>termination or any related issue, and any such determination by the Committee or its delegate will be final and binding on all parties.</w:t>
      </w:r>
    </w:p>
    <w:p>
      <w:pPr>
        <w:spacing w:after="0" w:line="156" w:lineRule="exact"/>
        <w:rPr>
          <w:sz w:val="20"/>
          <w:szCs w:val="20"/>
          <w:color w:val="auto"/>
        </w:rPr>
      </w:pPr>
    </w:p>
    <w:p>
      <w:pPr>
        <w:jc w:val="both"/>
        <w:ind w:firstLine="943"/>
        <w:spacing w:after="0"/>
        <w:rPr>
          <w:sz w:val="20"/>
          <w:szCs w:val="20"/>
          <w:color w:val="auto"/>
        </w:rPr>
      </w:pPr>
      <w:r>
        <w:rPr>
          <w:rFonts w:ascii="Arial" w:cs="Arial" w:eastAsia="Arial" w:hAnsi="Arial"/>
          <w:sz w:val="22"/>
          <w:szCs w:val="22"/>
          <w:color w:val="auto"/>
        </w:rPr>
        <w:t>(b)(i) If Employee’s Termination of Employment occurs due to Retirement (as defined in Section 10 below), then the Performance Share Units will vest in accordance with Section 2(a) above as if Employee had remained continuously employed by the Company or any of its Subsidiaries from the Grant Date through the Vesting Date.</w:t>
      </w:r>
    </w:p>
    <w:p>
      <w:pPr>
        <w:spacing w:after="0" w:line="176" w:lineRule="exact"/>
        <w:rPr>
          <w:sz w:val="20"/>
          <w:szCs w:val="20"/>
          <w:color w:val="auto"/>
        </w:rPr>
      </w:pPr>
    </w:p>
    <w:p>
      <w:pPr>
        <w:jc w:val="both"/>
        <w:ind w:firstLine="1505"/>
        <w:spacing w:after="0" w:line="235" w:lineRule="auto"/>
        <w:tabs>
          <w:tab w:leader="none" w:pos="1978"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Employee’s Termination of Employment occurs due to Early Retirement (as defined in Section 10 below) or Special Retirement (as defined in Section 10 below, then, subject to the approval of (x) the Committee, if Employee is an executive officer of the Company at the time of Employee’s election to retire, or (y) the Stock Incentive Plan Committee (as defined in Section 10),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Vesting Date. Any approval under clauses (x) or (y) may be granted or withheld in the sole discretion of the Committee or the Retirement Committee, as applicable.</w:t>
      </w:r>
    </w:p>
    <w:p>
      <w:pPr>
        <w:spacing w:after="0" w:line="178" w:lineRule="exact"/>
        <w:rPr>
          <w:sz w:val="20"/>
          <w:szCs w:val="20"/>
          <w:color w:val="auto"/>
        </w:rPr>
      </w:pPr>
    </w:p>
    <w:p>
      <w:pPr>
        <w:jc w:val="both"/>
        <w:ind w:firstLine="943"/>
        <w:spacing w:after="0" w:line="245" w:lineRule="auto"/>
        <w:rPr>
          <w:sz w:val="20"/>
          <w:szCs w:val="20"/>
          <w:color w:val="auto"/>
        </w:rPr>
      </w:pPr>
      <w:r>
        <w:rPr>
          <w:rFonts w:ascii="Arial" w:cs="Arial" w:eastAsia="Arial" w:hAnsi="Arial"/>
          <w:sz w:val="22"/>
          <w:szCs w:val="22"/>
          <w:color w:val="auto"/>
        </w:rPr>
        <w:t>(c)If Employee’s Termination of Employment occurs due to Disability (as defined in Section 10 below) or death, then immediately on the occurrence of such Termination of Employment, the target number of Performance Share Units will vest, and the date of such Termination of Employment will be considered the Vesting Date.</w:t>
      </w:r>
    </w:p>
    <w:p>
      <w:pPr>
        <w:spacing w:after="0" w:line="170" w:lineRule="exact"/>
        <w:rPr>
          <w:sz w:val="20"/>
          <w:szCs w:val="20"/>
          <w:color w:val="auto"/>
        </w:rPr>
      </w:pPr>
    </w:p>
    <w:p>
      <w:pPr>
        <w:jc w:val="both"/>
        <w:ind w:firstLine="943"/>
        <w:spacing w:after="0" w:line="238" w:lineRule="auto"/>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Settlement of Performance Share Units</w:t>
      </w:r>
      <w:r>
        <w:rPr>
          <w:rFonts w:ascii="Arial" w:cs="Arial" w:eastAsia="Arial" w:hAnsi="Arial"/>
          <w:sz w:val="22"/>
          <w:szCs w:val="22"/>
          <w:color w:val="auto"/>
        </w:rPr>
        <w:t>. Payment of vested Performance Share Units will be made in shares of Common Stock as soon as administratively practicable, but in no event later than 90 days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77" w:lineRule="exact"/>
        <w:rPr>
          <w:sz w:val="20"/>
          <w:szCs w:val="20"/>
          <w:color w:val="auto"/>
        </w:rPr>
      </w:pPr>
    </w:p>
    <w:p>
      <w:pPr>
        <w:ind w:left="960"/>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Forfeiture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943"/>
        <w:spacing w:after="0" w:line="251" w:lineRule="auto"/>
        <w:rPr>
          <w:sz w:val="20"/>
          <w:szCs w:val="20"/>
          <w:color w:val="auto"/>
        </w:rPr>
      </w:pPr>
      <w:r>
        <w:rPr>
          <w:rFonts w:ascii="Arial" w:cs="Arial" w:eastAsia="Arial" w:hAnsi="Arial"/>
          <w:sz w:val="21"/>
          <w:szCs w:val="21"/>
          <w:color w:val="auto"/>
        </w:rPr>
        <w:t>(a)At any time during the Performance Period and up to and including the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68" w:lineRule="exact"/>
        <w:rPr>
          <w:sz w:val="20"/>
          <w:szCs w:val="20"/>
          <w:color w:val="auto"/>
        </w:rPr>
      </w:pPr>
    </w:p>
    <w:p>
      <w:pPr>
        <w:jc w:val="both"/>
        <w:ind w:firstLine="943"/>
        <w:spacing w:after="0" w:line="238" w:lineRule="auto"/>
        <w:rPr>
          <w:sz w:val="20"/>
          <w:szCs w:val="20"/>
          <w:color w:val="auto"/>
        </w:rPr>
      </w:pPr>
      <w:r>
        <w:rPr>
          <w:rFonts w:ascii="Arial" w:cs="Arial" w:eastAsia="Arial" w:hAnsi="Arial"/>
          <w:sz w:val="22"/>
          <w:szCs w:val="22"/>
          <w:color w:val="auto"/>
        </w:rPr>
        <w:t>(b)Notwithstanding any provision in this Agreement to the contrary, if at any time during the Performance Period and up to and including the Vesting Date, Employee engages in Detrimental Activity (as defined in Section 10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7" w:name="page28"/>
    <w:bookmarkEnd w:id="27"/>
    <w:p>
      <w:pPr>
        <w:ind w:left="960"/>
        <w:spacing w:after="0"/>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Restrictions on Transfer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943"/>
        <w:spacing w:after="0" w:line="236" w:lineRule="auto"/>
        <w:rPr>
          <w:sz w:val="20"/>
          <w:szCs w:val="20"/>
          <w:color w:val="auto"/>
        </w:rPr>
      </w:pPr>
      <w:r>
        <w:rPr>
          <w:rFonts w:ascii="Arial" w:cs="Arial" w:eastAsia="Arial" w:hAnsi="Arial"/>
          <w:sz w:val="22"/>
          <w:szCs w:val="22"/>
          <w:color w:val="auto"/>
        </w:rPr>
        <w:t>(a)Performance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2" w:lineRule="exact"/>
        <w:rPr>
          <w:sz w:val="20"/>
          <w:szCs w:val="20"/>
          <w:color w:val="auto"/>
        </w:rPr>
      </w:pPr>
    </w:p>
    <w:p>
      <w:pPr>
        <w:jc w:val="both"/>
        <w:ind w:firstLine="943"/>
        <w:spacing w:after="0" w:line="236" w:lineRule="auto"/>
        <w:rPr>
          <w:sz w:val="20"/>
          <w:szCs w:val="20"/>
          <w:color w:val="auto"/>
        </w:rPr>
      </w:pPr>
      <w:r>
        <w:rPr>
          <w:rFonts w:ascii="Arial" w:cs="Arial" w:eastAsia="Arial" w:hAnsi="Arial"/>
          <w:sz w:val="22"/>
          <w:szCs w:val="22"/>
          <w:color w:val="auto"/>
        </w:rPr>
        <w:t>(b)Consistent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76" w:lineRule="exact"/>
        <w:rPr>
          <w:sz w:val="20"/>
          <w:szCs w:val="20"/>
          <w:color w:val="auto"/>
        </w:rPr>
      </w:pPr>
    </w:p>
    <w:p>
      <w:pPr>
        <w:jc w:val="both"/>
        <w:ind w:right="20" w:firstLine="943"/>
        <w:spacing w:after="0" w:line="245" w:lineRule="auto"/>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u w:val="single" w:color="auto"/>
          <w:color w:val="auto"/>
        </w:rPr>
        <w:t>Tax and Social Insurance Withholding</w:t>
      </w:r>
      <w:r>
        <w:rPr>
          <w:rFonts w:ascii="Arial" w:cs="Arial" w:eastAsia="Arial" w:hAnsi="Arial"/>
          <w:sz w:val="22"/>
          <w:szCs w:val="22"/>
          <w:color w:val="auto"/>
        </w:rPr>
        <w:t>.</w:t>
      </w:r>
    </w:p>
    <w:p>
      <w:pPr>
        <w:spacing w:after="0" w:line="206" w:lineRule="exact"/>
        <w:rPr>
          <w:sz w:val="20"/>
          <w:szCs w:val="20"/>
          <w:color w:val="auto"/>
        </w:rPr>
      </w:pPr>
    </w:p>
    <w:p>
      <w:pPr>
        <w:jc w:val="both"/>
        <w:ind w:firstLine="944"/>
        <w:spacing w:after="0" w:line="234" w:lineRule="auto"/>
        <w:tabs>
          <w:tab w:leader="none" w:pos="1416"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75" w:lineRule="exact"/>
        <w:rPr>
          <w:rFonts w:ascii="Arial" w:cs="Arial" w:eastAsia="Arial" w:hAnsi="Arial"/>
          <w:sz w:val="22"/>
          <w:szCs w:val="22"/>
          <w:color w:val="auto"/>
        </w:rPr>
      </w:pPr>
    </w:p>
    <w:p>
      <w:pPr>
        <w:jc w:val="both"/>
        <w:ind w:firstLine="944"/>
        <w:spacing w:after="0" w:line="249" w:lineRule="auto"/>
        <w:tabs>
          <w:tab w:leader="none" w:pos="1416" w:val="left"/>
        </w:tabs>
        <w:numPr>
          <w:ilvl w:val="0"/>
          <w:numId w:val="26"/>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8" w:name="page29"/>
    <w:bookmarkEnd w:id="28"/>
    <w:p>
      <w:pPr>
        <w:jc w:val="both"/>
        <w:spacing w:after="0" w:line="245" w:lineRule="auto"/>
        <w:rPr>
          <w:sz w:val="20"/>
          <w:szCs w:val="20"/>
          <w:color w:val="auto"/>
        </w:rPr>
      </w:pPr>
      <w:r>
        <w:rPr>
          <w:rFonts w:ascii="Arial" w:cs="Arial" w:eastAsia="Arial" w:hAnsi="Arial"/>
          <w:sz w:val="22"/>
          <w:szCs w:val="22"/>
          <w:color w:val="auto"/>
        </w:rPr>
        <w:t>or other cash compensation which would otherwise be payable to Employee by the Company or from any equivalent cash payment received upon vesting of the Performance Share Units, equal to the amount necessary to satisfy any such obligation.</w:t>
      </w:r>
    </w:p>
    <w:p>
      <w:pPr>
        <w:spacing w:after="0" w:line="170" w:lineRule="exact"/>
        <w:rPr>
          <w:sz w:val="20"/>
          <w:szCs w:val="20"/>
          <w:color w:val="auto"/>
        </w:rPr>
      </w:pPr>
    </w:p>
    <w:p>
      <w:pPr>
        <w:ind w:firstLine="944"/>
        <w:spacing w:after="0" w:line="233" w:lineRule="auto"/>
        <w:tabs>
          <w:tab w:leader="none" w:pos="18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82" w:lineRule="exact"/>
        <w:rPr>
          <w:sz w:val="20"/>
          <w:szCs w:val="20"/>
          <w:color w:val="auto"/>
        </w:rPr>
      </w:pPr>
    </w:p>
    <w:p>
      <w:pPr>
        <w:jc w:val="both"/>
        <w:ind w:left="200" w:firstLine="749"/>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6" w:lineRule="exact"/>
        <w:rPr>
          <w:sz w:val="20"/>
          <w:szCs w:val="20"/>
          <w:color w:val="auto"/>
        </w:rPr>
      </w:pPr>
    </w:p>
    <w:p>
      <w:pPr>
        <w:jc w:val="both"/>
        <w:ind w:firstLine="943"/>
        <w:spacing w:after="0" w:line="235" w:lineRule="auto"/>
        <w:rPr>
          <w:sz w:val="20"/>
          <w:szCs w:val="20"/>
          <w:color w:val="auto"/>
        </w:rPr>
      </w:pPr>
      <w:r>
        <w:rPr>
          <w:rFonts w:ascii="Arial" w:cs="Arial" w:eastAsia="Arial" w:hAnsi="Arial"/>
          <w:sz w:val="22"/>
          <w:szCs w:val="22"/>
          <w:color w:val="auto"/>
        </w:rPr>
        <w:t>9.</w:t>
      </w:r>
      <w:r>
        <w:rPr>
          <w:rFonts w:ascii="Arial" w:cs="Arial" w:eastAsia="Arial" w:hAnsi="Arial"/>
          <w:sz w:val="22"/>
          <w:szCs w:val="22"/>
          <w:u w:val="single" w:color="auto"/>
          <w:color w:val="auto"/>
        </w:rPr>
        <w:t>Confidential Information, Intellectual Property and Noncompetition</w:t>
      </w:r>
      <w:r>
        <w:rPr>
          <w:rFonts w:ascii="Arial" w:cs="Arial" w:eastAsia="Arial" w:hAnsi="Arial"/>
          <w:sz w:val="22"/>
          <w:szCs w:val="22"/>
          <w:color w:val="auto"/>
        </w:rPr>
        <w:t>. Employee acknowledges that 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IV, which is incorporated herein by reference, including all rules, procedures, policies and requirements that the Company may promulgate consistent with Attachment IV.</w:t>
      </w:r>
    </w:p>
    <w:p>
      <w:pPr>
        <w:spacing w:after="0" w:line="178" w:lineRule="exact"/>
        <w:rPr>
          <w:sz w:val="20"/>
          <w:szCs w:val="20"/>
          <w:color w:val="auto"/>
        </w:rPr>
      </w:pPr>
    </w:p>
    <w:p>
      <w:pPr>
        <w:jc w:val="both"/>
        <w:ind w:firstLine="943"/>
        <w:spacing w:after="0" w:line="236" w:lineRule="auto"/>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Compliance with Securities Laws</w:t>
      </w:r>
      <w:r>
        <w:rPr>
          <w:rFonts w:ascii="Arial" w:cs="Arial" w:eastAsia="Arial" w:hAnsi="Arial"/>
          <w:sz w:val="22"/>
          <w:szCs w:val="22"/>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Limitation of Rights</w:t>
      </w:r>
      <w:r>
        <w:rPr>
          <w:rFonts w:ascii="Arial" w:cs="Arial" w:eastAsia="Arial" w:hAnsi="Arial"/>
          <w:sz w:val="22"/>
          <w:szCs w:val="22"/>
          <w:color w:val="auto"/>
        </w:rPr>
        <w:t>. Nothing in this Agreement or the Plan may be construed to: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9" w:name="page30"/>
    <w:bookmarkEnd w:id="29"/>
    <w:p>
      <w:pPr>
        <w:ind w:firstLine="943"/>
        <w:spacing w:after="0" w:line="259" w:lineRule="auto"/>
        <w:rPr>
          <w:sz w:val="20"/>
          <w:szCs w:val="20"/>
          <w:color w:val="auto"/>
        </w:rPr>
      </w:pPr>
      <w:r>
        <w:rPr>
          <w:rFonts w:ascii="Arial" w:cs="Arial" w:eastAsia="Arial" w:hAnsi="Arial"/>
          <w:sz w:val="22"/>
          <w:szCs w:val="22"/>
          <w:color w:val="auto"/>
        </w:rPr>
        <w:t>(a)give Employee or any other person or entity any right to be awarded any further Performance Share Units (or other form of stock incentive awards) other than in the sole discretion of the Committee;</w:t>
      </w:r>
    </w:p>
    <w:p>
      <w:pPr>
        <w:spacing w:after="0" w:line="156" w:lineRule="exact"/>
        <w:rPr>
          <w:sz w:val="20"/>
          <w:szCs w:val="20"/>
          <w:color w:val="auto"/>
        </w:rPr>
      </w:pPr>
    </w:p>
    <w:p>
      <w:pPr>
        <w:ind w:firstLine="943"/>
        <w:spacing w:after="0" w:line="259" w:lineRule="auto"/>
        <w:rPr>
          <w:sz w:val="20"/>
          <w:szCs w:val="20"/>
          <w:color w:val="auto"/>
        </w:rPr>
      </w:pPr>
      <w:r>
        <w:rPr>
          <w:rFonts w:ascii="Arial" w:cs="Arial" w:eastAsia="Arial" w:hAnsi="Arial"/>
          <w:sz w:val="22"/>
          <w:szCs w:val="22"/>
          <w:color w:val="auto"/>
        </w:rPr>
        <w:t>(b)give Employee or any other person or entity any interest in any fund or in any specified asset or assets of the Company (other than the Performance Share Units); or</w:t>
      </w:r>
    </w:p>
    <w:p>
      <w:pPr>
        <w:spacing w:after="0" w:line="156" w:lineRule="exact"/>
        <w:rPr>
          <w:sz w:val="20"/>
          <w:szCs w:val="20"/>
          <w:color w:val="auto"/>
        </w:rPr>
      </w:pPr>
    </w:p>
    <w:p>
      <w:pPr>
        <w:ind w:firstLine="943"/>
        <w:spacing w:after="0" w:line="259" w:lineRule="auto"/>
        <w:rPr>
          <w:sz w:val="20"/>
          <w:szCs w:val="20"/>
          <w:color w:val="auto"/>
        </w:rPr>
      </w:pPr>
      <w:r>
        <w:rPr>
          <w:rFonts w:ascii="Arial" w:cs="Arial" w:eastAsia="Arial" w:hAnsi="Arial"/>
          <w:sz w:val="22"/>
          <w:szCs w:val="22"/>
          <w:color w:val="auto"/>
        </w:rPr>
        <w:t>(c)confer upon Employee or any other person or entity the right to continue in the employment or service of the Company or any Subsidiary.</w:t>
      </w:r>
    </w:p>
    <w:p>
      <w:pPr>
        <w:spacing w:after="0" w:line="15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12.</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1320" w:hanging="369"/>
        <w:spacing w:after="0"/>
        <w:tabs>
          <w:tab w:leader="none" w:pos="1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1320" w:hanging="369"/>
        <w:spacing w:after="0"/>
        <w:tabs>
          <w:tab w:leader="none" w:pos="1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“Clawback Policy” is defined in Section 14.</w:t>
      </w:r>
    </w:p>
    <w:p>
      <w:pPr>
        <w:spacing w:after="0" w:line="206" w:lineRule="exact"/>
        <w:rPr>
          <w:rFonts w:ascii="Arial" w:cs="Arial" w:eastAsia="Arial" w:hAnsi="Arial"/>
          <w:sz w:val="22"/>
          <w:szCs w:val="22"/>
          <w:color w:val="auto"/>
        </w:rPr>
      </w:pPr>
    </w:p>
    <w:p>
      <w:pPr>
        <w:ind w:left="1320" w:hanging="369"/>
        <w:spacing w:after="0"/>
        <w:tabs>
          <w:tab w:leader="none" w:pos="1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“Committee” is defined in Section 2(a).</w:t>
      </w:r>
    </w:p>
    <w:p>
      <w:pPr>
        <w:spacing w:after="0" w:line="206" w:lineRule="exact"/>
        <w:rPr>
          <w:rFonts w:ascii="Arial" w:cs="Arial" w:eastAsia="Arial" w:hAnsi="Arial"/>
          <w:sz w:val="22"/>
          <w:szCs w:val="22"/>
          <w:color w:val="auto"/>
        </w:rPr>
      </w:pPr>
    </w:p>
    <w:p>
      <w:pPr>
        <w:ind w:left="1320" w:hanging="369"/>
        <w:spacing w:after="0"/>
        <w:tabs>
          <w:tab w:leader="none" w:pos="1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“Common Stock” is defined in Section 1.</w:t>
      </w:r>
    </w:p>
    <w:p>
      <w:pPr>
        <w:spacing w:after="0" w:line="206" w:lineRule="exact"/>
        <w:rPr>
          <w:rFonts w:ascii="Arial" w:cs="Arial" w:eastAsia="Arial" w:hAnsi="Arial"/>
          <w:sz w:val="22"/>
          <w:szCs w:val="22"/>
          <w:color w:val="auto"/>
        </w:rPr>
      </w:pPr>
    </w:p>
    <w:p>
      <w:pPr>
        <w:ind w:left="1320" w:hanging="369"/>
        <w:spacing w:after="0"/>
        <w:tabs>
          <w:tab w:leader="none" w:pos="1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“Company” is defined in the introduction</w:t>
      </w:r>
    </w:p>
    <w:p>
      <w:pPr>
        <w:spacing w:after="0" w:line="206" w:lineRule="exact"/>
        <w:rPr>
          <w:rFonts w:ascii="Arial" w:cs="Arial" w:eastAsia="Arial" w:hAnsi="Arial"/>
          <w:sz w:val="22"/>
          <w:szCs w:val="22"/>
          <w:color w:val="auto"/>
        </w:rPr>
      </w:pPr>
    </w:p>
    <w:p>
      <w:pPr>
        <w:jc w:val="both"/>
        <w:ind w:left="1320" w:hanging="369"/>
        <w:spacing w:after="0" w:line="232" w:lineRule="auto"/>
        <w:tabs>
          <w:tab w:leader="none" w:pos="1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“Detrimental Activity” means activity that is determined by the Committee in its sole and absolute discretion to be detrimental to the interests of the Company or any of its Subsidiaries, including but not limited to any breach of Attachment IV or any situations where Employee: (i) divulges trade secrets, proprietary data or other confidential information relating to the Company or to the business of the Company or any Subsidiaries; (ii) enters into employment with or otherwise provides services to any Direct Competitor (as defined below); (iii) engages or employs, or solicits or contacts with a view to the engagement or employment of, any employee of the Company or its Subsidiaries; (iv) canvasses, solicits, approaches or entices away or causes to be canvassed, solicited, approached or enticed away from the Company or its Subsidiaries any customer of any of such entities during the Performance Period and up to and including the Vesting Date; (v) is determined to have engaged (whether or not prior to Termination of Employment) in either gross misconduct or criminal activity that is, or that could reasonably be expected to be, harmful to the Company or a Subsidiary; or (vi)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89" w:lineRule="exact"/>
        <w:rPr>
          <w:rFonts w:ascii="Arial" w:cs="Arial" w:eastAsia="Arial" w:hAnsi="Arial"/>
          <w:sz w:val="22"/>
          <w:szCs w:val="22"/>
          <w:color w:val="auto"/>
        </w:rPr>
      </w:pPr>
    </w:p>
    <w:p>
      <w:pPr>
        <w:jc w:val="both"/>
        <w:ind w:left="1320" w:hanging="369"/>
        <w:spacing w:after="0" w:line="262" w:lineRule="auto"/>
        <w:tabs>
          <w:tab w:leader="none" w:pos="1320" w:val="left"/>
        </w:tabs>
        <w:numPr>
          <w:ilvl w:val="0"/>
          <w:numId w:val="28"/>
        </w:numPr>
        <w:rPr>
          <w:rFonts w:ascii="Arial" w:cs="Arial" w:eastAsia="Arial" w:hAnsi="Arial"/>
          <w:sz w:val="21"/>
          <w:szCs w:val="21"/>
          <w:color w:val="auto"/>
        </w:rPr>
      </w:pPr>
      <w:r>
        <w:rPr>
          <w:rFonts w:ascii="Arial" w:cs="Arial" w:eastAsia="Arial" w:hAnsi="Arial"/>
          <w:sz w:val="21"/>
          <w:szCs w:val="21"/>
          <w:color w:val="auto"/>
        </w:rPr>
        <w:t>“Direct Competitor” means any of the following: (i) Halliburton Company, Weatherford International plc, Baker Hughes Company, TechnipFMC plc, NOV Inc., and any other oilfield equipment and services entity; and (ii) any entity engaged in seismic processing and reservoir geosciences services 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0" w:name="page31"/>
    <w:bookmarkEnd w:id="30"/>
    <w:p>
      <w:pPr>
        <w:ind w:left="740"/>
        <w:spacing w:after="0" w:line="259" w:lineRule="auto"/>
        <w:rPr>
          <w:sz w:val="20"/>
          <w:szCs w:val="20"/>
          <w:color w:val="auto"/>
        </w:rPr>
      </w:pPr>
      <w:r>
        <w:rPr>
          <w:rFonts w:ascii="Arial" w:cs="Arial" w:eastAsia="Arial" w:hAnsi="Arial"/>
          <w:sz w:val="22"/>
          <w:szCs w:val="22"/>
          <w:color w:val="auto"/>
        </w:rPr>
        <w:t>the oil and natural gas industry, including in all cases in clause (i) and this clause (ii), any and all of their parents, subsidiaries, affiliates, joint ventures, divisions, successors, or assigns.</w:t>
      </w:r>
    </w:p>
    <w:p>
      <w:pPr>
        <w:spacing w:after="0" w:line="156" w:lineRule="exact"/>
        <w:rPr>
          <w:sz w:val="20"/>
          <w:szCs w:val="20"/>
          <w:color w:val="auto"/>
        </w:rPr>
      </w:pPr>
    </w:p>
    <w:p>
      <w:pPr>
        <w:jc w:val="both"/>
        <w:ind w:left="740" w:hanging="369"/>
        <w:spacing w:after="0"/>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76" w:lineRule="exact"/>
        <w:rPr>
          <w:rFonts w:ascii="Arial" w:cs="Arial" w:eastAsia="Arial" w:hAnsi="Arial"/>
          <w:sz w:val="22"/>
          <w:szCs w:val="22"/>
          <w:color w:val="auto"/>
        </w:rPr>
      </w:pPr>
    </w:p>
    <w:p>
      <w:pPr>
        <w:jc w:val="both"/>
        <w:ind w:left="740" w:hanging="369"/>
        <w:spacing w:after="0" w:line="283" w:lineRule="auto"/>
        <w:tabs>
          <w:tab w:leader="none" w:pos="7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“Early Retirement” means Employee’s voluntary election to retire from employment with the Company and its Subsidiaries at any time after Employee has reached both the age of 50 and 20 years of service.</w:t>
      </w:r>
    </w:p>
    <w:p>
      <w:pPr>
        <w:spacing w:after="0" w:line="132" w:lineRule="exact"/>
        <w:rPr>
          <w:rFonts w:ascii="Arial" w:cs="Arial" w:eastAsia="Arial" w:hAnsi="Arial"/>
          <w:sz w:val="21"/>
          <w:szCs w:val="21"/>
          <w:color w:val="auto"/>
        </w:rPr>
      </w:pPr>
    </w:p>
    <w:p>
      <w:pPr>
        <w:ind w:left="740" w:hanging="369"/>
        <w:spacing w:after="0"/>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2"/>
          <w:szCs w:val="22"/>
          <w:color w:val="auto"/>
        </w:rPr>
      </w:pPr>
    </w:p>
    <w:p>
      <w:pPr>
        <w:jc w:val="both"/>
        <w:ind w:left="740" w:hanging="369"/>
        <w:spacing w:after="0" w:line="236" w:lineRule="auto"/>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81" w:lineRule="exact"/>
        <w:rPr>
          <w:rFonts w:ascii="Arial" w:cs="Arial" w:eastAsia="Arial" w:hAnsi="Arial"/>
          <w:sz w:val="22"/>
          <w:szCs w:val="22"/>
          <w:color w:val="auto"/>
        </w:rPr>
      </w:pPr>
    </w:p>
    <w:p>
      <w:pPr>
        <w:ind w:left="740" w:hanging="369"/>
        <w:spacing w:after="0"/>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“Grant Date” is defined in the introduction.</w:t>
      </w:r>
    </w:p>
    <w:p>
      <w:pPr>
        <w:spacing w:after="0" w:line="206" w:lineRule="exact"/>
        <w:rPr>
          <w:rFonts w:ascii="Arial" w:cs="Arial" w:eastAsia="Arial" w:hAnsi="Arial"/>
          <w:sz w:val="22"/>
          <w:szCs w:val="22"/>
          <w:color w:val="auto"/>
        </w:rPr>
      </w:pPr>
    </w:p>
    <w:p>
      <w:pPr>
        <w:ind w:left="740" w:hanging="369"/>
        <w:spacing w:after="0"/>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“Performance Period” is defined in Section 2.</w:t>
      </w:r>
    </w:p>
    <w:p>
      <w:pPr>
        <w:spacing w:after="0" w:line="206" w:lineRule="exact"/>
        <w:rPr>
          <w:rFonts w:ascii="Arial" w:cs="Arial" w:eastAsia="Arial" w:hAnsi="Arial"/>
          <w:sz w:val="22"/>
          <w:szCs w:val="22"/>
          <w:color w:val="auto"/>
        </w:rPr>
      </w:pPr>
    </w:p>
    <w:p>
      <w:pPr>
        <w:ind w:left="740" w:hanging="369"/>
        <w:spacing w:after="0"/>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2"/>
          <w:szCs w:val="22"/>
          <w:color w:val="auto"/>
        </w:rPr>
      </w:pPr>
    </w:p>
    <w:p>
      <w:pPr>
        <w:ind w:left="740" w:hanging="369"/>
        <w:spacing w:after="0"/>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ind w:left="740" w:hanging="369"/>
        <w:spacing w:after="0" w:line="259" w:lineRule="auto"/>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“Retirement” means Employee’s voluntary election to retire from employment with the Company and its Subsidiaries at any time after Employee has reached both the age of 60 and 25 years of service.</w:t>
      </w:r>
    </w:p>
    <w:p>
      <w:pPr>
        <w:spacing w:after="0" w:line="156" w:lineRule="exact"/>
        <w:rPr>
          <w:rFonts w:ascii="Arial" w:cs="Arial" w:eastAsia="Arial" w:hAnsi="Arial"/>
          <w:sz w:val="22"/>
          <w:szCs w:val="22"/>
          <w:color w:val="auto"/>
        </w:rPr>
      </w:pPr>
    </w:p>
    <w:p>
      <w:pPr>
        <w:ind w:left="740" w:hanging="369"/>
        <w:spacing w:after="0"/>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“Settlement Date” is defined in Section 3.</w:t>
      </w:r>
    </w:p>
    <w:p>
      <w:pPr>
        <w:spacing w:after="0" w:line="206" w:lineRule="exact"/>
        <w:rPr>
          <w:rFonts w:ascii="Arial" w:cs="Arial" w:eastAsia="Arial" w:hAnsi="Arial"/>
          <w:sz w:val="22"/>
          <w:szCs w:val="22"/>
          <w:color w:val="auto"/>
        </w:rPr>
      </w:pPr>
    </w:p>
    <w:p>
      <w:pPr>
        <w:jc w:val="both"/>
        <w:ind w:left="740" w:hanging="369"/>
        <w:spacing w:after="0" w:line="283" w:lineRule="auto"/>
        <w:tabs>
          <w:tab w:leader="none" w:pos="7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“Special Retirement” means Employee’s voluntary election to retire from employment with the Company and its Subsidiaries at any time after Employee has reached both the age of 50 and 10 years of service.</w:t>
      </w:r>
    </w:p>
    <w:p>
      <w:pPr>
        <w:spacing w:after="0" w:line="132" w:lineRule="exact"/>
        <w:rPr>
          <w:rFonts w:ascii="Arial" w:cs="Arial" w:eastAsia="Arial" w:hAnsi="Arial"/>
          <w:sz w:val="21"/>
          <w:szCs w:val="21"/>
          <w:color w:val="auto"/>
        </w:rPr>
      </w:pPr>
    </w:p>
    <w:p>
      <w:pPr>
        <w:ind w:left="740" w:hanging="369"/>
        <w:spacing w:after="0" w:line="259" w:lineRule="auto"/>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“Stock Incentive Plan Committee” means a committee consisting of Company’s Chief People Officer and at least two other HR Directors.</w:t>
      </w:r>
    </w:p>
    <w:p>
      <w:pPr>
        <w:spacing w:after="0" w:line="156" w:lineRule="exact"/>
        <w:rPr>
          <w:rFonts w:ascii="Arial" w:cs="Arial" w:eastAsia="Arial" w:hAnsi="Arial"/>
          <w:sz w:val="22"/>
          <w:szCs w:val="22"/>
          <w:color w:val="auto"/>
        </w:rPr>
      </w:pPr>
    </w:p>
    <w:p>
      <w:pPr>
        <w:jc w:val="both"/>
        <w:ind w:left="740" w:hanging="369"/>
        <w:spacing w:after="0"/>
        <w:tabs>
          <w:tab w:leader="none" w:pos="7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165100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004" w:right="339" w:bottom="1440" w:gutter="0" w:footer="0" w:header="0"/>
        </w:sectPr>
      </w:pPr>
    </w:p>
    <w:bookmarkStart w:id="31" w:name="page32"/>
    <w:bookmarkEnd w:id="31"/>
    <w:p>
      <w:pPr>
        <w:ind w:left="1320"/>
        <w:spacing w:after="0" w:line="259" w:lineRule="auto"/>
        <w:rPr>
          <w:sz w:val="20"/>
          <w:szCs w:val="20"/>
          <w:color w:val="auto"/>
        </w:rPr>
      </w:pPr>
      <w:r>
        <w:rPr>
          <w:rFonts w:ascii="Arial" w:cs="Arial" w:eastAsia="Arial" w:hAnsi="Arial"/>
          <w:sz w:val="22"/>
          <w:szCs w:val="22"/>
          <w:color w:val="auto"/>
        </w:rPr>
        <w:t>indirectly owns 50% or more of the voting, capital or profits interests (whether in the form of partnership interests, membership interests or otherwise).</w:t>
      </w:r>
    </w:p>
    <w:p>
      <w:pPr>
        <w:spacing w:after="0" w:line="156" w:lineRule="exact"/>
        <w:rPr>
          <w:sz w:val="20"/>
          <w:szCs w:val="20"/>
          <w:color w:val="auto"/>
        </w:rPr>
      </w:pPr>
    </w:p>
    <w:p>
      <w:pPr>
        <w:ind w:left="1320" w:hanging="369"/>
        <w:spacing w:after="0"/>
        <w:tabs>
          <w:tab w:leader="none" w:pos="13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“Tax Date” is defined in Section 7(b).</w:t>
      </w:r>
    </w:p>
    <w:p>
      <w:pPr>
        <w:spacing w:after="0" w:line="206" w:lineRule="exact"/>
        <w:rPr>
          <w:rFonts w:ascii="Arial" w:cs="Arial" w:eastAsia="Arial" w:hAnsi="Arial"/>
          <w:sz w:val="22"/>
          <w:szCs w:val="22"/>
          <w:color w:val="auto"/>
        </w:rPr>
      </w:pPr>
    </w:p>
    <w:p>
      <w:pPr>
        <w:ind w:left="1320" w:hanging="369"/>
        <w:spacing w:after="0"/>
        <w:tabs>
          <w:tab w:leader="none" w:pos="13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“Tax-Related Items” is defined in Section 7(a).</w:t>
      </w:r>
    </w:p>
    <w:p>
      <w:pPr>
        <w:spacing w:after="0" w:line="206" w:lineRule="exact"/>
        <w:rPr>
          <w:rFonts w:ascii="Arial" w:cs="Arial" w:eastAsia="Arial" w:hAnsi="Arial"/>
          <w:sz w:val="22"/>
          <w:szCs w:val="22"/>
          <w:color w:val="auto"/>
        </w:rPr>
      </w:pPr>
    </w:p>
    <w:p>
      <w:pPr>
        <w:jc w:val="both"/>
        <w:ind w:left="1320" w:hanging="369"/>
        <w:spacing w:after="0"/>
        <w:tabs>
          <w:tab w:leader="none" w:pos="13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“Termination of Employment” means the voluntary or involuntary termination of Employee’s employment 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76" w:lineRule="exact"/>
        <w:rPr>
          <w:rFonts w:ascii="Arial" w:cs="Arial" w:eastAsia="Arial" w:hAnsi="Arial"/>
          <w:sz w:val="22"/>
          <w:szCs w:val="22"/>
          <w:color w:val="auto"/>
        </w:rPr>
      </w:pPr>
    </w:p>
    <w:p>
      <w:pPr>
        <w:ind w:left="1320" w:hanging="369"/>
        <w:spacing w:after="0"/>
        <w:tabs>
          <w:tab w:leader="none" w:pos="13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“Transfer” is defined in Section 5(a).</w:t>
      </w:r>
    </w:p>
    <w:p>
      <w:pPr>
        <w:spacing w:after="0" w:line="206" w:lineRule="exact"/>
        <w:rPr>
          <w:rFonts w:ascii="Arial" w:cs="Arial" w:eastAsia="Arial" w:hAnsi="Arial"/>
          <w:sz w:val="22"/>
          <w:szCs w:val="22"/>
          <w:color w:val="auto"/>
        </w:rPr>
      </w:pPr>
    </w:p>
    <w:p>
      <w:pPr>
        <w:ind w:left="1320" w:hanging="369"/>
        <w:spacing w:after="0"/>
        <w:tabs>
          <w:tab w:leader="none" w:pos="13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“Vesting Date” is defined in Section 2(a).</w:t>
      </w:r>
    </w:p>
    <w:p>
      <w:pPr>
        <w:spacing w:after="0" w:line="20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13.</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firstLine="943"/>
        <w:spacing w:after="0" w:line="245" w:lineRule="auto"/>
        <w:rPr>
          <w:sz w:val="20"/>
          <w:szCs w:val="20"/>
          <w:color w:val="auto"/>
        </w:rPr>
      </w:pPr>
      <w:r>
        <w:rPr>
          <w:rFonts w:ascii="Arial" w:cs="Arial" w:eastAsia="Arial" w:hAnsi="Arial"/>
          <w:sz w:val="22"/>
          <w:szCs w:val="22"/>
          <w:color w:val="auto"/>
        </w:rPr>
        <w:t>(a)Employee hereby acknowledges that he or she is to consult with and rely upon only Employee’s own tax, legal, and financial advisors regarding the consequences and risks of this Agreement and any award of Performance Share Units.</w:t>
      </w:r>
    </w:p>
    <w:p>
      <w:pPr>
        <w:spacing w:after="0" w:line="170" w:lineRule="exact"/>
        <w:rPr>
          <w:sz w:val="20"/>
          <w:szCs w:val="20"/>
          <w:color w:val="auto"/>
        </w:rPr>
      </w:pPr>
    </w:p>
    <w:p>
      <w:pPr>
        <w:jc w:val="both"/>
        <w:ind w:firstLine="943"/>
        <w:spacing w:after="0"/>
        <w:rPr>
          <w:sz w:val="20"/>
          <w:szCs w:val="20"/>
          <w:color w:val="auto"/>
        </w:rPr>
      </w:pPr>
      <w:r>
        <w:rPr>
          <w:rFonts w:ascii="Arial" w:cs="Arial" w:eastAsia="Arial" w:hAnsi="Arial"/>
          <w:sz w:val="22"/>
          <w:szCs w:val="22"/>
          <w:color w:val="auto"/>
        </w:rPr>
        <w:t>(b)This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76" w:lineRule="exact"/>
        <w:rPr>
          <w:sz w:val="20"/>
          <w:szCs w:val="20"/>
          <w:color w:val="auto"/>
        </w:rPr>
      </w:pPr>
    </w:p>
    <w:p>
      <w:pPr>
        <w:jc w:val="both"/>
        <w:ind w:right="20" w:firstLine="943"/>
        <w:spacing w:after="0" w:line="259" w:lineRule="auto"/>
        <w:rPr>
          <w:sz w:val="20"/>
          <w:szCs w:val="20"/>
          <w:color w:val="auto"/>
        </w:rPr>
      </w:pPr>
      <w:r>
        <w:rPr>
          <w:rFonts w:ascii="Arial" w:cs="Arial" w:eastAsia="Arial" w:hAnsi="Arial"/>
          <w:sz w:val="22"/>
          <w:szCs w:val="22"/>
          <w:color w:val="auto"/>
        </w:rPr>
        <w:t>(c)The invalidity or unenforceability of any provision of this Agreement will not affect the validity or enforceability of any other provision of this Agreement.</w:t>
      </w:r>
    </w:p>
    <w:p>
      <w:pPr>
        <w:spacing w:after="0" w:line="156" w:lineRule="exact"/>
        <w:rPr>
          <w:sz w:val="20"/>
          <w:szCs w:val="20"/>
          <w:color w:val="auto"/>
        </w:rPr>
      </w:pPr>
    </w:p>
    <w:p>
      <w:pPr>
        <w:jc w:val="both"/>
        <w:ind w:firstLine="943"/>
        <w:spacing w:after="0" w:line="245" w:lineRule="auto"/>
        <w:rPr>
          <w:sz w:val="20"/>
          <w:szCs w:val="20"/>
          <w:color w:val="auto"/>
        </w:rPr>
      </w:pPr>
      <w:r>
        <w:rPr>
          <w:rFonts w:ascii="Arial" w:cs="Arial" w:eastAsia="Arial" w:hAnsi="Arial"/>
          <w:sz w:val="22"/>
          <w:szCs w:val="22"/>
          <w:color w:val="auto"/>
        </w:rPr>
        <w:t>(d)This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70" w:lineRule="exact"/>
        <w:rPr>
          <w:sz w:val="20"/>
          <w:szCs w:val="20"/>
          <w:color w:val="auto"/>
        </w:rPr>
      </w:pPr>
    </w:p>
    <w:p>
      <w:pPr>
        <w:jc w:val="both"/>
        <w:ind w:firstLine="943"/>
        <w:spacing w:after="0" w:line="245" w:lineRule="auto"/>
        <w:rPr>
          <w:sz w:val="20"/>
          <w:szCs w:val="20"/>
          <w:color w:val="auto"/>
        </w:rPr>
      </w:pPr>
      <w:r>
        <w:rPr>
          <w:rFonts w:ascii="Arial" w:cs="Arial" w:eastAsia="Arial" w:hAnsi="Arial"/>
          <w:sz w:val="22"/>
          <w:szCs w:val="22"/>
          <w:color w:val="auto"/>
        </w:rPr>
        <w:t>(e)The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70" w:lineRule="exact"/>
        <w:rPr>
          <w:sz w:val="20"/>
          <w:szCs w:val="20"/>
          <w:color w:val="auto"/>
        </w:rPr>
      </w:pPr>
    </w:p>
    <w:p>
      <w:pPr>
        <w:jc w:val="both"/>
        <w:ind w:firstLine="943"/>
        <w:spacing w:after="0" w:line="259" w:lineRule="auto"/>
        <w:rPr>
          <w:sz w:val="20"/>
          <w:szCs w:val="20"/>
          <w:color w:val="auto"/>
        </w:rPr>
      </w:pPr>
      <w:r>
        <w:rPr>
          <w:rFonts w:ascii="Arial" w:cs="Arial" w:eastAsia="Arial" w:hAnsi="Arial"/>
          <w:sz w:val="22"/>
          <w:szCs w:val="22"/>
          <w:color w:val="auto"/>
        </w:rPr>
        <w:t>(f)Employee and the Company agree to execute such further instruments and to take such further action as may reasonably be necessary to carry out the intent of this Agreement.</w:t>
      </w:r>
    </w:p>
    <w:p>
      <w:pPr>
        <w:spacing w:after="0" w:line="156" w:lineRule="exact"/>
        <w:rPr>
          <w:sz w:val="20"/>
          <w:szCs w:val="20"/>
          <w:color w:val="auto"/>
        </w:rPr>
      </w:pPr>
    </w:p>
    <w:p>
      <w:pPr>
        <w:jc w:val="both"/>
        <w:ind w:firstLine="943"/>
        <w:spacing w:after="0"/>
        <w:rPr>
          <w:sz w:val="20"/>
          <w:szCs w:val="20"/>
          <w:color w:val="auto"/>
        </w:rPr>
      </w:pPr>
      <w:r>
        <w:rPr>
          <w:rFonts w:ascii="Arial" w:cs="Arial" w:eastAsia="Arial" w:hAnsi="Arial"/>
          <w:sz w:val="22"/>
          <w:szCs w:val="22"/>
          <w:color w:val="auto"/>
        </w:rPr>
        <w:t>(g)This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2" w:name="page33"/>
    <w:bookmarkEnd w:id="32"/>
    <w:p>
      <w:pPr>
        <w:jc w:val="both"/>
        <w:spacing w:after="0" w:line="238" w:lineRule="auto"/>
        <w:rPr>
          <w:sz w:val="20"/>
          <w:szCs w:val="20"/>
          <w:color w:val="auto"/>
        </w:rPr>
      </w:pPr>
      <w:r>
        <w:rPr>
          <w:rFonts w:ascii="Arial" w:cs="Arial" w:eastAsia="Arial" w:hAnsi="Arial"/>
          <w:sz w:val="22"/>
          <w:szCs w:val="22"/>
          <w:color w:val="auto"/>
        </w:rPr>
        <w:t>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77" w:lineRule="exact"/>
        <w:rPr>
          <w:sz w:val="20"/>
          <w:szCs w:val="20"/>
          <w:color w:val="auto"/>
        </w:rPr>
      </w:pPr>
    </w:p>
    <w:p>
      <w:pPr>
        <w:jc w:val="both"/>
        <w:ind w:firstLine="943"/>
        <w:spacing w:after="0" w:line="232" w:lineRule="auto"/>
        <w:rPr>
          <w:sz w:val="20"/>
          <w:szCs w:val="20"/>
          <w:color w:val="auto"/>
        </w:rPr>
      </w:pPr>
      <w:r>
        <w:rPr>
          <w:rFonts w:ascii="Arial" w:cs="Arial" w:eastAsia="Arial" w:hAnsi="Arial"/>
          <w:sz w:val="22"/>
          <w:szCs w:val="22"/>
          <w:color w:val="auto"/>
        </w:rPr>
        <w:t>(h)As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 DEMAND, ACTION, OR CAUSE OF ACTION ARISING OUT OF THIS AGREEMENT OR ANY ATTACHMENT THERETO.</w:t>
      </w:r>
    </w:p>
    <w:p>
      <w:pPr>
        <w:spacing w:after="0" w:line="184" w:lineRule="exact"/>
        <w:rPr>
          <w:sz w:val="20"/>
          <w:szCs w:val="20"/>
          <w:color w:val="auto"/>
        </w:rPr>
      </w:pPr>
    </w:p>
    <w:p>
      <w:pPr>
        <w:jc w:val="both"/>
        <w:ind w:firstLine="943"/>
        <w:spacing w:after="0" w:line="235" w:lineRule="auto"/>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Clawback Policy</w:t>
      </w:r>
      <w:r>
        <w:rPr>
          <w:rFonts w:ascii="Arial" w:cs="Arial" w:eastAsia="Arial" w:hAnsi="Arial"/>
          <w:sz w:val="22"/>
          <w:szCs w:val="22"/>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78" w:lineRule="exact"/>
        <w:rPr>
          <w:sz w:val="20"/>
          <w:szCs w:val="20"/>
          <w:color w:val="auto"/>
        </w:rPr>
      </w:pPr>
    </w:p>
    <w:p>
      <w:pPr>
        <w:jc w:val="both"/>
        <w:ind w:firstLine="943"/>
        <w:spacing w:after="0" w:line="245" w:lineRule="auto"/>
        <w:rPr>
          <w:sz w:val="20"/>
          <w:szCs w:val="20"/>
          <w:color w:val="auto"/>
        </w:rPr>
      </w:pPr>
      <w:r>
        <w:rPr>
          <w:rFonts w:ascii="Arial" w:cs="Arial" w:eastAsia="Arial" w:hAnsi="Arial"/>
          <w:sz w:val="22"/>
          <w:szCs w:val="22"/>
          <w:color w:val="auto"/>
        </w:rPr>
        <w:t>15.</w:t>
      </w:r>
      <w:r>
        <w:rPr>
          <w:rFonts w:ascii="Arial" w:cs="Arial" w:eastAsia="Arial" w:hAnsi="Arial"/>
          <w:sz w:val="22"/>
          <w:szCs w:val="22"/>
          <w:u w:val="single" w:color="auto"/>
          <w:color w:val="auto"/>
        </w:rPr>
        <w:t>Acceptance of Award</w:t>
      </w:r>
      <w:r>
        <w:rPr>
          <w:rFonts w:ascii="Arial" w:cs="Arial" w:eastAsia="Arial" w:hAnsi="Arial"/>
          <w:sz w:val="22"/>
          <w:szCs w:val="22"/>
          <w:color w:val="auto"/>
        </w:rPr>
        <w:t>. Employee is deemed to accept the award of Performance Share Units under this Agreement and to agree that such award is subject to the terms and conditions set forth in this Agreement and the Plan unless Employee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3" w:name="page34"/>
    <w:bookmarkEnd w:id="33"/>
    <w:p>
      <w:pPr>
        <w:jc w:val="both"/>
        <w:spacing w:after="0" w:line="236" w:lineRule="auto"/>
        <w:rPr>
          <w:sz w:val="20"/>
          <w:szCs w:val="20"/>
          <w:color w:val="auto"/>
        </w:rPr>
      </w:pPr>
      <w:r>
        <w:rPr>
          <w:rFonts w:ascii="Arial" w:cs="Arial" w:eastAsia="Arial" w:hAnsi="Arial"/>
          <w:sz w:val="22"/>
          <w:szCs w:val="22"/>
          <w:color w:val="auto"/>
        </w:rPr>
        <w:t>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82" w:lineRule="exact"/>
        <w:rPr>
          <w:sz w:val="20"/>
          <w:szCs w:val="20"/>
          <w:color w:val="auto"/>
        </w:rPr>
      </w:pPr>
    </w:p>
    <w:p>
      <w:pPr>
        <w:jc w:val="both"/>
        <w:ind w:firstLine="943"/>
        <w:spacing w:after="0" w:line="251" w:lineRule="auto"/>
        <w:rPr>
          <w:sz w:val="20"/>
          <w:szCs w:val="20"/>
          <w:color w:val="auto"/>
        </w:rPr>
      </w:pPr>
      <w:r>
        <w:rPr>
          <w:rFonts w:ascii="Arial" w:cs="Arial" w:eastAsia="Arial" w:hAnsi="Arial"/>
          <w:sz w:val="21"/>
          <w:szCs w:val="21"/>
          <w:color w:val="auto"/>
        </w:rPr>
        <w:t>16.</w:t>
      </w:r>
      <w:r>
        <w:rPr>
          <w:rFonts w:ascii="Arial" w:cs="Arial" w:eastAsia="Arial" w:hAnsi="Arial"/>
          <w:sz w:val="21"/>
          <w:szCs w:val="21"/>
          <w:u w:val="single" w:color="auto"/>
          <w:color w:val="auto"/>
        </w:rPr>
        <w:t>Appendix.</w:t>
      </w:r>
      <w:r>
        <w:rPr>
          <w:rFonts w:ascii="Arial" w:cs="Arial" w:eastAsia="Arial" w:hAnsi="Arial"/>
          <w:sz w:val="21"/>
          <w:szCs w:val="21"/>
          <w:color w:val="auto"/>
        </w:rPr>
        <w:t xml:space="preserve"> Notwithstanding any provisions in this Agreement, the Performance Share Units shall be subject to the additional terms and conditions for your country set forth in Appendix A and Appendix B attached hereto. Moreover, if you relocate to one of the countries included therein, the terms and conditions for such country will apply to you to the extent the Company determines that the application of such terms and conditions is necessary or advisable for legal or administrative reasons. Appendix A and Appendix B constitute part of this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1"/>
          <w:szCs w:val="21"/>
          <w:b w:val="1"/>
          <w:bCs w:val="1"/>
          <w:color w:val="auto"/>
        </w:rPr>
        <w:t>ATTACHMENT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Cumulative Free Cash Flow Margin Performance Conditions</w:t>
      </w:r>
    </w:p>
    <w:p>
      <w:pPr>
        <w:spacing w:after="0" w:line="19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Subject to the provisions of the Agreement and this Attachment I, vesting of the Performance Share Units is conditioned upon the cumulative free cash flow (as further described below “FCF”) generated by the Company from January 1, 20[ ] to December 31, 20[ ] as a percentage of cumulative revenue generated by the Company from January 1, 20[ ] to December 31, 20[ ] (as further described below as “FCF Margin”).</w:t>
      </w:r>
    </w:p>
    <w:p>
      <w:pPr>
        <w:spacing w:after="0" w:line="6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color w:val="auto"/>
        </w:rPr>
        <w:t>FCF is defined as the Company’s cash flow from operations, less capital expenditures, investments in Asset Performance Solutions (“APS”) projects, and exploration data costs capitalized.</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21"/>
          <w:szCs w:val="21"/>
          <w:color w:val="auto"/>
        </w:rPr>
        <w:t>The Committee retains discretion to adjust payouts to account for the impact of exceptional material events.</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Performance/Payout</w:t>
      </w:r>
    </w:p>
    <w:p>
      <w:pPr>
        <w:spacing w:after="0" w:line="10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 number of Performance Share Units that will vest on the Vesting Date will be equal to the product of (i) the target Performance Share Units and (ii) the Payout Factor set forth below (with any fractional shares rounded up to the next whole share).</w:t>
      </w:r>
    </w:p>
    <w:p>
      <w:pPr>
        <w:spacing w:after="0" w:line="6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The FCF Margin achieved by the Company over the Performance Period will be certified by the Committee. The Payout Factor for FCF Margin achievement levels between points on this chart will be determined by linear interpolation between the values listed. The maximum payout of Performance Share Units is [ ]% of the Target Performance Share Units before the relative TSR modifier is applied. The relative TSR modifier is described in Attachment III.</w:t>
      </w:r>
    </w:p>
    <w:p>
      <w:pPr>
        <w:spacing w:after="0" w:line="200" w:lineRule="exact"/>
        <w:rPr>
          <w:sz w:val="20"/>
          <w:szCs w:val="20"/>
          <w:color w:val="auto"/>
        </w:rPr>
      </w:pPr>
    </w:p>
    <w:p>
      <w:pPr>
        <w:spacing w:after="0" w:line="217" w:lineRule="exact"/>
        <w:rPr>
          <w:sz w:val="20"/>
          <w:szCs w:val="20"/>
          <w:color w:val="auto"/>
        </w:rPr>
      </w:pPr>
    </w:p>
    <w:p>
      <w:pPr>
        <w:ind w:left="5360"/>
        <w:spacing w:after="0"/>
        <w:rPr>
          <w:sz w:val="20"/>
          <w:szCs w:val="20"/>
          <w:color w:val="auto"/>
        </w:rPr>
      </w:pPr>
      <w:r>
        <w:rPr>
          <w:rFonts w:ascii="Arial" w:cs="Arial" w:eastAsia="Arial" w:hAnsi="Arial"/>
          <w:sz w:val="21"/>
          <w:szCs w:val="21"/>
          <w:b w:val="1"/>
          <w:bCs w:val="1"/>
          <w:color w:val="auto"/>
        </w:rPr>
        <w:t>[REDACTED]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Interpretation</w:t>
      </w:r>
    </w:p>
    <w:p>
      <w:pPr>
        <w:spacing w:after="0" w:line="10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color w:val="auto"/>
        </w:rPr>
        <w:t>In the event of any ambiguity or discrepancy in this Agreement (including this Attachment I), the determination of the Committee shall be final and binding.</w:t>
      </w:r>
    </w:p>
    <w:p>
      <w:pPr>
        <w:spacing w:after="0" w:line="200" w:lineRule="exact"/>
        <w:rPr>
          <w:sz w:val="20"/>
          <w:szCs w:val="20"/>
          <w:color w:val="auto"/>
        </w:rPr>
      </w:pPr>
    </w:p>
    <w:p>
      <w:pPr>
        <w:spacing w:after="0" w:line="34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1"/>
          <w:szCs w:val="21"/>
          <w:b w:val="1"/>
          <w:bCs w:val="1"/>
          <w:color w:val="auto"/>
        </w:rPr>
        <w:t>ATTACHMENT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Absolute Return on Capital Employed Performance Conditions</w:t>
      </w:r>
    </w:p>
    <w:p>
      <w:pPr>
        <w:spacing w:after="0" w:line="19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Subject to the provisions of the Agreement and this Attachment II, vesting of the Performance Share Units is conditioned upon the Company’s average annual return on capital employed (as further described below, “ROCE”) over the three-year performance period beginning on January 1, 20[ ] and ending on December 31, 20[ ] (the “Performance Period”).</w:t>
      </w:r>
    </w:p>
    <w:p>
      <w:pPr>
        <w:spacing w:after="0" w:line="1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color w:val="auto"/>
        </w:rPr>
        <w:t>ROCE is calculated excluding the impact in the year of closing and the following full year of any M&amp;A transactions with a purchase price for accounting purposes &gt;$500M.</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Other Definitions</w:t>
      </w:r>
    </w:p>
    <w:p>
      <w:pPr>
        <w:spacing w:after="0" w:line="10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ROCE is equal to the sum of (i) income from continuing operations, before charges and credits, and (ii) the after-tax impact of net interest expense, divided by the sum of (x) the average quarterly equity, including noncontrolling interests, and (y) the average quarterly net debt.</w:t>
      </w:r>
    </w:p>
    <w:p>
      <w:pPr>
        <w:spacing w:after="0" w:line="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color w:val="auto"/>
        </w:rPr>
        <w:t>SLB’s average annual ROCE means the average of the three annual ROCE achievements during the Performance Period.</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Performance/Payout</w:t>
      </w:r>
    </w:p>
    <w:p>
      <w:pPr>
        <w:spacing w:after="0" w:line="10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 number of Performance Share Units that will vest will be equal to the product of (i) the target Performance Share Units and (ii) the Payout Factor (with any fractional shares rounded up to the next whole share). The average annual ROCE achieved by the Company over the Performance Period, will be certified by the Committee.</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21"/>
          <w:szCs w:val="21"/>
          <w:color w:val="auto"/>
        </w:rPr>
        <w:t>The Committee retains discretion to adjust payouts to account for the impact of exceptional material events.</w:t>
      </w:r>
    </w:p>
    <w:p>
      <w:pPr>
        <w:spacing w:after="0" w:line="56"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1"/>
          <w:szCs w:val="21"/>
          <w:color w:val="auto"/>
        </w:rPr>
        <w:t>The Committee is authorized to vest the number of Performance Share Units at the Payout Factor based on the table below. The Payout Factor for ROCE achievement levels between points listed in the table below will be determined by linear interpolation. The maximum payout of Performance Share Units is [ ]% of the Target Performance Share Units before the relative TSR modifier is applied. The relative TSR modifier is described in Attachment III.</w:t>
      </w:r>
    </w:p>
    <w:p>
      <w:pPr>
        <w:spacing w:after="0" w:line="200" w:lineRule="exact"/>
        <w:rPr>
          <w:sz w:val="20"/>
          <w:szCs w:val="20"/>
          <w:color w:val="auto"/>
        </w:rPr>
      </w:pPr>
    </w:p>
    <w:p>
      <w:pPr>
        <w:spacing w:after="0" w:line="217" w:lineRule="exact"/>
        <w:rPr>
          <w:sz w:val="20"/>
          <w:szCs w:val="20"/>
          <w:color w:val="auto"/>
        </w:rPr>
      </w:pPr>
    </w:p>
    <w:p>
      <w:pPr>
        <w:ind w:left="5360"/>
        <w:spacing w:after="0"/>
        <w:rPr>
          <w:sz w:val="20"/>
          <w:szCs w:val="20"/>
          <w:color w:val="auto"/>
        </w:rPr>
      </w:pPr>
      <w:r>
        <w:rPr>
          <w:rFonts w:ascii="Arial" w:cs="Arial" w:eastAsia="Arial" w:hAnsi="Arial"/>
          <w:sz w:val="21"/>
          <w:szCs w:val="21"/>
          <w:b w:val="1"/>
          <w:bCs w:val="1"/>
          <w:color w:val="auto"/>
        </w:rPr>
        <w:t>[REDACTED]</w:t>
      </w: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Interpretation</w:t>
      </w:r>
    </w:p>
    <w:p>
      <w:pPr>
        <w:spacing w:after="0" w:line="108" w:lineRule="exact"/>
        <w:rPr>
          <w:sz w:val="20"/>
          <w:szCs w:val="20"/>
          <w:color w:val="auto"/>
        </w:rPr>
      </w:pPr>
    </w:p>
    <w:p>
      <w:pPr>
        <w:ind w:right="160" w:firstLine="749"/>
        <w:spacing w:after="0" w:line="273" w:lineRule="auto"/>
        <w:rPr>
          <w:sz w:val="20"/>
          <w:szCs w:val="20"/>
          <w:color w:val="auto"/>
        </w:rPr>
      </w:pPr>
      <w:r>
        <w:rPr>
          <w:rFonts w:ascii="Arial" w:cs="Arial" w:eastAsia="Arial" w:hAnsi="Arial"/>
          <w:sz w:val="21"/>
          <w:szCs w:val="21"/>
          <w:color w:val="auto"/>
        </w:rPr>
        <w:t>In the event of any ambiguity or discrepancy in this Agreement (including this Attachment II), the determination of the Committee shall be final and binding.</w:t>
      </w:r>
    </w:p>
    <w:p>
      <w:pPr>
        <w:spacing w:after="0" w:line="200" w:lineRule="exact"/>
        <w:rPr>
          <w:sz w:val="20"/>
          <w:szCs w:val="20"/>
          <w:color w:val="auto"/>
        </w:rPr>
      </w:pPr>
    </w:p>
    <w:p>
      <w:pPr>
        <w:spacing w:after="0" w:line="23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1"/>
          <w:szCs w:val="21"/>
          <w:b w:val="1"/>
          <w:bCs w:val="1"/>
          <w:color w:val="auto"/>
        </w:rPr>
        <w:t>ATTACHMENT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Relative Total Shareholder Return Modifier Performance Conditions</w:t>
      </w:r>
    </w:p>
    <w:p>
      <w:pPr>
        <w:spacing w:after="0" w:line="198"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20"/>
          <w:szCs w:val="20"/>
          <w:color w:val="auto"/>
        </w:rPr>
        <w:t>Subject to the provisions of the Agreement and this Attachment III, modification of the ROCE and FCF Margin Performance Share Units is conditioned upon the Company’s achievement of certain performance conditions as set forth herein. At the conclusion of the Performance Period, the Committee will certify the Company’s cumulative TSR (as defined below) over the Performance Period and determine the Company’s Relative TSR ordinal rank (as defined below).</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Definitions</w:t>
      </w:r>
    </w:p>
    <w:p>
      <w:pPr>
        <w:spacing w:after="0" w:line="10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“Total Shareholder Return” or “TSR” means the cumulative rate of return reflecting price appreciation plus reinvestment of dividends and the compounding effect of dividends paid on reinvested dividends. The Committee will utilize Standard &amp; Poor’s Capital IQ Database (or any successor database), or such other database or method as the Committee determines is appropriate in its discretion, to calculate any company’s TSR. The share price appreciation will be measured by the difference between the share price at the beginning of the Performance Period, which is calculated based on a 20-trading day closing price average for the first 20 days of the performance period and the last 20 days at the end of the Performance Period.</w:t>
      </w:r>
    </w:p>
    <w:p>
      <w:pPr>
        <w:spacing w:after="0" w:line="184" w:lineRule="exact"/>
        <w:rPr>
          <w:sz w:val="20"/>
          <w:szCs w:val="20"/>
          <w:color w:val="auto"/>
        </w:rPr>
      </w:pPr>
    </w:p>
    <w:p>
      <w:pPr>
        <w:jc w:val="both"/>
        <w:ind w:firstLine="460"/>
        <w:spacing w:after="0" w:line="252" w:lineRule="auto"/>
        <w:rPr>
          <w:sz w:val="20"/>
          <w:szCs w:val="20"/>
          <w:color w:val="auto"/>
        </w:rPr>
      </w:pPr>
      <w:r>
        <w:rPr>
          <w:rFonts w:ascii="Arial" w:cs="Arial" w:eastAsia="Arial" w:hAnsi="Arial"/>
          <w:sz w:val="21"/>
          <w:szCs w:val="21"/>
          <w:color w:val="auto"/>
        </w:rPr>
        <w:t>“Relative TSR Ordinal Rank” means the ordinal rank of the TSRs among the Peer Group Members (as defined below) for the Performance Period. The Company’s Relative TSR Ordinal Rank will be calculated by first determining the cumulative TSR of the Peer Group Members and the Company for the Performance Period, then by ranking from highest to lowest, including SLB.</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21"/>
          <w:szCs w:val="21"/>
          <w:color w:val="auto"/>
        </w:rPr>
        <w:t>“Peer Group Members” means the following comparators: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[REDACTED]</w:t>
      </w: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Performance/Modification</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The modification to ROCE and FCF Performance Share Units that will vest on the Vesting Date will be determined using the performance/modification matrix below.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[REDACTED]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Changes in Peer Group Companies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1"/>
          <w:szCs w:val="21"/>
          <w:color w:val="auto"/>
        </w:rPr>
        <w:t>Unless the Committee determines otherwise in its discretion, then if, at any time during the Performance Period:</w:t>
      </w:r>
    </w:p>
    <w:p>
      <w:pPr>
        <w:spacing w:after="0" w:line="245" w:lineRule="exact"/>
        <w:rPr>
          <w:sz w:val="20"/>
          <w:szCs w:val="20"/>
          <w:color w:val="auto"/>
        </w:rPr>
      </w:pPr>
    </w:p>
    <w:p>
      <w:pPr>
        <w:jc w:val="both"/>
        <w:ind w:left="1140" w:hanging="383"/>
        <w:spacing w:after="0" w:line="247" w:lineRule="auto"/>
        <w:tabs>
          <w:tab w:leader="none" w:pos="1140" w:val="left"/>
        </w:tabs>
        <w:numPr>
          <w:ilvl w:val="0"/>
          <w:numId w:val="31"/>
        </w:numPr>
        <w:rPr>
          <w:rFonts w:ascii="Times New Roman" w:cs="Times New Roman" w:eastAsia="Times New Roman" w:hAnsi="Times New Roman"/>
          <w:sz w:val="21"/>
          <w:szCs w:val="21"/>
          <w:color w:val="auto"/>
        </w:rPr>
      </w:pPr>
      <w:r>
        <w:rPr>
          <w:rFonts w:ascii="Arial" w:cs="Arial" w:eastAsia="Arial" w:hAnsi="Arial"/>
          <w:sz w:val="21"/>
          <w:szCs w:val="21"/>
          <w:color w:val="auto"/>
        </w:rPr>
        <w:t>any Peer Group Member files for bankruptcy protection or ceases to be listed on a U.S. national exchange due to the failure to meet applicable listing requirements, then such member will be treated as having achieved the lowest possible Total Shareholder Return and Relative TSR Ordinal Rank;</w:t>
      </w:r>
    </w:p>
    <w:p>
      <w:pPr>
        <w:spacing w:after="0" w:line="2" w:lineRule="exact"/>
        <w:rPr>
          <w:rFonts w:ascii="Times New Roman" w:cs="Times New Roman" w:eastAsia="Times New Roman" w:hAnsi="Times New Roman"/>
          <w:sz w:val="21"/>
          <w:szCs w:val="21"/>
          <w:color w:val="auto"/>
        </w:rPr>
      </w:pPr>
    </w:p>
    <w:p>
      <w:pPr>
        <w:jc w:val="both"/>
        <w:ind w:left="1140" w:hanging="383"/>
        <w:spacing w:after="0" w:line="246" w:lineRule="auto"/>
        <w:tabs>
          <w:tab w:leader="none" w:pos="1140" w:val="left"/>
        </w:tabs>
        <w:numPr>
          <w:ilvl w:val="0"/>
          <w:numId w:val="31"/>
        </w:numPr>
        <w:rPr>
          <w:rFonts w:ascii="Times New Roman" w:cs="Times New Roman" w:eastAsia="Times New Roman" w:hAnsi="Times New Roman"/>
          <w:sz w:val="21"/>
          <w:szCs w:val="21"/>
          <w:color w:val="auto"/>
        </w:rPr>
      </w:pPr>
      <w:r>
        <w:rPr>
          <w:rFonts w:ascii="Arial" w:cs="Arial" w:eastAsia="Arial" w:hAnsi="Arial"/>
          <w:sz w:val="21"/>
          <w:szCs w:val="21"/>
          <w:color w:val="auto"/>
        </w:rPr>
        <w:t>any Peer Group Member is acquired by, or completes a merger or other combination with, or has sold all or substantially all of its assets to, another Peer Group Member, the acquiring or surviving member, as applicable, will be included</w:t>
      </w:r>
    </w:p>
    <w:p>
      <w:pPr>
        <w:spacing w:after="0" w:line="200" w:lineRule="exact"/>
        <w:rPr>
          <w:sz w:val="20"/>
          <w:szCs w:val="20"/>
          <w:color w:val="auto"/>
        </w:rPr>
      </w:pPr>
    </w:p>
    <w:p>
      <w:pPr>
        <w:spacing w:after="0" w:line="26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ind w:left="1140" w:right="20"/>
        <w:spacing w:after="0" w:line="251" w:lineRule="auto"/>
        <w:rPr>
          <w:sz w:val="20"/>
          <w:szCs w:val="20"/>
          <w:color w:val="auto"/>
        </w:rPr>
      </w:pPr>
      <w:r>
        <w:rPr>
          <w:rFonts w:ascii="Arial" w:cs="Arial" w:eastAsia="Arial" w:hAnsi="Arial"/>
          <w:sz w:val="21"/>
          <w:szCs w:val="21"/>
          <w:color w:val="auto"/>
        </w:rPr>
        <w:t>in the Relative TSR Ordinal Rank, and the acquired or non-surviving member, as applicable, will not be included in the Relative TSR Ordinal Rank for any of the Performance Period; or</w:t>
      </w:r>
    </w:p>
    <w:p>
      <w:pPr>
        <w:spacing w:after="0" w:line="1" w:lineRule="exact"/>
        <w:rPr>
          <w:sz w:val="20"/>
          <w:szCs w:val="20"/>
          <w:color w:val="auto"/>
        </w:rPr>
      </w:pPr>
    </w:p>
    <w:p>
      <w:pPr>
        <w:jc w:val="both"/>
        <w:ind w:left="1140" w:hanging="383"/>
        <w:spacing w:after="0" w:line="241" w:lineRule="auto"/>
        <w:tabs>
          <w:tab w:leader="none" w:pos="1140" w:val="left"/>
        </w:tabs>
        <w:numPr>
          <w:ilvl w:val="0"/>
          <w:numId w:val="32"/>
        </w:numPr>
        <w:rPr>
          <w:rFonts w:ascii="Times New Roman" w:cs="Times New Roman" w:eastAsia="Times New Roman" w:hAnsi="Times New Roman"/>
          <w:sz w:val="21"/>
          <w:szCs w:val="21"/>
          <w:color w:val="auto"/>
        </w:rPr>
      </w:pPr>
      <w:r>
        <w:rPr>
          <w:rFonts w:ascii="Arial" w:cs="Arial" w:eastAsia="Arial" w:hAnsi="Arial"/>
          <w:sz w:val="21"/>
          <w:szCs w:val="21"/>
          <w:color w:val="auto"/>
        </w:rPr>
        <w:t>any Peer Group Member is acquired by, or completes a merger or other combination with, or has sold all or substantially all of its assets to, an entity that is not a Peer Group Member, and the Peer Group Member is not the surviving publicly-traded entity following the transaction, then neither (i) the acquirer or surviving entity, as applicable, nor (ii) the acquired or non-surviving member, as applicable, will be included in the Relative TSR Ordinal Rank.</w:t>
      </w:r>
    </w:p>
    <w:p>
      <w:pPr>
        <w:spacing w:after="0" w:line="1" w:lineRule="exact"/>
        <w:rPr>
          <w:rFonts w:ascii="Times New Roman" w:cs="Times New Roman" w:eastAsia="Times New Roman" w:hAnsi="Times New Roman"/>
          <w:sz w:val="21"/>
          <w:szCs w:val="21"/>
          <w:color w:val="auto"/>
        </w:rPr>
      </w:pPr>
    </w:p>
    <w:p>
      <w:pPr>
        <w:ind w:left="1140" w:right="20" w:hanging="383"/>
        <w:spacing w:after="0" w:line="241" w:lineRule="auto"/>
        <w:tabs>
          <w:tab w:leader="none" w:pos="1140" w:val="left"/>
        </w:tabs>
        <w:numPr>
          <w:ilvl w:val="0"/>
          <w:numId w:val="32"/>
        </w:numPr>
        <w:rPr>
          <w:rFonts w:ascii="Times New Roman" w:cs="Times New Roman" w:eastAsia="Times New Roman" w:hAnsi="Times New Roman"/>
          <w:sz w:val="21"/>
          <w:szCs w:val="21"/>
          <w:color w:val="auto"/>
        </w:rPr>
      </w:pPr>
      <w:r>
        <w:rPr>
          <w:rFonts w:ascii="Arial" w:cs="Arial" w:eastAsia="Arial" w:hAnsi="Arial"/>
          <w:sz w:val="21"/>
          <w:szCs w:val="21"/>
          <w:color w:val="auto"/>
        </w:rPr>
        <w:t>If more than two companies are removed, the S&amp;P Global 1200 Energy Index individual companies will become the peer group.</w:t>
      </w:r>
    </w:p>
    <w:p>
      <w:pPr>
        <w:ind w:left="1140" w:right="20" w:hanging="383"/>
        <w:spacing w:after="0" w:line="252" w:lineRule="auto"/>
        <w:tabs>
          <w:tab w:leader="none" w:pos="1140" w:val="left"/>
        </w:tabs>
        <w:numPr>
          <w:ilvl w:val="0"/>
          <w:numId w:val="32"/>
        </w:numPr>
        <w:rPr>
          <w:rFonts w:ascii="Times New Roman" w:cs="Times New Roman" w:eastAsia="Times New Roman" w:hAnsi="Times New Roman"/>
          <w:sz w:val="21"/>
          <w:szCs w:val="21"/>
          <w:color w:val="auto"/>
        </w:rPr>
      </w:pPr>
      <w:r>
        <w:rPr>
          <w:rFonts w:ascii="Arial" w:cs="Arial" w:eastAsia="Arial" w:hAnsi="Arial"/>
          <w:sz w:val="21"/>
          <w:szCs w:val="21"/>
          <w:color w:val="auto"/>
        </w:rPr>
        <w:t>Any reduction to the number of companies in the peer group would result in a new performance/modification table as outlined below.</w:t>
      </w:r>
    </w:p>
    <w:p>
      <w:pPr>
        <w:spacing w:after="0" w:line="309" w:lineRule="exact"/>
        <w:rPr>
          <w:sz w:val="20"/>
          <w:szCs w:val="20"/>
          <w:color w:val="auto"/>
        </w:rPr>
      </w:pPr>
    </w:p>
    <w:p>
      <w:pPr>
        <w:ind w:left="5360"/>
        <w:spacing w:after="0"/>
        <w:rPr>
          <w:sz w:val="20"/>
          <w:szCs w:val="20"/>
          <w:color w:val="auto"/>
        </w:rPr>
      </w:pPr>
      <w:r>
        <w:rPr>
          <w:rFonts w:ascii="Arial" w:cs="Arial" w:eastAsia="Arial" w:hAnsi="Arial"/>
          <w:sz w:val="21"/>
          <w:szCs w:val="21"/>
          <w:b w:val="1"/>
          <w:bCs w:val="1"/>
          <w:color w:val="auto"/>
        </w:rPr>
        <w:t>[REDACTED]</w:t>
      </w: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Interpretation</w:t>
      </w:r>
    </w:p>
    <w:p>
      <w:pPr>
        <w:spacing w:after="0" w:line="20" w:lineRule="exact"/>
        <w:rPr>
          <w:sz w:val="20"/>
          <w:szCs w:val="20"/>
          <w:color w:val="auto"/>
        </w:rPr>
      </w:pPr>
    </w:p>
    <w:p>
      <w:pPr>
        <w:ind w:firstLine="749"/>
        <w:spacing w:after="0" w:line="253" w:lineRule="auto"/>
        <w:rPr>
          <w:sz w:val="20"/>
          <w:szCs w:val="20"/>
          <w:color w:val="auto"/>
        </w:rPr>
      </w:pPr>
      <w:r>
        <w:rPr>
          <w:rFonts w:ascii="Arial" w:cs="Arial" w:eastAsia="Arial" w:hAnsi="Arial"/>
          <w:sz w:val="21"/>
          <w:szCs w:val="21"/>
          <w:color w:val="auto"/>
        </w:rPr>
        <w:t>In the event of any ambiguity or discrepancy in this Agreement (including this Attachment III), the determination of the Committee shall be final and binding.</w:t>
      </w:r>
    </w:p>
    <w:p>
      <w:pPr>
        <w:spacing w:after="0" w:line="200" w:lineRule="exact"/>
        <w:rPr>
          <w:sz w:val="20"/>
          <w:szCs w:val="20"/>
          <w:color w:val="auto"/>
        </w:rPr>
      </w:pPr>
    </w:p>
    <w:p>
      <w:pPr>
        <w:spacing w:after="0" w:line="25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jc w:val="center"/>
        <w:ind w:right="580"/>
        <w:spacing w:after="0"/>
        <w:rPr>
          <w:sz w:val="20"/>
          <w:szCs w:val="20"/>
          <w:color w:val="auto"/>
        </w:rPr>
      </w:pPr>
      <w:r>
        <w:rPr>
          <w:rFonts w:ascii="Arial" w:cs="Arial" w:eastAsia="Arial" w:hAnsi="Arial"/>
          <w:sz w:val="22"/>
          <w:szCs w:val="22"/>
          <w:b w:val="1"/>
          <w:bCs w:val="1"/>
          <w:color w:val="auto"/>
        </w:rPr>
        <w:t>ATTACHMENT IV</w:t>
      </w:r>
    </w:p>
    <w:p>
      <w:pPr>
        <w:spacing w:after="0" w:line="2" w:lineRule="exact"/>
        <w:rPr>
          <w:sz w:val="20"/>
          <w:szCs w:val="20"/>
          <w:color w:val="auto"/>
        </w:rPr>
      </w:pPr>
    </w:p>
    <w:p>
      <w:pPr>
        <w:jc w:val="center"/>
        <w:ind w:right="580"/>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ind w:right="580"/>
        <w:spacing w:after="0"/>
        <w:rPr>
          <w:sz w:val="20"/>
          <w:szCs w:val="20"/>
          <w:color w:val="auto"/>
        </w:rPr>
      </w:pPr>
      <w:r>
        <w:rPr>
          <w:rFonts w:ascii="Arial" w:cs="Arial" w:eastAsia="Arial" w:hAnsi="Arial"/>
          <w:sz w:val="22"/>
          <w:szCs w:val="22"/>
          <w:b w:val="1"/>
          <w:bCs w:val="1"/>
          <w:color w:val="auto"/>
        </w:rPr>
        <w:t>Non-Compete and Non-Solicitation Agreement</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17.</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jc w:val="both"/>
        <w:ind w:left="560" w:hanging="383"/>
        <w:spacing w:after="0" w:line="245" w:lineRule="auto"/>
        <w:tabs>
          <w:tab w:leader="none" w:pos="5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200" w:lineRule="exact"/>
        <w:rPr>
          <w:rFonts w:ascii="Arial" w:cs="Arial" w:eastAsia="Arial" w:hAnsi="Arial"/>
          <w:sz w:val="22"/>
          <w:szCs w:val="22"/>
          <w:color w:val="auto"/>
        </w:rPr>
      </w:pPr>
    </w:p>
    <w:p>
      <w:pPr>
        <w:spacing w:after="0" w:line="213" w:lineRule="exact"/>
        <w:rPr>
          <w:rFonts w:ascii="Arial" w:cs="Arial" w:eastAsia="Arial" w:hAnsi="Arial"/>
          <w:sz w:val="22"/>
          <w:szCs w:val="22"/>
          <w:color w:val="auto"/>
        </w:rPr>
      </w:pPr>
    </w:p>
    <w:p>
      <w:pPr>
        <w:jc w:val="both"/>
        <w:ind w:left="560" w:hanging="383"/>
        <w:spacing w:after="0" w:line="232" w:lineRule="auto"/>
        <w:tabs>
          <w:tab w:leader="none" w:pos="5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IV,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200" w:lineRule="exact"/>
        <w:rPr>
          <w:rFonts w:ascii="Arial" w:cs="Arial" w:eastAsia="Arial" w:hAnsi="Arial"/>
          <w:sz w:val="22"/>
          <w:szCs w:val="22"/>
          <w:color w:val="auto"/>
        </w:rPr>
      </w:pPr>
    </w:p>
    <w:p>
      <w:pPr>
        <w:spacing w:after="0" w:line="234" w:lineRule="exact"/>
        <w:rPr>
          <w:rFonts w:ascii="Arial" w:cs="Arial" w:eastAsia="Arial" w:hAnsi="Arial"/>
          <w:sz w:val="22"/>
          <w:szCs w:val="22"/>
          <w:color w:val="auto"/>
        </w:rPr>
      </w:pPr>
    </w:p>
    <w:p>
      <w:pPr>
        <w:jc w:val="both"/>
        <w:ind w:left="560" w:hanging="383"/>
        <w:spacing w:after="0"/>
        <w:tabs>
          <w:tab w:leader="none" w:pos="5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“Company Intellectual Property” is all Intellectual Property that was authored, conceived, developed, or reduced to practice by Employee (either solely or jointly with others), in the term of his/her employment:</w:t>
      </w:r>
    </w:p>
    <w:p>
      <w:pPr>
        <w:jc w:val="both"/>
        <w:ind w:left="560"/>
        <w:spacing w:after="0" w:line="232" w:lineRule="auto"/>
        <w:rPr>
          <w:rFonts w:ascii="Arial" w:cs="Arial" w:eastAsia="Arial" w:hAnsi="Arial"/>
          <w:sz w:val="22"/>
          <w:szCs w:val="22"/>
          <w:color w:val="auto"/>
        </w:rPr>
      </w:pPr>
      <w:r>
        <w:rPr>
          <w:rFonts w:ascii="Arial" w:cs="Arial" w:eastAsia="Arial" w:hAnsi="Arial"/>
          <w:sz w:val="22"/>
          <w:szCs w:val="22"/>
          <w:color w:val="auto"/>
        </w:rPr>
        <w:t>(a)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14</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165100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002" w:right="339" w:bottom="1440" w:gutter="0" w:footer="0" w:header="0"/>
        </w:sectPr>
      </w:pPr>
    </w:p>
    <w:bookmarkStart w:id="39" w:name="page40"/>
    <w:bookmarkEnd w:id="39"/>
    <w:p>
      <w:pPr>
        <w:jc w:val="both"/>
        <w:ind w:left="940" w:hanging="383"/>
        <w:spacing w:after="0" w:line="236" w:lineRule="auto"/>
        <w:tabs>
          <w:tab w:leader="none" w:pos="9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202" w:lineRule="exact"/>
        <w:rPr>
          <w:rFonts w:ascii="Arial" w:cs="Arial" w:eastAsia="Arial" w:hAnsi="Arial"/>
          <w:sz w:val="22"/>
          <w:szCs w:val="22"/>
          <w:color w:val="auto"/>
        </w:rPr>
      </w:pPr>
    </w:p>
    <w:p>
      <w:pPr>
        <w:jc w:val="both"/>
        <w:ind w:left="940" w:hanging="383"/>
        <w:spacing w:after="0" w:line="251" w:lineRule="auto"/>
        <w:tabs>
          <w:tab w:leader="none" w:pos="9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“Pre-existing Intellectual Property” is all Intellectual Property that was authored, conceived, developed, or reduced to practice by Employee before the term of Employee’s employment with the Company or any</w:t>
      </w:r>
    </w:p>
    <w:p>
      <w:pPr>
        <w:ind w:left="940"/>
        <w:spacing w:after="0" w:line="231" w:lineRule="auto"/>
        <w:rPr>
          <w:sz w:val="20"/>
          <w:szCs w:val="20"/>
          <w:color w:val="auto"/>
        </w:rPr>
      </w:pPr>
      <w:r>
        <w:rPr>
          <w:rFonts w:ascii="Arial" w:cs="Arial" w:eastAsia="Arial" w:hAnsi="Arial"/>
          <w:sz w:val="22"/>
          <w:szCs w:val="22"/>
          <w:color w:val="auto"/>
        </w:rPr>
        <w:t>Affiliate began.</w:t>
      </w:r>
    </w:p>
    <w:p>
      <w:pPr>
        <w:jc w:val="both"/>
        <w:ind w:firstLine="749"/>
        <w:spacing w:after="0" w:line="235" w:lineRule="auto"/>
        <w:rPr>
          <w:sz w:val="20"/>
          <w:szCs w:val="20"/>
          <w:color w:val="auto"/>
        </w:rPr>
      </w:pPr>
      <w:r>
        <w:rPr>
          <w:rFonts w:ascii="Arial" w:cs="Arial" w:eastAsia="Arial" w:hAnsi="Arial"/>
          <w:sz w:val="22"/>
          <w:szCs w:val="22"/>
          <w:color w:val="auto"/>
        </w:rPr>
        <w:t>18.</w:t>
      </w:r>
      <w:r>
        <w:rPr>
          <w:rFonts w:ascii="Arial" w:cs="Arial" w:eastAsia="Arial" w:hAnsi="Arial"/>
          <w:sz w:val="22"/>
          <w:szCs w:val="22"/>
          <w:u w:val="single" w:color="auto"/>
          <w:color w:val="auto"/>
        </w:rPr>
        <w:t>Codes of Conduct</w:t>
      </w:r>
      <w:r>
        <w:rPr>
          <w:rFonts w:ascii="Arial" w:cs="Arial" w:eastAsia="Arial" w:hAnsi="Arial"/>
          <w:sz w:val="22"/>
          <w:szCs w:val="22"/>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IV. In the event of any conflict or ambiguity, this Attachment IV prevails.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19.</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06" w:lineRule="exact"/>
        <w:rPr>
          <w:sz w:val="20"/>
          <w:szCs w:val="20"/>
          <w:color w:val="auto"/>
        </w:rPr>
      </w:pPr>
    </w:p>
    <w:p>
      <w:pPr>
        <w:jc w:val="both"/>
        <w:ind w:left="940" w:hanging="383"/>
        <w:spacing w:after="0" w:line="235" w:lineRule="auto"/>
        <w:tabs>
          <w:tab w:leader="none" w:pos="9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IV do not and will not breach any agreement or duty to keep in confidence information, knowledge, or data acquired by Employee outside of Employee’s employment with the Company or any of its Affiliates.</w:t>
      </w:r>
    </w:p>
    <w:p>
      <w:pPr>
        <w:spacing w:after="0" w:line="200" w:lineRule="exact"/>
        <w:rPr>
          <w:rFonts w:ascii="Arial" w:cs="Arial" w:eastAsia="Arial" w:hAnsi="Arial"/>
          <w:sz w:val="22"/>
          <w:szCs w:val="22"/>
          <w:color w:val="auto"/>
        </w:rPr>
      </w:pPr>
    </w:p>
    <w:p>
      <w:pPr>
        <w:spacing w:after="0" w:line="221" w:lineRule="exact"/>
        <w:rPr>
          <w:rFonts w:ascii="Arial" w:cs="Arial" w:eastAsia="Arial" w:hAnsi="Arial"/>
          <w:sz w:val="22"/>
          <w:szCs w:val="22"/>
          <w:color w:val="auto"/>
        </w:rPr>
      </w:pPr>
    </w:p>
    <w:p>
      <w:pPr>
        <w:jc w:val="both"/>
        <w:ind w:left="940" w:hanging="383"/>
        <w:spacing w:after="0" w:line="245" w:lineRule="auto"/>
        <w:tabs>
          <w:tab w:leader="none" w:pos="9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97" w:lineRule="exact"/>
        <w:rPr>
          <w:rFonts w:ascii="Arial" w:cs="Arial" w:eastAsia="Arial" w:hAnsi="Arial"/>
          <w:sz w:val="22"/>
          <w:szCs w:val="22"/>
          <w:color w:val="auto"/>
        </w:rPr>
      </w:pPr>
    </w:p>
    <w:p>
      <w:pPr>
        <w:jc w:val="both"/>
        <w:ind w:left="940" w:hanging="383"/>
        <w:spacing w:after="0" w:line="238" w:lineRule="auto"/>
        <w:tabs>
          <w:tab w:leader="none" w:pos="9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203" w:lineRule="exact"/>
        <w:rPr>
          <w:rFonts w:ascii="Arial" w:cs="Arial" w:eastAsia="Arial" w:hAnsi="Arial"/>
          <w:sz w:val="22"/>
          <w:szCs w:val="22"/>
          <w:color w:val="auto"/>
        </w:rPr>
      </w:pPr>
    </w:p>
    <w:p>
      <w:pPr>
        <w:ind w:left="940" w:right="20" w:hanging="383"/>
        <w:spacing w:after="0" w:line="259" w:lineRule="auto"/>
        <w:tabs>
          <w:tab w:leader="none" w:pos="9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Except as required in performing Employee's duties for the Company or any of its Affiliates, Employee agrees not remove from the Company premises or its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15</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247" w:right="339" w:bottom="1440" w:gutter="0" w:footer="0" w:header="0"/>
        </w:sectPr>
      </w:pPr>
    </w:p>
    <w:bookmarkStart w:id="40" w:name="page41"/>
    <w:bookmarkEnd w:id="40"/>
    <w:p>
      <w:pPr>
        <w:jc w:val="both"/>
        <w:ind w:left="560"/>
        <w:spacing w:after="0" w:line="248" w:lineRule="auto"/>
        <w:rPr>
          <w:sz w:val="20"/>
          <w:szCs w:val="20"/>
          <w:color w:val="auto"/>
        </w:rPr>
      </w:pPr>
      <w:r>
        <w:rPr>
          <w:rFonts w:ascii="Arial" w:cs="Arial" w:eastAsia="Arial" w:hAnsi="Arial"/>
          <w:sz w:val="21"/>
          <w:szCs w:val="21"/>
          <w:color w:val="auto"/>
        </w:rPr>
        <w:t>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200" w:lineRule="exact"/>
        <w:rPr>
          <w:sz w:val="20"/>
          <w:szCs w:val="20"/>
          <w:color w:val="auto"/>
        </w:rPr>
      </w:pPr>
    </w:p>
    <w:p>
      <w:pPr>
        <w:spacing w:after="0" w:line="213" w:lineRule="exact"/>
        <w:rPr>
          <w:sz w:val="20"/>
          <w:szCs w:val="20"/>
          <w:color w:val="auto"/>
        </w:rPr>
      </w:pPr>
    </w:p>
    <w:p>
      <w:pPr>
        <w:jc w:val="both"/>
        <w:ind w:left="560" w:hanging="383"/>
        <w:spacing w:after="0" w:line="236" w:lineRule="auto"/>
        <w:tabs>
          <w:tab w:leader="none" w:pos="5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208" w:lineRule="exact"/>
        <w:rPr>
          <w:rFonts w:ascii="Arial" w:cs="Arial" w:eastAsia="Arial" w:hAnsi="Arial"/>
          <w:sz w:val="22"/>
          <w:szCs w:val="22"/>
          <w:color w:val="auto"/>
        </w:rPr>
      </w:pPr>
    </w:p>
    <w:p>
      <w:pPr>
        <w:ind w:left="560" w:hanging="383"/>
        <w:spacing w:after="0"/>
        <w:tabs>
          <w:tab w:leader="none" w:pos="5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Employee will not destroy, modify, alter, or secret any document, tangible thing, or information relating to</w:t>
      </w:r>
    </w:p>
    <w:p>
      <w:pPr>
        <w:spacing w:after="0" w:line="22" w:lineRule="exact"/>
        <w:rPr>
          <w:sz w:val="20"/>
          <w:szCs w:val="20"/>
          <w:color w:val="auto"/>
        </w:rPr>
      </w:pPr>
    </w:p>
    <w:p>
      <w:pPr>
        <w:ind w:left="560"/>
        <w:spacing w:after="0" w:line="230" w:lineRule="auto"/>
        <w:rPr>
          <w:sz w:val="20"/>
          <w:szCs w:val="20"/>
          <w:color w:val="auto"/>
        </w:rPr>
      </w:pPr>
      <w:r>
        <w:rPr>
          <w:rFonts w:ascii="Arial" w:cs="Arial" w:eastAsia="Arial" w:hAnsi="Arial"/>
          <w:sz w:val="22"/>
          <w:szCs w:val="22"/>
          <w:color w:val="auto"/>
        </w:rPr>
        <w:t>Company Intellectual Property or Company Confidential Information except as occurs in the ordinary performance of Employee’s employment.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20.</w:t>
      </w:r>
      <w:r>
        <w:rPr>
          <w:rFonts w:ascii="Arial" w:cs="Arial" w:eastAsia="Arial" w:hAnsi="Arial"/>
          <w:sz w:val="22"/>
          <w:szCs w:val="22"/>
          <w:u w:val="single" w:color="auto"/>
          <w:color w:val="auto"/>
        </w:rPr>
        <w:t>Disclosure of Intellectual Property</w:t>
      </w:r>
      <w:r>
        <w:rPr>
          <w:rFonts w:ascii="Arial" w:cs="Arial" w:eastAsia="Arial" w:hAnsi="Arial"/>
          <w:sz w:val="22"/>
          <w:szCs w:val="22"/>
          <w:color w:val="auto"/>
        </w:rPr>
        <w:t>.</w:t>
      </w:r>
    </w:p>
    <w:p>
      <w:pPr>
        <w:spacing w:after="0" w:line="186" w:lineRule="exact"/>
        <w:rPr>
          <w:sz w:val="20"/>
          <w:szCs w:val="20"/>
          <w:color w:val="auto"/>
        </w:rPr>
      </w:pPr>
    </w:p>
    <w:p>
      <w:pPr>
        <w:jc w:val="both"/>
        <w:ind w:left="560" w:hanging="383"/>
        <w:spacing w:after="0" w:line="234" w:lineRule="auto"/>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200" w:lineRule="exact"/>
        <w:rPr>
          <w:rFonts w:ascii="Arial" w:cs="Arial" w:eastAsia="Arial" w:hAnsi="Arial"/>
          <w:sz w:val="22"/>
          <w:szCs w:val="22"/>
          <w:color w:val="auto"/>
        </w:rPr>
      </w:pPr>
    </w:p>
    <w:p>
      <w:pPr>
        <w:spacing w:after="0" w:line="226" w:lineRule="exact"/>
        <w:rPr>
          <w:rFonts w:ascii="Arial" w:cs="Arial" w:eastAsia="Arial" w:hAnsi="Arial"/>
          <w:sz w:val="22"/>
          <w:szCs w:val="22"/>
          <w:color w:val="auto"/>
        </w:rPr>
      </w:pPr>
    </w:p>
    <w:p>
      <w:pPr>
        <w:jc w:val="both"/>
        <w:ind w:left="560" w:hanging="383"/>
        <w:spacing w:after="0" w:line="235" w:lineRule="auto"/>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16</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165100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004" w:right="339" w:bottom="1440" w:gutter="0" w:footer="0" w:header="0"/>
        </w:sectPr>
      </w:pPr>
    </w:p>
    <w:bookmarkStart w:id="41" w:name="page42"/>
    <w:bookmarkEnd w:id="41"/>
    <w:p>
      <w:pPr>
        <w:ind w:left="560"/>
        <w:spacing w:after="0"/>
        <w:rPr>
          <w:sz w:val="20"/>
          <w:szCs w:val="20"/>
          <w:color w:val="auto"/>
        </w:rPr>
      </w:pPr>
      <w:r>
        <w:rPr>
          <w:rFonts w:ascii="Arial" w:cs="Arial" w:eastAsia="Arial" w:hAnsi="Arial"/>
          <w:sz w:val="22"/>
          <w:szCs w:val="22"/>
          <w:color w:val="auto"/>
        </w:rPr>
        <w:t>conform to the policies and procedures in place at the time governing such disclosures.</w:t>
      </w:r>
    </w:p>
    <w:p>
      <w:pPr>
        <w:spacing w:after="0" w:line="200" w:lineRule="exact"/>
        <w:rPr>
          <w:sz w:val="20"/>
          <w:szCs w:val="20"/>
          <w:color w:val="auto"/>
        </w:rPr>
      </w:pPr>
    </w:p>
    <w:p>
      <w:pPr>
        <w:spacing w:after="0" w:line="249" w:lineRule="exact"/>
        <w:rPr>
          <w:sz w:val="20"/>
          <w:szCs w:val="20"/>
          <w:color w:val="auto"/>
        </w:rPr>
      </w:pPr>
    </w:p>
    <w:p>
      <w:pPr>
        <w:jc w:val="both"/>
        <w:ind w:left="560" w:hanging="383"/>
        <w:spacing w:after="0" w:line="245" w:lineRule="auto"/>
        <w:tabs>
          <w:tab w:leader="none" w:pos="5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97" w:lineRule="exact"/>
        <w:rPr>
          <w:rFonts w:ascii="Arial" w:cs="Arial" w:eastAsia="Arial" w:hAnsi="Arial"/>
          <w:sz w:val="22"/>
          <w:szCs w:val="22"/>
          <w:color w:val="auto"/>
        </w:rPr>
      </w:pPr>
    </w:p>
    <w:p>
      <w:pPr>
        <w:jc w:val="both"/>
        <w:ind w:left="560" w:hanging="383"/>
        <w:spacing w:after="0" w:line="248" w:lineRule="auto"/>
        <w:tabs>
          <w:tab w:leader="none" w:pos="560" w:val="left"/>
        </w:tabs>
        <w:numPr>
          <w:ilvl w:val="0"/>
          <w:numId w:val="38"/>
        </w:numPr>
        <w:rPr>
          <w:rFonts w:ascii="Arial" w:cs="Arial" w:eastAsia="Arial" w:hAnsi="Arial"/>
          <w:sz w:val="21"/>
          <w:szCs w:val="21"/>
          <w:color w:val="auto"/>
        </w:rPr>
      </w:pPr>
      <w:r>
        <w:rPr>
          <w:rFonts w:ascii="Arial" w:cs="Arial" w:eastAsia="Arial" w:hAnsi="Arial"/>
          <w:sz w:val="21"/>
          <w:szCs w:val="21"/>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97" w:lineRule="exact"/>
        <w:rPr>
          <w:rFonts w:ascii="Arial" w:cs="Arial" w:eastAsia="Arial" w:hAnsi="Arial"/>
          <w:sz w:val="21"/>
          <w:szCs w:val="21"/>
          <w:color w:val="auto"/>
        </w:rPr>
      </w:pPr>
    </w:p>
    <w:p>
      <w:pPr>
        <w:jc w:val="both"/>
        <w:ind w:left="560" w:hanging="383"/>
        <w:spacing w:after="0" w:line="235" w:lineRule="auto"/>
        <w:tabs>
          <w:tab w:leader="none" w:pos="5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w:t>
      </w:r>
    </w:p>
    <w:p>
      <w:pPr>
        <w:spacing w:after="0" w:line="1" w:lineRule="exact"/>
        <w:rPr>
          <w:sz w:val="20"/>
          <w:szCs w:val="20"/>
          <w:color w:val="auto"/>
        </w:rPr>
      </w:pPr>
    </w:p>
    <w:p>
      <w:pPr>
        <w:jc w:val="both"/>
        <w:ind w:left="560"/>
        <w:spacing w:after="0" w:line="230" w:lineRule="auto"/>
        <w:rPr>
          <w:sz w:val="20"/>
          <w:szCs w:val="20"/>
          <w:color w:val="auto"/>
        </w:rPr>
      </w:pPr>
      <w:r>
        <w:rPr>
          <w:rFonts w:ascii="Arial" w:cs="Arial" w:eastAsia="Arial" w:hAnsi="Arial"/>
          <w:sz w:val="22"/>
          <w:szCs w:val="22"/>
          <w:color w:val="auto"/>
        </w:rPr>
        <w:t>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21.</w:t>
      </w:r>
      <w:r>
        <w:rPr>
          <w:rFonts w:ascii="Arial" w:cs="Arial" w:eastAsia="Arial" w:hAnsi="Arial"/>
          <w:sz w:val="22"/>
          <w:szCs w:val="22"/>
          <w:u w:val="single" w:color="auto"/>
          <w:color w:val="auto"/>
        </w:rPr>
        <w:t>Assignment of Intellectual Property</w:t>
      </w:r>
      <w:r>
        <w:rPr>
          <w:rFonts w:ascii="Arial" w:cs="Arial" w:eastAsia="Arial" w:hAnsi="Arial"/>
          <w:sz w:val="22"/>
          <w:szCs w:val="22"/>
          <w:color w:val="auto"/>
        </w:rPr>
        <w:t>.</w:t>
      </w:r>
    </w:p>
    <w:p>
      <w:pPr>
        <w:spacing w:after="0" w:line="186" w:lineRule="exact"/>
        <w:rPr>
          <w:sz w:val="20"/>
          <w:szCs w:val="20"/>
          <w:color w:val="auto"/>
        </w:rPr>
      </w:pPr>
    </w:p>
    <w:p>
      <w:pPr>
        <w:jc w:val="both"/>
        <w:ind w:left="560" w:hanging="383"/>
        <w:spacing w:after="0" w:line="234" w:lineRule="auto"/>
        <w:tabs>
          <w:tab w:leader="none" w:pos="5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200" w:lineRule="exact"/>
        <w:rPr>
          <w:rFonts w:ascii="Arial" w:cs="Arial" w:eastAsia="Arial" w:hAnsi="Arial"/>
          <w:sz w:val="22"/>
          <w:szCs w:val="22"/>
          <w:color w:val="auto"/>
        </w:rPr>
      </w:pPr>
    </w:p>
    <w:p>
      <w:pPr>
        <w:spacing w:after="0" w:line="226" w:lineRule="exact"/>
        <w:rPr>
          <w:rFonts w:ascii="Arial" w:cs="Arial" w:eastAsia="Arial" w:hAnsi="Arial"/>
          <w:sz w:val="22"/>
          <w:szCs w:val="22"/>
          <w:color w:val="auto"/>
        </w:rPr>
      </w:pPr>
    </w:p>
    <w:p>
      <w:pPr>
        <w:jc w:val="both"/>
        <w:ind w:left="560" w:hanging="383"/>
        <w:spacing w:after="0" w:line="238" w:lineRule="auto"/>
        <w:tabs>
          <w:tab w:leader="none" w:pos="5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Employee is hereby notified that certain statutes in some U.S. states relate to ownership and assignment of inventions. At relevant locations and in accordance with those statutes, the Company agrees that this Attachment IV does not apply to an invention developed by Employee entirely on his or her own time without use of the Company Group’s equipment, supplies, facilities, systems, or confidential information, except for inventions that relate to the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17</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165100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004" w:right="339" w:bottom="1440" w:gutter="0" w:footer="0" w:header="0"/>
        </w:sectPr>
      </w:pPr>
    </w:p>
    <w:bookmarkStart w:id="42" w:name="page43"/>
    <w:bookmarkEnd w:id="42"/>
    <w:p>
      <w:pPr>
        <w:jc w:val="both"/>
        <w:ind w:left="560"/>
        <w:spacing w:after="0" w:line="245" w:lineRule="auto"/>
        <w:rPr>
          <w:sz w:val="20"/>
          <w:szCs w:val="20"/>
          <w:color w:val="auto"/>
        </w:rPr>
      </w:pPr>
      <w:r>
        <w:rPr>
          <w:rFonts w:ascii="Arial" w:cs="Arial" w:eastAsia="Arial" w:hAnsi="Arial"/>
          <w:sz w:val="22"/>
          <w:szCs w:val="22"/>
          <w:color w:val="auto"/>
        </w:rPr>
        <w:t>Company Group’s business, or actual or anticipated research or development of the Company Group or work performed by Employee for the Company Group. For this purpose, the “Company Group” means the Company and all Affiliates.</w:t>
      </w:r>
    </w:p>
    <w:p>
      <w:pPr>
        <w:spacing w:after="0" w:line="200" w:lineRule="exact"/>
        <w:rPr>
          <w:sz w:val="20"/>
          <w:szCs w:val="20"/>
          <w:color w:val="auto"/>
        </w:rPr>
      </w:pPr>
    </w:p>
    <w:p>
      <w:pPr>
        <w:spacing w:after="0" w:line="213" w:lineRule="exact"/>
        <w:rPr>
          <w:sz w:val="20"/>
          <w:szCs w:val="20"/>
          <w:color w:val="auto"/>
        </w:rPr>
      </w:pPr>
    </w:p>
    <w:p>
      <w:pPr>
        <w:jc w:val="both"/>
        <w:ind w:left="560" w:hanging="383"/>
        <w:spacing w:after="0" w:line="262" w:lineRule="auto"/>
        <w:tabs>
          <w:tab w:leader="none" w:pos="5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81" w:lineRule="exact"/>
        <w:rPr>
          <w:rFonts w:ascii="Arial" w:cs="Arial" w:eastAsia="Arial" w:hAnsi="Arial"/>
          <w:sz w:val="21"/>
          <w:szCs w:val="21"/>
          <w:color w:val="auto"/>
        </w:rPr>
      </w:pPr>
    </w:p>
    <w:p>
      <w:pPr>
        <w:jc w:val="both"/>
        <w:ind w:left="560" w:hanging="383"/>
        <w:spacing w:after="0" w:line="244" w:lineRule="auto"/>
        <w:tabs>
          <w:tab w:leader="none" w:pos="5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IV, or</w:t>
      </w:r>
    </w:p>
    <w:p>
      <w:pPr>
        <w:spacing w:after="0" w:line="5" w:lineRule="exact"/>
        <w:rPr>
          <w:sz w:val="20"/>
          <w:szCs w:val="20"/>
          <w:color w:val="auto"/>
        </w:rPr>
      </w:pPr>
    </w:p>
    <w:p>
      <w:pPr>
        <w:ind w:left="560"/>
        <w:spacing w:after="0" w:line="230" w:lineRule="auto"/>
        <w:rPr>
          <w:sz w:val="20"/>
          <w:szCs w:val="20"/>
          <w:color w:val="auto"/>
        </w:rPr>
      </w:pPr>
      <w:r>
        <w:rPr>
          <w:rFonts w:ascii="Arial" w:cs="Arial" w:eastAsia="Arial" w:hAnsi="Arial"/>
          <w:sz w:val="22"/>
          <w:szCs w:val="22"/>
          <w:color w:val="auto"/>
        </w:rPr>
        <w:t>obtained through fraud, negligence, failure to disclose, or incorrect, incomplete, or defective information on an IP Disclosure Form.</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22.</w:t>
      </w: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186" w:lineRule="exact"/>
        <w:rPr>
          <w:sz w:val="20"/>
          <w:szCs w:val="20"/>
          <w:color w:val="auto"/>
        </w:rPr>
      </w:pPr>
    </w:p>
    <w:p>
      <w:pPr>
        <w:jc w:val="both"/>
        <w:ind w:left="560" w:hanging="383"/>
        <w:spacing w:after="0" w:line="245" w:lineRule="auto"/>
        <w:tabs>
          <w:tab w:leader="none" w:pos="5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200" w:lineRule="exact"/>
        <w:rPr>
          <w:rFonts w:ascii="Arial" w:cs="Arial" w:eastAsia="Arial" w:hAnsi="Arial"/>
          <w:sz w:val="22"/>
          <w:szCs w:val="22"/>
          <w:color w:val="auto"/>
        </w:rPr>
      </w:pPr>
    </w:p>
    <w:p>
      <w:pPr>
        <w:spacing w:after="0" w:line="213" w:lineRule="exact"/>
        <w:rPr>
          <w:rFonts w:ascii="Arial" w:cs="Arial" w:eastAsia="Arial" w:hAnsi="Arial"/>
          <w:sz w:val="22"/>
          <w:szCs w:val="22"/>
          <w:color w:val="auto"/>
        </w:rPr>
      </w:pPr>
    </w:p>
    <w:p>
      <w:pPr>
        <w:jc w:val="both"/>
        <w:ind w:left="560" w:hanging="383"/>
        <w:spacing w:after="0" w:line="233" w:lineRule="auto"/>
        <w:tabs>
          <w:tab w:leader="none" w:pos="5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IV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560" w:right="20" w:hanging="383"/>
        <w:spacing w:after="0" w:line="259" w:lineRule="auto"/>
        <w:tabs>
          <w:tab w:leader="none" w:pos="5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Employee recognizes and acknowledges that the business, research, products, and services of the Company and its Affiliates are by nature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18</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165100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004" w:right="339" w:bottom="1440" w:gutter="0" w:footer="0" w:header="0"/>
        </w:sectPr>
      </w:pPr>
    </w:p>
    <w:bookmarkStart w:id="43" w:name="page44"/>
    <w:bookmarkEnd w:id="43"/>
    <w:p>
      <w:pPr>
        <w:jc w:val="both"/>
        <w:ind w:left="560"/>
        <w:spacing w:after="0" w:line="234" w:lineRule="auto"/>
        <w:rPr>
          <w:sz w:val="20"/>
          <w:szCs w:val="20"/>
          <w:color w:val="auto"/>
        </w:rPr>
      </w:pPr>
      <w:r>
        <w:rPr>
          <w:rFonts w:ascii="Arial" w:cs="Arial" w:eastAsia="Arial" w:hAnsi="Arial"/>
          <w:sz w:val="22"/>
          <w:szCs w:val="22"/>
          <w:color w:val="auto"/>
        </w:rPr>
        <w:t>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w:t>
      </w:r>
    </w:p>
    <w:p>
      <w:pPr>
        <w:spacing w:after="0" w:line="200" w:lineRule="exact"/>
        <w:rPr>
          <w:sz w:val="20"/>
          <w:szCs w:val="20"/>
          <w:color w:val="auto"/>
        </w:rPr>
      </w:pPr>
    </w:p>
    <w:p>
      <w:pPr>
        <w:spacing w:after="0" w:line="226" w:lineRule="exact"/>
        <w:rPr>
          <w:sz w:val="20"/>
          <w:szCs w:val="20"/>
          <w:color w:val="auto"/>
        </w:rPr>
      </w:pPr>
    </w:p>
    <w:p>
      <w:pPr>
        <w:jc w:val="both"/>
        <w:ind w:left="560" w:hanging="383"/>
        <w:spacing w:after="0" w:line="243" w:lineRule="auto"/>
        <w:tabs>
          <w:tab w:leader="none" w:pos="56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w:t>
      </w:r>
    </w:p>
    <w:p>
      <w:pPr>
        <w:spacing w:after="0" w:line="3" w:lineRule="exact"/>
        <w:rPr>
          <w:sz w:val="20"/>
          <w:szCs w:val="20"/>
          <w:color w:val="auto"/>
        </w:rPr>
      </w:pPr>
    </w:p>
    <w:p>
      <w:pPr>
        <w:jc w:val="both"/>
        <w:ind w:left="560"/>
        <w:spacing w:after="0" w:line="230" w:lineRule="auto"/>
        <w:rPr>
          <w:sz w:val="20"/>
          <w:szCs w:val="20"/>
          <w:color w:val="auto"/>
        </w:rPr>
      </w:pPr>
      <w:r>
        <w:rPr>
          <w:rFonts w:ascii="Arial" w:cs="Arial" w:eastAsia="Arial" w:hAnsi="Arial"/>
          <w:sz w:val="22"/>
          <w:szCs w:val="22"/>
          <w:color w:val="auto"/>
        </w:rPr>
        <w:t>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23.</w:t>
      </w: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186" w:lineRule="exact"/>
        <w:rPr>
          <w:sz w:val="20"/>
          <w:szCs w:val="20"/>
          <w:color w:val="auto"/>
        </w:rPr>
      </w:pPr>
    </w:p>
    <w:p>
      <w:pPr>
        <w:jc w:val="both"/>
        <w:ind w:left="560" w:hanging="383"/>
        <w:spacing w:after="0" w:line="244" w:lineRule="auto"/>
        <w:tabs>
          <w:tab w:leader="none" w:pos="5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w:t>
      </w:r>
    </w:p>
    <w:p>
      <w:pPr>
        <w:spacing w:after="0" w:line="2" w:lineRule="exact"/>
        <w:rPr>
          <w:rFonts w:ascii="Arial" w:cs="Arial" w:eastAsia="Arial" w:hAnsi="Arial"/>
          <w:sz w:val="21"/>
          <w:szCs w:val="21"/>
          <w:color w:val="auto"/>
        </w:rPr>
      </w:pPr>
    </w:p>
    <w:p>
      <w:pPr>
        <w:jc w:val="both"/>
        <w:ind w:left="560" w:hanging="9"/>
        <w:spacing w:after="0" w:line="237" w:lineRule="auto"/>
        <w:tabs>
          <w:tab w:leader="none" w:pos="938" w:val="left"/>
        </w:tabs>
        <w:numPr>
          <w:ilvl w:val="1"/>
          <w:numId w:val="43"/>
        </w:numPr>
        <w:rPr>
          <w:rFonts w:ascii="Arial" w:cs="Arial" w:eastAsia="Arial" w:hAnsi="Arial"/>
          <w:sz w:val="22"/>
          <w:szCs w:val="22"/>
          <w:color w:val="auto"/>
        </w:rPr>
      </w:pPr>
      <w:r>
        <w:rPr>
          <w:rFonts w:ascii="Arial" w:cs="Arial" w:eastAsia="Arial" w:hAnsi="Arial"/>
          <w:sz w:val="22"/>
          <w:szCs w:val="22"/>
          <w:color w:val="auto"/>
        </w:rPr>
        <w:t>who worked in Employee’s business unit (Group); or (3) about whom Employee had access to confidential information. In the event of breach by Employee, the specified period will be extended by the period of time of the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19</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165100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004" w:right="339" w:bottom="1440" w:gutter="0" w:footer="0" w:header="0"/>
        </w:sectPr>
      </w:pPr>
    </w:p>
    <w:bookmarkStart w:id="44" w:name="page45"/>
    <w:bookmarkEnd w:id="44"/>
    <w:p>
      <w:pPr>
        <w:jc w:val="both"/>
        <w:ind w:left="560" w:hanging="383"/>
        <w:spacing w:after="0" w:line="233" w:lineRule="auto"/>
        <w:tabs>
          <w:tab w:leader="none" w:pos="5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w:t>
      </w:r>
    </w:p>
    <w:p>
      <w:pPr>
        <w:spacing w:after="0" w:line="4" w:lineRule="exact"/>
        <w:rPr>
          <w:sz w:val="20"/>
          <w:szCs w:val="20"/>
          <w:color w:val="auto"/>
        </w:rPr>
      </w:pPr>
    </w:p>
    <w:p>
      <w:pPr>
        <w:jc w:val="both"/>
        <w:ind w:left="560"/>
        <w:spacing w:after="0" w:line="230" w:lineRule="auto"/>
        <w:rPr>
          <w:sz w:val="20"/>
          <w:szCs w:val="20"/>
          <w:color w:val="auto"/>
        </w:rPr>
      </w:pPr>
      <w:r>
        <w:rPr>
          <w:rFonts w:ascii="Arial" w:cs="Arial" w:eastAsia="Arial" w:hAnsi="Arial"/>
          <w:sz w:val="22"/>
          <w:szCs w:val="22"/>
          <w:color w:val="auto"/>
        </w:rPr>
        <w:t>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24.</w:t>
      </w:r>
      <w:r>
        <w:rPr>
          <w:rFonts w:ascii="Arial" w:cs="Arial" w:eastAsia="Arial" w:hAnsi="Arial"/>
          <w:sz w:val="22"/>
          <w:szCs w:val="22"/>
          <w:u w:val="single" w:color="auto"/>
          <w:color w:val="auto"/>
        </w:rPr>
        <w:t>Remedies for Employee’s Breach</w:t>
      </w:r>
      <w:r>
        <w:rPr>
          <w:rFonts w:ascii="Arial" w:cs="Arial" w:eastAsia="Arial" w:hAnsi="Arial"/>
          <w:sz w:val="22"/>
          <w:szCs w:val="22"/>
          <w:color w:val="auto"/>
        </w:rPr>
        <w:t>.</w:t>
      </w:r>
    </w:p>
    <w:p>
      <w:pPr>
        <w:spacing w:after="0" w:line="186" w:lineRule="exact"/>
        <w:rPr>
          <w:sz w:val="20"/>
          <w:szCs w:val="20"/>
          <w:color w:val="auto"/>
        </w:rPr>
      </w:pPr>
    </w:p>
    <w:p>
      <w:pPr>
        <w:jc w:val="both"/>
        <w:ind w:left="560" w:hanging="383"/>
        <w:spacing w:after="0" w:line="246" w:lineRule="auto"/>
        <w:tabs>
          <w:tab w:leader="none" w:pos="5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IV by Employee, the Company and its Affiliates will be entitled to: </w:t>
      </w:r>
      <w:r>
        <w:rPr>
          <w:rFonts w:ascii="Arial" w:cs="Arial" w:eastAsia="Arial" w:hAnsi="Arial"/>
          <w:sz w:val="21"/>
          <w:szCs w:val="21"/>
          <w:b w:val="1"/>
          <w:bCs w:val="1"/>
          <w:color w:val="auto"/>
        </w:rPr>
        <w:t>(i) recover from Employee the value of any portion of</w:t>
      </w:r>
      <w:r>
        <w:rPr>
          <w:rFonts w:ascii="Arial" w:cs="Arial" w:eastAsia="Arial" w:hAnsi="Arial"/>
          <w:sz w:val="21"/>
          <w:szCs w:val="21"/>
          <w:color w:val="auto"/>
        </w:rPr>
        <w:t xml:space="preserve"> </w:t>
      </w:r>
      <w:r>
        <w:rPr>
          <w:rFonts w:ascii="Arial" w:cs="Arial" w:eastAsia="Arial" w:hAnsi="Arial"/>
          <w:sz w:val="21"/>
          <w:szCs w:val="21"/>
          <w:b w:val="1"/>
          <w:bCs w:val="1"/>
          <w:color w:val="auto"/>
        </w:rPr>
        <w:t>the Award that has been paid or delivered; (ii) seek 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200" w:lineRule="exact"/>
        <w:rPr>
          <w:rFonts w:ascii="Arial" w:cs="Arial" w:eastAsia="Arial" w:hAnsi="Arial"/>
          <w:sz w:val="21"/>
          <w:szCs w:val="21"/>
          <w:color w:val="auto"/>
        </w:rPr>
      </w:pPr>
    </w:p>
    <w:p>
      <w:pPr>
        <w:spacing w:after="0" w:line="204" w:lineRule="exact"/>
        <w:rPr>
          <w:rFonts w:ascii="Arial" w:cs="Arial" w:eastAsia="Arial" w:hAnsi="Arial"/>
          <w:sz w:val="21"/>
          <w:szCs w:val="21"/>
          <w:color w:val="auto"/>
        </w:rPr>
      </w:pPr>
    </w:p>
    <w:p>
      <w:pPr>
        <w:jc w:val="both"/>
        <w:ind w:left="560" w:hanging="383"/>
        <w:spacing w:after="0" w:line="236" w:lineRule="auto"/>
        <w:tabs>
          <w:tab w:leader="none" w:pos="5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202" w:lineRule="exact"/>
        <w:rPr>
          <w:rFonts w:ascii="Arial" w:cs="Arial" w:eastAsia="Arial" w:hAnsi="Arial"/>
          <w:sz w:val="22"/>
          <w:szCs w:val="22"/>
          <w:color w:val="auto"/>
        </w:rPr>
      </w:pPr>
    </w:p>
    <w:p>
      <w:pPr>
        <w:jc w:val="both"/>
        <w:ind w:left="560" w:hanging="383"/>
        <w:spacing w:after="0" w:line="255" w:lineRule="auto"/>
        <w:tabs>
          <w:tab w:leader="none" w:pos="5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Each of the covenants in this Attachment IV will be construed as an agreement independent of any other provision in this Attachment IV, and the existence of any claim or cause of action of Employee against the Company or any Affiliate, whether predicated on this Attachment IV or otherwise, will not constitute a defense to the enforcement by the Company or any Affiliate of such covenants or provisions.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20</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165100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004" w:right="339" w:bottom="1440" w:gutter="0" w:footer="0" w:header="0"/>
        </w:sectPr>
      </w:pPr>
    </w:p>
    <w:bookmarkStart w:id="45" w:name="page46"/>
    <w:bookmarkEnd w:id="45"/>
    <w:p>
      <w:pPr>
        <w:ind w:left="940" w:hanging="383"/>
        <w:spacing w:after="0"/>
        <w:tabs>
          <w:tab w:leader="none" w:pos="9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Employee acknowledges that the remedies contained in the Attachment IV for violation of this Attachment IV are not the exclusive remedies that the Company or an Affiliate may pursue.</w:t>
      </w:r>
    </w:p>
    <w:p>
      <w:pPr>
        <w:jc w:val="both"/>
        <w:ind w:firstLine="749"/>
        <w:spacing w:after="0" w:line="237" w:lineRule="auto"/>
        <w:rPr>
          <w:sz w:val="20"/>
          <w:szCs w:val="20"/>
          <w:color w:val="auto"/>
        </w:rPr>
      </w:pPr>
      <w:r>
        <w:rPr>
          <w:rFonts w:ascii="Arial" w:cs="Arial" w:eastAsia="Arial" w:hAnsi="Arial"/>
          <w:sz w:val="22"/>
          <w:szCs w:val="22"/>
          <w:color w:val="auto"/>
        </w:rPr>
        <w:t>25.</w:t>
      </w:r>
      <w:r>
        <w:rPr>
          <w:rFonts w:ascii="Arial" w:cs="Arial" w:eastAsia="Arial" w:hAnsi="Arial"/>
          <w:sz w:val="22"/>
          <w:szCs w:val="22"/>
          <w:u w:val="single" w:color="auto"/>
          <w:color w:val="auto"/>
        </w:rPr>
        <w:t>Waiver</w:t>
      </w:r>
      <w:r>
        <w:rPr>
          <w:rFonts w:ascii="Arial" w:cs="Arial" w:eastAsia="Arial" w:hAnsi="Arial"/>
          <w:sz w:val="22"/>
          <w:szCs w:val="22"/>
          <w:color w:val="auto"/>
        </w:rPr>
        <w:t>. Waiver of any term of this Attachment IV by the Company will not operate as a waiver of any other term of this Attachment IV. A failure to enforce any provision of this Attachment IV will not operate as a waiver of the Company’s right to enforce any other provision of this Attachment IV.</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26.</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left="940" w:hanging="383"/>
        <w:spacing w:after="0" w:line="238" w:lineRule="auto"/>
        <w:tabs>
          <w:tab w:leader="none" w:pos="9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Employee represents and warrants that Employee is not a party to any other agreement that will interfere with Employee’s full compliance with this Attachment IV or that otherwise may restrict Employee’s employment by the Company or its Affiliates or the performance of Employee’s duties for the Company or its Affiliates. Employee agrees not to enter into any agreement, whether oral or written, in conflict with this Attachment IV.</w:t>
      </w: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jc w:val="both"/>
        <w:ind w:left="940" w:hanging="383"/>
        <w:spacing w:after="0" w:line="262" w:lineRule="auto"/>
        <w:tabs>
          <w:tab w:leader="none" w:pos="9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This Attachment IV may be enforced by, will inure to the benefit of, and be binding upon the Company, its successors, and assigns. This Agreement will also inure to the benefit of, and may be enforced by, the Company’s Affiliates. This Attachment IV is binding upon Employee’s heirs and legal representatives.</w:t>
      </w:r>
    </w:p>
    <w:p>
      <w:pPr>
        <w:spacing w:after="0" w:line="181" w:lineRule="exact"/>
        <w:rPr>
          <w:rFonts w:ascii="Arial" w:cs="Arial" w:eastAsia="Arial" w:hAnsi="Arial"/>
          <w:sz w:val="21"/>
          <w:szCs w:val="21"/>
          <w:color w:val="auto"/>
        </w:rPr>
      </w:pPr>
    </w:p>
    <w:p>
      <w:pPr>
        <w:jc w:val="both"/>
        <w:ind w:left="940" w:hanging="383"/>
        <w:spacing w:after="0" w:line="245" w:lineRule="auto"/>
        <w:tabs>
          <w:tab w:leader="none" w:pos="9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Nothing in this Attachment IV prohibits Employee from reporting possible violation of federal law or regulation to any governmental agency or entity, or making disclosures that are protected under a “whistleblower” provision of federal law or regulation.</w:t>
      </w:r>
    </w:p>
    <w:p>
      <w:pPr>
        <w:spacing w:after="0" w:line="197" w:lineRule="exact"/>
        <w:rPr>
          <w:rFonts w:ascii="Arial" w:cs="Arial" w:eastAsia="Arial" w:hAnsi="Arial"/>
          <w:sz w:val="22"/>
          <w:szCs w:val="22"/>
          <w:color w:val="auto"/>
        </w:rPr>
      </w:pPr>
    </w:p>
    <w:p>
      <w:pPr>
        <w:jc w:val="both"/>
        <w:ind w:left="940" w:hanging="383"/>
        <w:spacing w:after="0" w:line="238" w:lineRule="auto"/>
        <w:tabs>
          <w:tab w:leader="none" w:pos="9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Employee is employed by an Affiliate of the Company or by accepting a transfer to an Affiliate of the Company, Employee agrees to the automatic application of all of the terms of this Attachment IV to said Affiliate contemporaneously with the acceptance of such transfer, subject to subsequent agreements, if any, executed by Employee and the Affiliate of the Company or the Company, and to the fullest extent allowed by law.</w:t>
      </w:r>
    </w:p>
    <w:p>
      <w:pPr>
        <w:spacing w:after="0" w:line="203" w:lineRule="exact"/>
        <w:rPr>
          <w:rFonts w:ascii="Arial" w:cs="Arial" w:eastAsia="Arial" w:hAnsi="Arial"/>
          <w:sz w:val="22"/>
          <w:szCs w:val="22"/>
          <w:color w:val="auto"/>
        </w:rPr>
      </w:pPr>
    </w:p>
    <w:p>
      <w:pPr>
        <w:jc w:val="both"/>
        <w:ind w:left="940" w:hanging="383"/>
        <w:spacing w:after="0" w:line="235" w:lineRule="auto"/>
        <w:tabs>
          <w:tab w:leader="none" w:pos="9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Should any portion of this Attachment IV be held invalid, unenforceable, or void, such holding will not have the effect of invalidating or voiding the other portions of this Attachment IV.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IV. No court ordered reformation or amendment will give rise to a finding of knowing, willful, or bad faith unreasonableness against the Company regarding this Attachment IV.</w:t>
      </w:r>
    </w:p>
    <w:p>
      <w:pPr>
        <w:spacing w:after="0" w:line="205" w:lineRule="exact"/>
        <w:rPr>
          <w:rFonts w:ascii="Arial" w:cs="Arial" w:eastAsia="Arial" w:hAnsi="Arial"/>
          <w:sz w:val="22"/>
          <w:szCs w:val="22"/>
          <w:color w:val="auto"/>
        </w:rPr>
      </w:pPr>
    </w:p>
    <w:p>
      <w:pPr>
        <w:jc w:val="both"/>
        <w:ind w:left="940" w:hanging="383"/>
        <w:spacing w:after="0" w:line="245" w:lineRule="auto"/>
        <w:tabs>
          <w:tab w:leader="none" w:pos="9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terms and conditions of this Attachment IV supersedes any previous agreement, oral or written, between Employee and the Company relating to the subject matter thereof; provided, however, that nothing herein will limit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21</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004" w:right="339" w:bottom="1440" w:gutter="0" w:footer="0" w:header="0"/>
        </w:sectPr>
      </w:pPr>
    </w:p>
    <w:bookmarkStart w:id="46" w:name="page47"/>
    <w:bookmarkEnd w:id="46"/>
    <w:p>
      <w:pPr>
        <w:ind w:left="560"/>
        <w:spacing w:after="0" w:line="259" w:lineRule="auto"/>
        <w:rPr>
          <w:sz w:val="20"/>
          <w:szCs w:val="20"/>
          <w:color w:val="auto"/>
        </w:rPr>
      </w:pPr>
      <w:r>
        <w:rPr>
          <w:rFonts w:ascii="Arial" w:cs="Arial" w:eastAsia="Arial" w:hAnsi="Arial"/>
          <w:sz w:val="22"/>
          <w:szCs w:val="22"/>
          <w:color w:val="auto"/>
        </w:rPr>
        <w:t>Employee’s obligations to the Company or any Affiliate under any prior agreement containing restrictions related to intellectual property, confidential information, solicitation or competition.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22</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165100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00" w:top="1004" w:right="35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TERMS AND CONDITIONS APPLICABLE TO PARTICIPANTS IN CHINA SUBJECT TO SAFE</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Capitalized terms used but not defined in this Appendix B are defined in the SLB 2017 Omnibus Stock Incentive Plan, as may be amended (the “Plan”), and the Performance Share Unit award agreement (the “Agreement”).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Introduction</w:t>
      </w:r>
      <w:r>
        <w:rPr>
          <w:rFonts w:ascii="Arial" w:cs="Arial" w:eastAsia="Arial" w:hAnsi="Arial"/>
          <w:sz w:val="22"/>
          <w:szCs w:val="22"/>
          <w:u w:val="single" w:color="auto"/>
          <w:color w:val="auto"/>
        </w:rPr>
        <w:t>.</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following terms and conditions will apply to you to the extent that the Company, in its discretion, determines that your participation in the Plan is subject to exchange control restrictions in the People’s Republic of China (the “PRC”), as implemented by the PRC State Administration of Foreign Exchange (“SAFE”).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Vesting of PSUs</w:t>
      </w:r>
      <w:r>
        <w:rPr>
          <w:rFonts w:ascii="Arial" w:cs="Arial" w:eastAsia="Arial" w:hAnsi="Arial"/>
          <w:sz w:val="22"/>
          <w:szCs w:val="22"/>
          <w:color w:val="auto"/>
        </w:rPr>
        <w:t>. The following provision supplements Section 1 of the Agreement: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Unless and until the Company has obtained all necessary exchange control or other approvals from SAFE or its local counterpart (“SAFE Approval”) with respect to your Performance Share Units (“PSUs”), the shares of Common Stock represented by such PSUs will be issued to you as soon as administratively feasible after the Company has obtained SAFE Approval. The Company is under no obligation to issue shares of Common Stock if the Company has not obtained SAFE Approval.</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Acceleration on Retirement</w:t>
      </w:r>
      <w:r>
        <w:rPr>
          <w:rFonts w:ascii="Arial" w:cs="Arial" w:eastAsia="Arial" w:hAnsi="Arial"/>
          <w:sz w:val="22"/>
          <w:szCs w:val="22"/>
          <w:color w:val="auto"/>
        </w:rPr>
        <w:t>. The following provision replaces Section 2(b) of the Agreement in its entirety:</w:t>
      </w:r>
    </w:p>
    <w:p>
      <w:pPr>
        <w:spacing w:after="0" w:line="206" w:lineRule="exact"/>
        <w:rPr>
          <w:sz w:val="20"/>
          <w:szCs w:val="20"/>
          <w:color w:val="auto"/>
        </w:rPr>
      </w:pPr>
    </w:p>
    <w:p>
      <w:pPr>
        <w:jc w:val="both"/>
        <w:ind w:left="660" w:firstLine="749"/>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Retirement</w:t>
      </w:r>
      <w:r>
        <w:rPr>
          <w:rFonts w:ascii="Arial" w:cs="Arial" w:eastAsia="Arial" w:hAnsi="Arial"/>
          <w:sz w:val="22"/>
          <w:szCs w:val="22"/>
          <w:color w:val="auto"/>
        </w:rPr>
        <w:t>. To allow the Company to comply with PRC exchange control restrictions, upon Termination of Employment from the Company and its Subsidiaries by reason of Employee’s Retirement (as defined in Section 10), the PSUs will become fully vested, subject to the Company obtaining SAFE Approval before vesting of the PSUs.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Settlement of PSUs and Sale of Shares</w:t>
      </w:r>
      <w:r>
        <w:rPr>
          <w:rFonts w:ascii="Arial" w:cs="Arial" w:eastAsia="Arial" w:hAnsi="Arial"/>
          <w:sz w:val="22"/>
          <w:szCs w:val="22"/>
          <w:color w:val="auto"/>
        </w:rPr>
        <w:t>. The following provision supplements Section 3 of the Agreement: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anything to the contrary in the Plan or this Agreement, you understand and agree that the Company may require any shares of Common Stock that you acquire from vesting of the PSUs to be immediately sold at vesting or, at the Company’s discretion, at a later time. The purpose of this is solely to allow the Company to comply with PRC exchange control restrictions.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You understand and agree that any shares of Common Stock acquired by you under Plan must be sold by no later than ninety (90) days after your Termination of Employment, or within any other such time frame as may be permitted by the Company or required by SAFE. Further, you understand that any shares of Common Stock acquired by you under the Plan that have not been sold within ninety (90) days of your termination of employment will be automatically sold by Fidelity (which is the Company's current designated broker) at the Company’s direction. For the sake of clarity, any references to Fidelity in this Appendix also refer to any other designated broker the Company may use in the future.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23</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48" w:name="page49"/>
    <w:bookmarkEnd w:id="48"/>
    <w:p>
      <w:pPr>
        <w:jc w:val="both"/>
        <w:spacing w:after="0" w:line="262" w:lineRule="auto"/>
        <w:rPr>
          <w:sz w:val="20"/>
          <w:szCs w:val="20"/>
          <w:color w:val="auto"/>
        </w:rPr>
      </w:pPr>
      <w:r>
        <w:rPr>
          <w:rFonts w:ascii="Arial" w:cs="Arial" w:eastAsia="Arial" w:hAnsi="Arial"/>
          <w:sz w:val="21"/>
          <w:szCs w:val="21"/>
          <w:color w:val="auto"/>
        </w:rPr>
        <w:t>You further agree that the Company is authorized to instruct Fidelity to assist with the mandatory sale of the shares of Common Stock, and you expressly authorize Fidelity to complete the sale of the shares of Common Stock. Your acceptance of this Agreement constitutes your authorization for Fidelity to act on your behalf in the sale of the shares.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You acknowledge that Fidelity is under no obligation to arrange for the sale of shares of Common Stock at any particular price. Upon the sale of the shares of Common Stock, the Company agrees to pay you the cash proceeds from the sale, less any brokerage fees or commissions, in accordance with applicable exchange control laws and regulations, and provided any liability for Tax-Related Items (as defined in Section 7 of the Agreement) has been satisfied.</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Due to fluctuations in the Company’s share price and the United States Dollar exchange rate between the date that shares are issued to you upon vesting of the PSUs and (if later) the date on which the shares of Common Stock are sold, the sale proceeds may be more or less than the fair market value of the shares of Common Stock on the date the shares are initially issued to you. This date is the relevant date for determining your tax liability. You understand and agree that the Company is not responsible for the amount of any loss you may incur, and that the Company assumes no liability for any fluctuation in the share price or United States Dollar exchange rate.</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You further agree that any shares of Common Stock to be issued to you shall be deposited directly into your Fidelity account. You also agree that you may not transfer the deposited shares of Common Stock from your Fidelity account. This limitation will apply both to transfers to different accounts with Fidelity and to transfers to other brokerage firms. The limitation shall apply to all shares of Common Stock issued to you under the Plan, whether or not you continue to be employed by the Company, the Employer or any affiliate of the Company.</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i w:val="1"/>
          <w:iCs w:val="1"/>
          <w:u w:val="single" w:color="auto"/>
          <w:color w:val="auto"/>
        </w:rPr>
        <w:t>Exchange Control Requirements</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SAFE rules require that when you sell shares of Common Stock or receive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 cash payments from the shares (</w:t>
      </w:r>
      <w:r>
        <w:rPr>
          <w:rFonts w:ascii="Arial" w:cs="Arial" w:eastAsia="Arial" w:hAnsi="Arial"/>
          <w:sz w:val="22"/>
          <w:szCs w:val="22"/>
          <w:i w:val="1"/>
          <w:iCs w:val="1"/>
          <w:color w:val="auto"/>
        </w:rPr>
        <w:t>e.g</w:t>
      </w:r>
      <w:r>
        <w:rPr>
          <w:rFonts w:ascii="Arial" w:cs="Arial" w:eastAsia="Arial" w:hAnsi="Arial"/>
          <w:sz w:val="22"/>
          <w:szCs w:val="22"/>
          <w:color w:val="auto"/>
        </w:rPr>
        <w:t>., dividends), all such funds must be immediately brought back (</w:t>
      </w:r>
      <w:r>
        <w:rPr>
          <w:rFonts w:ascii="Arial" w:cs="Arial" w:eastAsia="Arial" w:hAnsi="Arial"/>
          <w:sz w:val="22"/>
          <w:szCs w:val="22"/>
          <w:i w:val="1"/>
          <w:iCs w:val="1"/>
          <w:color w:val="auto"/>
        </w:rPr>
        <w:t>i.e.,</w:t>
      </w:r>
      <w:r>
        <w:rPr>
          <w:rFonts w:ascii="Arial" w:cs="Arial" w:eastAsia="Arial" w:hAnsi="Arial"/>
          <w:sz w:val="22"/>
          <w:szCs w:val="22"/>
          <w:color w:val="auto"/>
        </w:rPr>
        <w:t xml:space="preserve"> "repatriated") to China through a special exchange control account. To comply with this requirement, the Company will set up the special exchange control account and will facilitate the repatriation of the funds to China where the funds will be delivered to you. By accepting the PSUs, you acknowledge and agree that all funds received from your shares of Stock must be repatriated to China, and you hereby consent and agree that such funds may be transferred to the special exchange control account prior to being delivered to you.</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You understand that the sale proceeds (or other funds) may be paid to you in local currency. If the funds are paid in local currency, you acknowledge that neither the Company nor any affiliate is under an obligation to secure any particular currency conversion rate and that the Company (or any affiliate) may face delays in converting the funds to local currency due to exchange control requirements in China. You agree to bear any currency fluctuation risk between the time the shares of Common Stock are sold (or other funds are paid out) and the time the funds are converted into local currency and distributed to you.</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You further agree to comply with any other requirements that may be imposed by the Company in the future to facilitate compliance with exchange control requirements in China.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24</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u w:val="single" w:color="auto"/>
          <w:color w:val="auto"/>
        </w:rPr>
        <w:t>APPENDIX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STATE AND COUNTRY-SPECIFIC APPENDICES FOR ATTACHMENT IV</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Appendix B.1- U.S. State Law</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Notwithstanding anything herein to the contrary, if Employee primarily resides or works in any of the U.S. states below, or transfers employment and/or residency after the Grant Date to one of the U.S. states below, then the following terms shall apply to the noncompete and nonsolicit restrictions in Sections 6 and 7 of Attachment IV after the date on which Employee ceases to be employed by the Company Group for as long as Employee continues to work or reside in such state.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California</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Sections 6 and 7(b) of Attachment IV shall not apply to any Employee who primarily resides or works in, or transfers employment and/or residency after the Grant Date to California. For any Employee who primarily resides or works in California, any clause or agreement between Employee and the Company that restricts post-employment competition in California, including but not limited to Sections 6 and 7(b), are hereby rescinded and shall be deemed null and void.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Colorado</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Employee acknowledges that Employee was provided with a separate notice of Sections 6 and 7 of Attachment IV at least 14 days before the earlier of (1) the effective date of this Agreement or (2) the Grant Date.</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Section 6 of Attachment IV shall only apply to any Employee who primarily resides or works in, or transfers employment and/or residency after the Grant Date to Colorado and earns an amount of compensation equal to or greater than the threshold amount for “highly compensated workers” under Colorado law.</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Section 7(b) of Attachment IV shall only apply to any Employee who primarily resides or works in, or transfers employment and/or residency after the Grant Date to Colorado and earns an amount of compensation equal to or greater than 60% of the threshold amount for “highly compensated workers” under Colorado law.</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Georgia</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Section 6 of Attachment IV shall only apply to any Employee who primarily resides or works in, or transfers employment and/or residency after the Grant Date to Georgia and (i) customarily and regularly solicits customers or prospective customers for the Company Group, (ii) customarily and regularly engages in making sales or obtaining orders or contracts for products or services to be performed by others, (iii) has the authority to hire or fire other employees or particular weight is given to Employee’s suggestions and recommendations as to the hiring, firing, advancement, promotion, or any other change of status of other employees, or (iv) performs the duties of a “key employee” or professional under Georgia law.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25</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Idaho</w:t>
      </w:r>
    </w:p>
    <w:p>
      <w:pPr>
        <w:spacing w:after="0" w:line="23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Section 6 of Attachment IV shall only apply to any Employee who primarily resides or works in, or transfers employment and/or residency after the Grant Date to Idaho and performs the duties of a “key employee” under Idaho law.</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Illinois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Sections 6 and 7 of Attachment IV shall only apply to any Employee who primarily resides or works in, or transfers employment and/or residency after the Grant Date to Illinois and: (i) whose actual or expected annualized rate of earnings exceeds the statutory amount set in the Illinois Freedom to Work Act 820 ILCS 90/10, as adjusted in accordance with the Illinois Freedom to Work Act and (ii) who was not laid off or furloughed due to COVID-19 or similar circumstances without appropriate compensation.</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Employee acknowledges that: (i) the Company has advised Employee that Employee has the right to consult with an attorney before executing this Agreement, and (ii) Employee was provided with a separate notice of Sections 6 and 7(b) of Attachment IV at least 14 days before the earlier of (1) the effective date of this Agreement or (2) the Grant Date or Employee was provided with at least 14 days to review this Agreement. Employee further acknowledges that the Company is in compliance with this provision even if Employee voluntarily elects to sign this Agreement before the expiration of the 14-day period.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Louisiana</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For Employees who primarily reside or work in, or transfer employment and/or residency after the Grant Date to Louisiana, the Restricted Territory shall be as described below.</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Within the State of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Massachusetts</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Section 6 of Attachment IV shall only apply to any Employee who primarily resides or works in, or transfers employment and/or residency after the Grant Date to Massachusetts and (i) is classified as exempt under the Fair Labor Standards Act, (ii) was not terminated without cause or laid off, (iii) who the Company Group pays on a pro-rata basis during the entirety of the restricted period following the date in which Employee ceases to be employed by the Company Group (but in no event longer than a one (1) year period) an amount equal to fifty percent (50%) of Employee’s highest annualized base salary paid by the Company Group within the two years preceding the date in which Employee ceases to be employed by the Company Group.</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Employee acknowledges that Employee was provided with this notice at least 10 days before the effective date of this Agreement. Employee acknowledges that Employee the Company has advised and hereby does advise Employee that Employee has the right to consult with an attorney of his or her choosing before executing this Agreement.</w:t>
      </w: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26</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51" w:name="page52"/>
    <w:bookmarkEnd w:id="51"/>
    <w:p>
      <w:pPr>
        <w:jc w:val="both"/>
        <w:spacing w:after="0"/>
        <w:rPr>
          <w:sz w:val="20"/>
          <w:szCs w:val="20"/>
          <w:color w:val="auto"/>
        </w:rPr>
      </w:pPr>
      <w:r>
        <w:rPr>
          <w:rFonts w:ascii="Arial" w:cs="Arial" w:eastAsia="Arial" w:hAnsi="Arial"/>
          <w:sz w:val="22"/>
          <w:szCs w:val="22"/>
          <w:color w:val="auto"/>
        </w:rPr>
        <w:t>The restriction in Section 6(b) of Attachment IV shall be limited to the period of one (1) year following the date on which Employee ceases to be employed by the Company Group, unless Employee has breached his or her fiduciary duty to the Company Group or Employee has unlawfully taken, physically or electronically, property belonging to the Company Group.</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Nevada</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Section 6 of Attachment IV shall not apply to any Employee who primarily resides or works in, or transfers employment and/or residency after the Grant Date to Nevada and: (i) is paid solely on an hourly wage basis, exclusive of any tips or gratuities, or (ii) their termination was part of a reduction of force, reorganization, or similar restructuring of the Company Group (unless the Company Group pays Employee’s salary, benefits, or equivalent compensation, including severance pay, if any, during the restricted period).</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Section 6 of Attachment IV shall not restrict Employee from providing a service to a former customer or client if (i) Employee did not solicit the former customer or client; (ii) the customer or client voluntarily chose to leave and sought Employee’s services; and (iii) Employee has otherwise complied with Section 6 of Attachment IV regarding time, geographic area, and scope of the restrained activity, other than any limitation on providing services to a former customer or client of the Company Group who seeks the services of Employee without any contact instigated by Employee.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North Dakota</w:t>
      </w:r>
    </w:p>
    <w:p>
      <w:pPr>
        <w:spacing w:after="0" w:line="235"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Sections 6 and 7(b) of Attachment IV shall not apply to any Employee who primarily resides or works in, or transfers employment and/or residency after the Grant Date to North Dakota.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Oklahoma</w:t>
      </w:r>
    </w:p>
    <w:p>
      <w:pPr>
        <w:spacing w:after="0" w:line="235"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Section 6 of Attachment IV shall not apply to any Employee who primarily resides or works in, or transfers employment and/or residency after the Grant Date to Oklahoma.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B.2 - United Arab Emirates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Notwithstanding anything herein to the contrary, if Employee primarily resides or works in the United Arab Emirates, or transfers employment and/or residency after the Grant Date to the United Arab Emirates, then the following terms shall apply to the noncompete and nonsolicit restrictions in Sections 6 and 7 of Attachment IV after the date on which Employee ceases to be employed by the Company Group for as long as Employee continues to work or reside in such state.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Restricted Territory shall be as described below.</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27</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22"/>
          <w:szCs w:val="22"/>
          <w:color w:val="auto"/>
        </w:rPr>
        <w:t>The Emirate of Dubai (including but not limited to the Dubai International Financial Centre) and the Emirate of Abu Dhabi (including but not limited to the Abu Dhabi Global Market).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clause in Section 6(b) of Attachment IV is hereby rescinded and shall be deemed null and void: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the event of breach by Employee, the specified period will be extended by the period of time of the breach.</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restriction in Section 7 of Attachment IV shall be limited to the period of twelve (12) months following the date on which Employee ceases to be employed by the Company Group.</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clause in Section 7(a) of Attachment IV is hereby rescinded and shall be deemed null and void: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the event of breach by Employee, the specified period will be extended by the period of time of the breach.</w:t>
      </w:r>
    </w:p>
    <w:p>
      <w:pPr>
        <w:spacing w:after="0" w:line="231" w:lineRule="exact"/>
        <w:rPr>
          <w:sz w:val="20"/>
          <w:szCs w:val="20"/>
          <w:color w:val="auto"/>
        </w:rPr>
      </w:pPr>
    </w:p>
    <w:p>
      <w:pPr>
        <w:ind w:left="4180"/>
        <w:spacing w:after="0"/>
        <w:rPr>
          <w:sz w:val="20"/>
          <w:szCs w:val="20"/>
          <w:color w:val="auto"/>
        </w:rPr>
      </w:pPr>
      <w:r>
        <w:rPr>
          <w:rFonts w:ascii="Arial" w:cs="Arial" w:eastAsia="Arial" w:hAnsi="Arial"/>
          <w:sz w:val="22"/>
          <w:szCs w:val="22"/>
          <w:b w:val="1"/>
          <w:bCs w:val="1"/>
          <w:u w:val="single" w:color="auto"/>
          <w:color w:val="auto"/>
        </w:rPr>
        <w:t>Appendix B.3 - Saudi Arabia</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Notwithstanding anything herein to the contrary, if Employee primarily resides or works in Saudi Arabia, or transfers employment and/or residency after the Grant Date to Saudi Arabia, then the following terms shall apply to the confidential information, noncompete and nonsolicit restrictions in Sections 3, 6 and 7 of Attachment IV after the date on which Employee ceases to be employed by the Company Group for as long as Employee continues to work or reside in such state.</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The restriction in Section 3(c) of Attachment IV shall only apply for 50 years following the termination of the Employee's employment.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The Restricted Territory shall be as described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Dhahran, Khobar, Dammam, Udhailiyahh, Khafji, or King Salman Energy Park (SPARK).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restriction in Section 7(a) of Attachment IV shall be limited to employees, consultants, or contractors: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10" w:lineRule="exact"/>
        <w:rPr>
          <w:sz w:val="20"/>
          <w:szCs w:val="20"/>
          <w:color w:val="auto"/>
        </w:rPr>
      </w:pPr>
    </w:p>
    <w:p>
      <w:pPr>
        <w:ind w:left="1080" w:hanging="323"/>
        <w:spacing w:after="0"/>
        <w:tabs>
          <w:tab w:leader="none" w:pos="10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with whom Employee had contact or business dealings while employed by the Company and its Affiliates;</w:t>
      </w:r>
    </w:p>
    <w:p>
      <w:pPr>
        <w:spacing w:after="0" w:line="224" w:lineRule="exact"/>
        <w:rPr>
          <w:rFonts w:ascii="Arial" w:cs="Arial" w:eastAsia="Arial" w:hAnsi="Arial"/>
          <w:sz w:val="21"/>
          <w:szCs w:val="21"/>
          <w:color w:val="auto"/>
        </w:rPr>
      </w:pPr>
    </w:p>
    <w:p>
      <w:pPr>
        <w:ind w:left="1140" w:hanging="383"/>
        <w:spacing w:after="0"/>
        <w:tabs>
          <w:tab w:leader="none" w:pos="11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who worked in Employee’s business unit (Group); or</w:t>
      </w:r>
    </w:p>
    <w:p>
      <w:pPr>
        <w:spacing w:after="0" w:line="233" w:lineRule="exact"/>
        <w:rPr>
          <w:rFonts w:ascii="Arial" w:cs="Arial" w:eastAsia="Arial" w:hAnsi="Arial"/>
          <w:sz w:val="22"/>
          <w:szCs w:val="22"/>
          <w:color w:val="auto"/>
        </w:rPr>
      </w:pPr>
    </w:p>
    <w:p>
      <w:pPr>
        <w:ind w:left="1120" w:hanging="363"/>
        <w:spacing w:after="0"/>
        <w:tabs>
          <w:tab w:leader="none" w:pos="11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about whom Employee had access to confidential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firstLine="8"/>
        <w:spacing w:after="0" w:line="259" w:lineRule="auto"/>
        <w:tabs>
          <w:tab w:leader="none" w:pos="337" w:val="left"/>
        </w:tabs>
        <w:numPr>
          <w:ilvl w:val="0"/>
          <w:numId w:val="49"/>
        </w:numPr>
        <w:rPr>
          <w:rFonts w:ascii="Arial" w:cs="Arial" w:eastAsia="Arial" w:hAnsi="Arial"/>
          <w:sz w:val="22"/>
          <w:szCs w:val="22"/>
          <w:color w:val="auto"/>
        </w:rPr>
      </w:pPr>
      <w:r>
        <w:rPr>
          <w:rFonts w:ascii="Arial" w:cs="Arial" w:eastAsia="Arial" w:hAnsi="Arial"/>
          <w:sz w:val="22"/>
          <w:szCs w:val="22"/>
          <w:color w:val="auto"/>
        </w:rPr>
        <w:t>who were engaged or employed by the Company or its Affiliates in Saudi Arabia on the date in which Employee ceases to be employed by the Company Group or was</w:t>
      </w:r>
    </w:p>
    <w:p>
      <w:pPr>
        <w:spacing w:after="0" w:line="200" w:lineRule="exact"/>
        <w:rPr>
          <w:sz w:val="20"/>
          <w:szCs w:val="20"/>
          <w:color w:val="auto"/>
        </w:rPr>
      </w:pPr>
    </w:p>
    <w:p>
      <w:pPr>
        <w:spacing w:after="0" w:line="24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28</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3" w:name="page54"/>
    <w:bookmarkEnd w:id="53"/>
    <w:p>
      <w:pPr>
        <w:spacing w:after="0" w:line="259" w:lineRule="auto"/>
        <w:rPr>
          <w:sz w:val="20"/>
          <w:szCs w:val="20"/>
          <w:color w:val="auto"/>
        </w:rPr>
      </w:pPr>
      <w:r>
        <w:rPr>
          <w:rFonts w:ascii="Arial" w:cs="Arial" w:eastAsia="Arial" w:hAnsi="Arial"/>
          <w:sz w:val="22"/>
          <w:szCs w:val="22"/>
          <w:color w:val="auto"/>
        </w:rPr>
        <w:t>engaged or employed by the Company or its Affiliates in Saudi Arabia during the twelve (12)-month period immediately preceding the date on which Employee ceases to be employed by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29</w:t>
      </w:r>
      <w:r>
        <w:rPr>
          <w:rFonts w:ascii="Arial" w:cs="Arial" w:eastAsia="Arial" w:hAnsi="Arial"/>
          <w:sz w:val="14"/>
          <w:szCs w:val="14"/>
          <w:color w:val="auto"/>
        </w:rPr>
        <w:t xml:space="preserve"> of </w:t>
      </w:r>
      <w:r>
        <w:rPr>
          <w:rFonts w:ascii="Arial" w:cs="Arial" w:eastAsia="Arial" w:hAnsi="Arial"/>
          <w:sz w:val="14"/>
          <w:szCs w:val="14"/>
          <w:b w:val="1"/>
          <w:bCs w:val="1"/>
          <w:color w:val="auto"/>
        </w:rPr>
        <w:t>NUMPAGES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is an indirect wholly-owned subsidiary of SLB Limited (the “Guarantor”).</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2026, SISA was the issuer of its 4.500% Senior Notes due 2028, 2.650% Senior Notes due 2030, 4.850% Senior Notes due 2033, and 5.000% Senior Notes due 2034 (together, the “SISA Notes”). The Guarantor fully and unconditionally guarantees the SISA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1528445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SLB N.V. (SLB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7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40" w:hanging="513"/>
        <w:spacing w:after="0" w:line="286" w:lineRule="auto"/>
        <w:tabs>
          <w:tab w:leader="none" w:pos="9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20" w:firstLine="382"/>
        <w:spacing w:after="0" w:line="286" w:lineRule="auto"/>
        <w:tabs>
          <w:tab w:leader="none" w:pos="56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Date: April 29, 2026</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12065</wp:posOffset>
            </wp:positionV>
            <wp:extent cx="2854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6" w:name="page57"/>
    <w:bookmarkEnd w:id="56"/>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SLB N.V. (SLB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7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60" w:hanging="513"/>
        <w:spacing w:after="0" w:line="286" w:lineRule="auto"/>
        <w:tabs>
          <w:tab w:leader="none" w:pos="971"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20" w:firstLine="382"/>
        <w:spacing w:after="0" w:line="286" w:lineRule="auto"/>
        <w:tabs>
          <w:tab w:leader="none" w:pos="56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 April 29, 2026</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12065</wp:posOffset>
            </wp:positionV>
            <wp:extent cx="28460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Stephane Biguet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7" w:name="page58"/>
    <w:bookmarkEnd w:id="57"/>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SLB N.V. (SLB Limited) (the “Company”) for the quarterly period ended March 31, 2026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Date: April 29, 2026</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12065</wp:posOffset>
            </wp:positionV>
            <wp:extent cx="30861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Chief Executive Officer</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SLB Limited and will be retained by SLB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8" w:name="page59"/>
    <w:bookmarkEnd w:id="58"/>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SLB N.V. (SLB Limited) (the “Company”) for the quarterly period ended March 31, 2026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Date: April 29, 2026</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12065</wp:posOffset>
            </wp:positionV>
            <wp:extent cx="30861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Stephane Biguet</w:t>
      </w:r>
    </w:p>
    <w:p>
      <w:pPr>
        <w:spacing w:after="0" w:line="3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Executive Vice President and Chief Financial Officer</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SLB Limited and will be retained by SLB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9" w:name="page60"/>
    <w:bookmarkEnd w:id="59"/>
    <w:p>
      <w:pPr>
        <w:ind w:left="10440"/>
        <w:spacing w:after="0"/>
        <w:rPr>
          <w:sz w:val="20"/>
          <w:szCs w:val="20"/>
          <w:color w:val="auto"/>
        </w:rPr>
      </w:pPr>
      <w:r>
        <w:rPr>
          <w:rFonts w:ascii="Arial" w:cs="Arial" w:eastAsia="Arial" w:hAnsi="Arial"/>
          <w:sz w:val="16"/>
          <w:szCs w:val="16"/>
          <w:b w:val="1"/>
          <w:bCs w:val="1"/>
          <w:u w:val="single" w:color="auto"/>
          <w:color w:val="auto"/>
        </w:rPr>
        <w:t>Exhibit 95</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SLB. The disclosure is with respect to the three months ended March 31, 2026. Due to timing and other factors, the data may not agree with the mine data retrieval system maintained by the MSHA at www.MSHA.gov.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March 31, 2026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whole dollars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jc w:val="center"/>
              <w:spacing w:after="0"/>
              <w:rPr>
                <w:sz w:val="20"/>
                <w:szCs w:val="20"/>
                <w:color w:val="auto"/>
              </w:rPr>
            </w:pPr>
            <w:r>
              <w:rPr>
                <w:rFonts w:ascii="Arial" w:cs="Arial" w:eastAsia="Arial" w:hAnsi="Arial"/>
                <w:sz w:val="14"/>
                <w:szCs w:val="14"/>
                <w:color w:val="auto"/>
              </w:rPr>
              <w:t>Potential to</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jc w:val="center"/>
              <w:spacing w:after="0"/>
              <w:rPr>
                <w:sz w:val="20"/>
                <w:szCs w:val="20"/>
                <w:color w:val="auto"/>
              </w:rPr>
            </w:pPr>
            <w:r>
              <w:rPr>
                <w:rFonts w:ascii="Arial" w:cs="Arial" w:eastAsia="Arial" w:hAnsi="Arial"/>
                <w:sz w:val="14"/>
                <w:szCs w:val="14"/>
                <w:color w:val="auto"/>
              </w:rPr>
              <w:t>Have</w:t>
            </w:r>
          </w:p>
        </w:tc>
        <w:tc>
          <w:tcPr>
            <w:tcW w:w="820" w:type="dxa"/>
            <w:vAlign w:val="bottom"/>
          </w:tcPr>
          <w:p>
            <w:pPr>
              <w:jc w:val="center"/>
              <w:spacing w:after="0"/>
              <w:rPr>
                <w:sz w:val="20"/>
                <w:szCs w:val="20"/>
                <w:color w:val="auto"/>
              </w:rPr>
            </w:pPr>
            <w:r>
              <w:rPr>
                <w:rFonts w:ascii="Arial" w:cs="Arial" w:eastAsia="Arial" w:hAnsi="Arial"/>
                <w:sz w:val="14"/>
                <w:szCs w:val="14"/>
                <w:color w:val="auto"/>
              </w:rPr>
              <w:t>Legal</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Pattern of</w:t>
            </w:r>
          </w:p>
        </w:tc>
        <w:tc>
          <w:tcPr>
            <w:tcW w:w="840" w:type="dxa"/>
            <w:vAlign w:val="bottom"/>
          </w:tcPr>
          <w:p>
            <w:pPr>
              <w:jc w:val="center"/>
              <w:spacing w:after="0"/>
              <w:rPr>
                <w:sz w:val="20"/>
                <w:szCs w:val="20"/>
                <w:color w:val="auto"/>
              </w:rPr>
            </w:pPr>
            <w:r>
              <w:rPr>
                <w:rFonts w:ascii="Arial" w:cs="Arial" w:eastAsia="Arial" w:hAnsi="Arial"/>
                <w:sz w:val="14"/>
                <w:szCs w:val="14"/>
                <w:color w:val="auto"/>
              </w:rPr>
              <w:t>Pattern</w:t>
            </w:r>
          </w:p>
        </w:tc>
        <w:tc>
          <w:tcPr>
            <w:tcW w:w="82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Total Dollar</w:t>
            </w:r>
          </w:p>
        </w:tc>
        <w:tc>
          <w:tcPr>
            <w:tcW w:w="700" w:type="dxa"/>
            <w:vAlign w:val="bottom"/>
          </w:tcPr>
          <w:p>
            <w:pPr>
              <w:jc w:val="center"/>
              <w:spacing w:after="0"/>
              <w:rPr>
                <w:sz w:val="20"/>
                <w:szCs w:val="20"/>
                <w:color w:val="auto"/>
              </w:rPr>
            </w:pPr>
            <w:r>
              <w:rPr>
                <w:rFonts w:ascii="Arial" w:cs="Arial" w:eastAsia="Arial" w:hAnsi="Arial"/>
                <w:sz w:val="14"/>
                <w:szCs w:val="14"/>
                <w:color w:val="auto"/>
              </w:rPr>
              <w:t>Total</w:t>
            </w:r>
          </w:p>
        </w:tc>
        <w:tc>
          <w:tcPr>
            <w:tcW w:w="760" w:type="dxa"/>
            <w:vAlign w:val="bottom"/>
          </w:tcPr>
          <w:p>
            <w:pPr>
              <w:jc w:val="center"/>
              <w:spacing w:after="0"/>
              <w:rPr>
                <w:sz w:val="20"/>
                <w:szCs w:val="20"/>
                <w:color w:val="auto"/>
              </w:rPr>
            </w:pPr>
            <w:r>
              <w:rPr>
                <w:rFonts w:ascii="Arial" w:cs="Arial" w:eastAsia="Arial" w:hAnsi="Arial"/>
                <w:sz w:val="14"/>
                <w:szCs w:val="14"/>
                <w:color w:val="auto"/>
              </w:rPr>
              <w:t>Violations</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Under</w:t>
            </w:r>
          </w:p>
        </w:tc>
        <w:tc>
          <w:tcPr>
            <w:tcW w:w="820" w:type="dxa"/>
            <w:vAlign w:val="bottom"/>
          </w:tcPr>
          <w:p>
            <w:pPr>
              <w:jc w:val="center"/>
              <w:spacing w:after="0"/>
              <w:rPr>
                <w:sz w:val="20"/>
                <w:szCs w:val="20"/>
                <w:color w:val="auto"/>
              </w:rPr>
            </w:pPr>
            <w:r>
              <w:rPr>
                <w:rFonts w:ascii="Arial" w:cs="Arial" w:eastAsia="Arial" w:hAnsi="Arial"/>
                <w:sz w:val="14"/>
                <w:szCs w:val="14"/>
                <w:color w:val="auto"/>
              </w:rPr>
              <w:t>Pending as</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720" w:type="dxa"/>
            <w:vAlign w:val="bottom"/>
          </w:tcPr>
          <w:p>
            <w:pPr>
              <w:jc w:val="center"/>
              <w:spacing w:after="0"/>
              <w:rPr>
                <w:sz w:val="20"/>
                <w:szCs w:val="20"/>
                <w:color w:val="auto"/>
              </w:rPr>
            </w:pPr>
            <w:r>
              <w:rPr>
                <w:rFonts w:ascii="Arial" w:cs="Arial" w:eastAsia="Arial" w:hAnsi="Arial"/>
                <w:sz w:val="14"/>
                <w:szCs w:val="14"/>
                <w:color w:val="auto"/>
              </w:rPr>
              <w:t>Legal</w:t>
            </w: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104(d)</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Value of MSHA</w:t>
            </w:r>
          </w:p>
        </w:tc>
        <w:tc>
          <w:tcPr>
            <w:tcW w:w="700" w:type="dxa"/>
            <w:vAlign w:val="bottom"/>
          </w:tcPr>
          <w:p>
            <w:pPr>
              <w:jc w:val="center"/>
              <w:spacing w:after="0"/>
              <w:rPr>
                <w:sz w:val="20"/>
                <w:szCs w:val="20"/>
                <w:color w:val="auto"/>
              </w:rPr>
            </w:pPr>
            <w:r>
              <w:rPr>
                <w:rFonts w:ascii="Arial" w:cs="Arial" w:eastAsia="Arial" w:hAnsi="Arial"/>
                <w:sz w:val="14"/>
                <w:szCs w:val="14"/>
                <w:color w:val="auto"/>
              </w:rPr>
              <w:t>Number</w:t>
            </w:r>
          </w:p>
        </w:tc>
        <w:tc>
          <w:tcPr>
            <w:tcW w:w="760" w:type="dxa"/>
            <w:vAlign w:val="bottom"/>
          </w:tcPr>
          <w:p>
            <w:pPr>
              <w:jc w:val="center"/>
              <w:spacing w:after="0"/>
              <w:rPr>
                <w:sz w:val="20"/>
                <w:szCs w:val="20"/>
                <w:color w:val="auto"/>
              </w:rPr>
            </w:pPr>
            <w:r>
              <w:rPr>
                <w:rFonts w:ascii="Arial" w:cs="Arial" w:eastAsia="Arial" w:hAnsi="Arial"/>
                <w:sz w:val="14"/>
                <w:szCs w:val="14"/>
                <w:color w:val="auto"/>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20" w:type="dxa"/>
            <w:vAlign w:val="bottom"/>
          </w:tcPr>
          <w:p>
            <w:pPr>
              <w:jc w:val="center"/>
              <w:spacing w:after="0"/>
              <w:rPr>
                <w:sz w:val="20"/>
                <w:szCs w:val="20"/>
                <w:color w:val="auto"/>
              </w:rPr>
            </w:pPr>
            <w:r>
              <w:rPr>
                <w:rFonts w:ascii="Arial" w:cs="Arial" w:eastAsia="Arial" w:hAnsi="Arial"/>
                <w:sz w:val="14"/>
                <w:szCs w:val="14"/>
                <w:color w:val="auto"/>
              </w:rPr>
              <w:t>of Last Day</w:t>
            </w:r>
          </w:p>
        </w:tc>
        <w:tc>
          <w:tcPr>
            <w:tcW w:w="6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720" w:type="dxa"/>
            <w:vAlign w:val="bottom"/>
          </w:tcPr>
          <w:p>
            <w:pPr>
              <w:jc w:val="center"/>
              <w:spacing w:after="0"/>
              <w:rPr>
                <w:sz w:val="20"/>
                <w:szCs w:val="20"/>
                <w:color w:val="auto"/>
              </w:rPr>
            </w:pPr>
            <w:r>
              <w:rPr>
                <w:rFonts w:ascii="Arial" w:cs="Arial" w:eastAsia="Arial" w:hAnsi="Arial"/>
                <w:sz w:val="14"/>
                <w:szCs w:val="14"/>
                <w:color w:val="auto"/>
              </w:rPr>
              <w:t>Actions</w:t>
            </w:r>
          </w:p>
        </w:tc>
      </w:tr>
      <w:tr>
        <w:trPr>
          <w:trHeight w:val="144"/>
        </w:trPr>
        <w:tc>
          <w:tcPr>
            <w:tcW w:w="2960" w:type="dxa"/>
            <w:vAlign w:val="bottom"/>
            <w:gridSpan w:val="2"/>
          </w:tcPr>
          <w:p>
            <w:pPr>
              <w:spacing w:after="0" w:line="145" w:lineRule="exact"/>
              <w:rPr>
                <w:sz w:val="20"/>
                <w:szCs w:val="20"/>
                <w:color w:val="auto"/>
              </w:rPr>
            </w:pPr>
            <w:r>
              <w:rPr>
                <w:rFonts w:ascii="Arial" w:cs="Arial" w:eastAsia="Arial" w:hAnsi="Arial"/>
                <w:sz w:val="14"/>
                <w:szCs w:val="14"/>
                <w:color w:val="auto"/>
              </w:rPr>
              <w:t>Mine or Operating Name/ MSHA Section 104</w:t>
            </w:r>
          </w:p>
        </w:tc>
        <w:tc>
          <w:tcPr>
            <w:tcW w:w="640" w:type="dxa"/>
            <w:vAlign w:val="bottom"/>
          </w:tcPr>
          <w:p>
            <w:pPr>
              <w:ind w:left="80"/>
              <w:spacing w:after="0" w:line="145" w:lineRule="exact"/>
              <w:rPr>
                <w:sz w:val="20"/>
                <w:szCs w:val="20"/>
                <w:color w:val="auto"/>
              </w:rPr>
            </w:pPr>
            <w:r>
              <w:rPr>
                <w:rFonts w:ascii="Arial" w:cs="Arial" w:eastAsia="Arial" w:hAnsi="Arial"/>
                <w:sz w:val="14"/>
                <w:szCs w:val="14"/>
                <w:color w:val="auto"/>
              </w:rPr>
              <w:t>Section</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rPr>
              <w:t>Citations</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580" w:type="dxa"/>
            <w:vAlign w:val="bottom"/>
          </w:tcPr>
          <w:p>
            <w:pPr>
              <w:ind w:left="60"/>
              <w:spacing w:after="0" w:line="145" w:lineRule="exact"/>
              <w:rPr>
                <w:sz w:val="20"/>
                <w:szCs w:val="20"/>
                <w:color w:val="auto"/>
              </w:rPr>
            </w:pPr>
            <w:r>
              <w:rPr>
                <w:rFonts w:ascii="Arial" w:cs="Arial" w:eastAsia="Arial" w:hAnsi="Arial"/>
                <w:sz w:val="14"/>
                <w:szCs w:val="14"/>
                <w:color w:val="auto"/>
              </w:rPr>
              <w:t>Section</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rPr>
              <w:t>Assessments</w:t>
            </w:r>
          </w:p>
        </w:tc>
        <w:tc>
          <w:tcPr>
            <w:tcW w:w="700" w:type="dxa"/>
            <w:vAlign w:val="bottom"/>
          </w:tcPr>
          <w:p>
            <w:pPr>
              <w:jc w:val="center"/>
              <w:spacing w:after="0" w:line="145" w:lineRule="exact"/>
              <w:rPr>
                <w:sz w:val="20"/>
                <w:szCs w:val="20"/>
                <w:color w:val="auto"/>
              </w:rPr>
            </w:pPr>
            <w:r>
              <w:rPr>
                <w:rFonts w:ascii="Arial" w:cs="Arial" w:eastAsia="Arial" w:hAnsi="Arial"/>
                <w:sz w:val="14"/>
                <w:szCs w:val="14"/>
                <w:color w:val="auto"/>
              </w:rPr>
              <w:t>of Mining</w:t>
            </w:r>
          </w:p>
        </w:tc>
        <w:tc>
          <w:tcPr>
            <w:tcW w:w="76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104(e)</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99"/>
              </w:rPr>
              <w:t>of Period</w:t>
            </w:r>
          </w:p>
        </w:tc>
        <w:tc>
          <w:tcPr>
            <w:tcW w:w="640" w:type="dxa"/>
            <w:vAlign w:val="bottom"/>
          </w:tcPr>
          <w:p>
            <w:pPr>
              <w:jc w:val="center"/>
              <w:spacing w:after="0" w:line="145" w:lineRule="exact"/>
              <w:rPr>
                <w:sz w:val="20"/>
                <w:szCs w:val="20"/>
                <w:color w:val="auto"/>
              </w:rPr>
            </w:pPr>
            <w:r>
              <w:rPr>
                <w:rFonts w:ascii="Arial" w:cs="Arial" w:eastAsia="Arial" w:hAnsi="Arial"/>
                <w:sz w:val="14"/>
                <w:szCs w:val="14"/>
                <w:color w:val="auto"/>
              </w:rPr>
              <w:t>Initiated</w:t>
            </w: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rPr>
              <w:t>Resolved</w:t>
            </w:r>
          </w:p>
        </w:tc>
      </w:tr>
      <w:tr>
        <w:trPr>
          <w:trHeight w:val="180"/>
        </w:trPr>
        <w:tc>
          <w:tcPr>
            <w:tcW w:w="2120" w:type="dxa"/>
            <w:vAlign w:val="bottom"/>
          </w:tcPr>
          <w:p>
            <w:pPr>
              <w:ind w:left="380"/>
              <w:spacing w:after="0"/>
              <w:rPr>
                <w:sz w:val="20"/>
                <w:szCs w:val="20"/>
                <w:color w:val="auto"/>
              </w:rPr>
            </w:pPr>
            <w:r>
              <w:rPr>
                <w:rFonts w:ascii="Arial" w:cs="Arial" w:eastAsia="Arial" w:hAnsi="Arial"/>
                <w:sz w:val="14"/>
                <w:szCs w:val="14"/>
                <w:color w:val="auto"/>
              </w:rPr>
              <w:t>Identification Number</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rPr>
              <w:t>S&amp;S</w:t>
            </w:r>
          </w:p>
        </w:tc>
        <w:tc>
          <w:tcPr>
            <w:tcW w:w="640" w:type="dxa"/>
            <w:vAlign w:val="bottom"/>
          </w:tcPr>
          <w:p>
            <w:pPr>
              <w:jc w:val="center"/>
              <w:spacing w:after="0"/>
              <w:rPr>
                <w:sz w:val="20"/>
                <w:szCs w:val="20"/>
                <w:color w:val="auto"/>
              </w:rPr>
            </w:pPr>
            <w:r>
              <w:rPr>
                <w:rFonts w:ascii="Arial" w:cs="Arial" w:eastAsia="Arial" w:hAnsi="Arial"/>
                <w:sz w:val="14"/>
                <w:szCs w:val="14"/>
                <w:color w:val="auto"/>
              </w:rPr>
              <w:t>104(b)</w:t>
            </w:r>
          </w:p>
        </w:tc>
        <w:tc>
          <w:tcPr>
            <w:tcW w:w="740" w:type="dxa"/>
            <w:vAlign w:val="bottom"/>
          </w:tcPr>
          <w:p>
            <w:pPr>
              <w:jc w:val="center"/>
              <w:spacing w:after="0"/>
              <w:rPr>
                <w:sz w:val="20"/>
                <w:szCs w:val="20"/>
                <w:color w:val="auto"/>
              </w:rPr>
            </w:pPr>
            <w:r>
              <w:rPr>
                <w:rFonts w:ascii="Arial" w:cs="Arial" w:eastAsia="Arial" w:hAnsi="Arial"/>
                <w:sz w:val="14"/>
                <w:szCs w:val="14"/>
                <w:color w:val="auto"/>
              </w:rPr>
              <w:t>and</w:t>
            </w:r>
          </w:p>
        </w:tc>
        <w:tc>
          <w:tcPr>
            <w:tcW w:w="780" w:type="dxa"/>
            <w:vAlign w:val="bottom"/>
          </w:tcPr>
          <w:p>
            <w:pPr>
              <w:jc w:val="center"/>
              <w:spacing w:after="0"/>
              <w:rPr>
                <w:sz w:val="20"/>
                <w:szCs w:val="20"/>
                <w:color w:val="auto"/>
              </w:rPr>
            </w:pPr>
            <w:r>
              <w:rPr>
                <w:rFonts w:ascii="Arial" w:cs="Arial" w:eastAsia="Arial" w:hAnsi="Arial"/>
                <w:sz w:val="14"/>
                <w:szCs w:val="14"/>
                <w:color w:val="auto"/>
              </w:rPr>
              <w:t>110(b)(2)</w:t>
            </w:r>
          </w:p>
        </w:tc>
        <w:tc>
          <w:tcPr>
            <w:tcW w:w="580" w:type="dxa"/>
            <w:vAlign w:val="bottom"/>
          </w:tcPr>
          <w:p>
            <w:pPr>
              <w:jc w:val="center"/>
              <w:spacing w:after="0"/>
              <w:rPr>
                <w:sz w:val="20"/>
                <w:szCs w:val="20"/>
                <w:color w:val="auto"/>
              </w:rPr>
            </w:pPr>
            <w:r>
              <w:rPr>
                <w:rFonts w:ascii="Arial" w:cs="Arial" w:eastAsia="Arial" w:hAnsi="Arial"/>
                <w:sz w:val="14"/>
                <w:szCs w:val="14"/>
                <w:color w:val="auto"/>
                <w:w w:val="98"/>
              </w:rPr>
              <w:t>107(a)</w:t>
            </w:r>
          </w:p>
        </w:tc>
        <w:tc>
          <w:tcPr>
            <w:tcW w:w="1060" w:type="dxa"/>
            <w:vAlign w:val="bottom"/>
          </w:tcPr>
          <w:p>
            <w:pPr>
              <w:jc w:val="center"/>
              <w:spacing w:after="0" w:line="180" w:lineRule="exact"/>
              <w:rPr>
                <w:sz w:val="20"/>
                <w:szCs w:val="20"/>
                <w:color w:val="auto"/>
              </w:rPr>
            </w:pPr>
            <w:r>
              <w:rPr>
                <w:rFonts w:ascii="Arial" w:cs="Arial" w:eastAsia="Arial" w:hAnsi="Arial"/>
                <w:sz w:val="14"/>
                <w:szCs w:val="14"/>
                <w:color w:val="auto"/>
                <w:w w:val="98"/>
              </w:rPr>
              <w:t xml:space="preserve">Proposed </w:t>
            </w:r>
            <w:r>
              <w:rPr>
                <w:rFonts w:ascii="Arial" w:cs="Arial" w:eastAsia="Arial" w:hAnsi="Arial"/>
                <w:sz w:val="19"/>
                <w:szCs w:val="19"/>
                <w:color w:val="auto"/>
                <w:w w:val="98"/>
                <w:vertAlign w:val="superscript"/>
              </w:rPr>
              <w:t>(1)</w:t>
            </w:r>
          </w:p>
        </w:tc>
        <w:tc>
          <w:tcPr>
            <w:tcW w:w="700" w:type="dxa"/>
            <w:vAlign w:val="bottom"/>
          </w:tcPr>
          <w:p>
            <w:pPr>
              <w:jc w:val="center"/>
              <w:spacing w:after="0"/>
              <w:rPr>
                <w:sz w:val="20"/>
                <w:szCs w:val="20"/>
                <w:color w:val="auto"/>
              </w:rPr>
            </w:pPr>
            <w:r>
              <w:rPr>
                <w:rFonts w:ascii="Arial" w:cs="Arial" w:eastAsia="Arial" w:hAnsi="Arial"/>
                <w:sz w:val="14"/>
                <w:szCs w:val="14"/>
                <w:color w:val="auto"/>
              </w:rPr>
              <w:t>Related</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104(e)</w:t>
            </w:r>
          </w:p>
        </w:tc>
        <w:tc>
          <w:tcPr>
            <w:tcW w:w="840" w:type="dxa"/>
            <w:vAlign w:val="bottom"/>
          </w:tcPr>
          <w:p>
            <w:pPr>
              <w:jc w:val="center"/>
              <w:spacing w:after="0"/>
              <w:rPr>
                <w:sz w:val="20"/>
                <w:szCs w:val="20"/>
                <w:color w:val="auto"/>
              </w:rPr>
            </w:pPr>
            <w:r>
              <w:rPr>
                <w:rFonts w:ascii="Arial" w:cs="Arial" w:eastAsia="Arial" w:hAnsi="Arial"/>
                <w:sz w:val="14"/>
                <w:szCs w:val="14"/>
                <w:color w:val="auto"/>
              </w:rPr>
              <w:t>(yes/no)</w:t>
            </w:r>
          </w:p>
        </w:tc>
        <w:tc>
          <w:tcPr>
            <w:tcW w:w="8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During</w:t>
            </w:r>
          </w:p>
        </w:tc>
        <w:tc>
          <w:tcPr>
            <w:tcW w:w="720" w:type="dxa"/>
            <w:vAlign w:val="bottom"/>
          </w:tcPr>
          <w:p>
            <w:pPr>
              <w:jc w:val="center"/>
              <w:spacing w:after="0"/>
              <w:rPr>
                <w:sz w:val="20"/>
                <w:szCs w:val="20"/>
                <w:color w:val="auto"/>
              </w:rPr>
            </w:pPr>
            <w:r>
              <w:rPr>
                <w:rFonts w:ascii="Arial" w:cs="Arial" w:eastAsia="Arial" w:hAnsi="Arial"/>
                <w:sz w:val="14"/>
                <w:szCs w:val="14"/>
                <w:color w:val="auto"/>
              </w:rPr>
              <w:t>During</w:t>
            </w:r>
          </w:p>
        </w:tc>
      </w:tr>
      <w:tr>
        <w:trPr>
          <w:trHeight w:val="171"/>
        </w:trPr>
        <w:tc>
          <w:tcPr>
            <w:tcW w:w="2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Citations</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Orders</w:t>
            </w:r>
          </w:p>
        </w:tc>
        <w:tc>
          <w:tcPr>
            <w:tcW w:w="10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Fatalities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r>
      <w:tr>
        <w:trPr>
          <w:trHeight w:val="336"/>
        </w:trPr>
        <w:tc>
          <w:tcPr>
            <w:tcW w:w="2120" w:type="dxa"/>
            <w:vAlign w:val="bottom"/>
          </w:tcPr>
          <w:p>
            <w:pPr>
              <w:spacing w:after="0"/>
              <w:rPr>
                <w:sz w:val="20"/>
                <w:szCs w:val="20"/>
                <w:color w:val="auto"/>
              </w:rPr>
            </w:pPr>
            <w:r>
              <w:rPr>
                <w:rFonts w:ascii="Arial" w:cs="Arial" w:eastAsia="Arial" w:hAnsi="Arial"/>
                <w:sz w:val="14"/>
                <w:szCs w:val="14"/>
                <w:color w:val="auto"/>
              </w:rPr>
              <w:t>Amelia Barite Plant/1600825</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8"/>
        </w:trPr>
        <w:tc>
          <w:tcPr>
            <w:tcW w:w="2120" w:type="dxa"/>
            <w:vAlign w:val="bottom"/>
          </w:tcPr>
          <w:p>
            <w:pPr>
              <w:spacing w:after="0"/>
              <w:rPr>
                <w:sz w:val="20"/>
                <w:szCs w:val="20"/>
                <w:color w:val="auto"/>
              </w:rPr>
            </w:pPr>
            <w:r>
              <w:rPr>
                <w:rFonts w:ascii="Arial" w:cs="Arial" w:eastAsia="Arial" w:hAnsi="Arial"/>
                <w:sz w:val="14"/>
                <w:szCs w:val="14"/>
                <w:color w:val="auto"/>
              </w:rPr>
              <w:t>Battle Mountain Grinding</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120" w:type="dxa"/>
            <w:vAlign w:val="bottom"/>
          </w:tcPr>
          <w:p>
            <w:pPr>
              <w:spacing w:after="0"/>
              <w:rPr>
                <w:sz w:val="20"/>
                <w:szCs w:val="20"/>
                <w:color w:val="auto"/>
              </w:rPr>
            </w:pPr>
            <w:r>
              <w:rPr>
                <w:rFonts w:ascii="Arial" w:cs="Arial" w:eastAsia="Arial" w:hAnsi="Arial"/>
                <w:sz w:val="14"/>
                <w:szCs w:val="14"/>
                <w:color w:val="auto"/>
              </w:rPr>
              <w:t>Plant/2600828</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24"/>
        </w:trPr>
        <w:tc>
          <w:tcPr>
            <w:tcW w:w="2120" w:type="dxa"/>
            <w:vAlign w:val="bottom"/>
          </w:tcPr>
          <w:p>
            <w:pPr>
              <w:spacing w:after="0"/>
              <w:rPr>
                <w:sz w:val="20"/>
                <w:szCs w:val="20"/>
                <w:color w:val="auto"/>
              </w:rPr>
            </w:pPr>
            <w:r>
              <w:rPr>
                <w:rFonts w:ascii="Arial" w:cs="Arial" w:eastAsia="Arial" w:hAnsi="Arial"/>
                <w:sz w:val="14"/>
                <w:szCs w:val="14"/>
                <w:color w:val="auto"/>
              </w:rPr>
              <w:t>Greystone Mine/2600411</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8"/>
        </w:trPr>
        <w:tc>
          <w:tcPr>
            <w:tcW w:w="2120" w:type="dxa"/>
            <w:vAlign w:val="bottom"/>
          </w:tcPr>
          <w:p>
            <w:pPr>
              <w:spacing w:after="0"/>
              <w:rPr>
                <w:sz w:val="20"/>
                <w:szCs w:val="20"/>
                <w:color w:val="auto"/>
              </w:rPr>
            </w:pPr>
            <w:r>
              <w:rPr>
                <w:rFonts w:ascii="Arial" w:cs="Arial" w:eastAsia="Arial" w:hAnsi="Arial"/>
                <w:sz w:val="14"/>
                <w:szCs w:val="14"/>
                <w:color w:val="auto"/>
              </w:rPr>
              <w:t>Mountain Springs Beneficiation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28"/>
                <w:szCs w:val="28"/>
                <w:color w:val="auto"/>
                <w:w w:val="91"/>
                <w:vertAlign w:val="subscript"/>
              </w:rPr>
              <w:t>─</w:t>
            </w:r>
            <w:r>
              <w:rPr>
                <w:rFonts w:ascii="Arial" w:cs="Arial" w:eastAsia="Arial" w:hAnsi="Arial"/>
                <w:sz w:val="10"/>
                <w:szCs w:val="10"/>
                <w:color w:val="auto"/>
                <w:w w:val="91"/>
              </w:rPr>
              <w:t xml:space="preserve"> (2)</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120" w:type="dxa"/>
            <w:vAlign w:val="bottom"/>
          </w:tcPr>
          <w:p>
            <w:pPr>
              <w:spacing w:after="0"/>
              <w:rPr>
                <w:sz w:val="20"/>
                <w:szCs w:val="20"/>
                <w:color w:val="auto"/>
              </w:rPr>
            </w:pPr>
            <w:r>
              <w:rPr>
                <w:rFonts w:ascii="Arial" w:cs="Arial" w:eastAsia="Arial" w:hAnsi="Arial"/>
                <w:sz w:val="14"/>
                <w:szCs w:val="14"/>
                <w:color w:val="auto"/>
              </w:rPr>
              <w:t>Plant/2601390</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left="1020" w:hanging="503"/>
        <w:spacing w:after="0" w:line="256" w:lineRule="auto"/>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March 31, 2026, regardless of whether the assessment has been challenged or appealed, for citations and orders occurring during the quarter ended March 31, 2026.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69" w:lineRule="exact"/>
        <w:rPr>
          <w:rFonts w:ascii="Arial" w:cs="Arial" w:eastAsia="Arial" w:hAnsi="Arial"/>
          <w:sz w:val="14"/>
          <w:szCs w:val="14"/>
          <w:color w:val="auto"/>
        </w:rPr>
      </w:pPr>
    </w:p>
    <w:p>
      <w:pPr>
        <w:ind w:left="1020" w:hanging="503"/>
        <w:spacing w:after="0"/>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As of March 31, 2026, MSHA had not yet proposed an assessment for two non-S&amp;S citations at Mountain Springs Beneficiation Plant/2601390.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1236980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1."/>
      <w:numFmt w:val="decimal"/>
      <w:start w:val="5"/>
    </w:lvl>
  </w:abstractNum>
  <w:abstractNum w:abstractNumId="8">
    <w:nsid w:val="737B8DDC"/>
    <w:multiLevelType w:val="hybridMultilevel"/>
    <w:lvl w:ilvl="0">
      <w:lvlJc w:val="left"/>
      <w:lvlText w:val="%1."/>
      <w:numFmt w:val="decimal"/>
      <w:start w:val="7"/>
    </w:lvl>
  </w:abstractNum>
  <w:abstractNum w:abstractNumId="9">
    <w:nsid w:val="6CEAF087"/>
    <w:multiLevelType w:val="hybridMultilevel"/>
    <w:lvl w:ilvl="0">
      <w:lvlJc w:val="left"/>
      <w:lvlText w:val="%1."/>
      <w:numFmt w:val="decimal"/>
      <w:start w:val="8"/>
    </w:lvl>
  </w:abstractNum>
  <w:abstractNum w:abstractNumId="10">
    <w:nsid w:val="22221A70"/>
    <w:multiLevelType w:val="hybridMultilevel"/>
    <w:lvl w:ilvl="0">
      <w:lvlJc w:val="left"/>
      <w:lvlText w:val="%1."/>
      <w:numFmt w:val="decimal"/>
      <w:start w:val="9"/>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0"/>
    </w:lvl>
  </w:abstractNum>
  <w:abstractNum w:abstractNumId="13">
    <w:nsid w:val="614FD4A1"/>
    <w:multiLevelType w:val="hybridMultilevel"/>
    <w:lvl w:ilvl="0">
      <w:lvlJc w:val="left"/>
      <w:lvlText w:val="%1."/>
      <w:numFmt w:val="decimal"/>
      <w:start w:val="1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lvl w:ilvl="1">
      <w:lvlJc w:val="left"/>
      <w:lvlText w:val="*"/>
      <w:numFmt w:val="bullet"/>
      <w:start w:val="1"/>
    </w:lvl>
  </w:abstractNum>
  <w:abstractNum w:abstractNumId="23">
    <w:nsid w:val="5E884ADC"/>
    <w:multiLevelType w:val="hybridMultilevel"/>
    <w:lvl w:ilvl="0">
      <w:lvlJc w:val="left"/>
      <w:lvlText w:val="**"/>
      <w:numFmt w:val="bullet"/>
      <w:start w:val="1"/>
    </w:lvl>
    <w:lvl w:ilvl="1">
      <w:lvlJc w:val="left"/>
      <w:lvlText w:val="*"/>
      <w:numFmt w:val="bullet"/>
      <w:start w:val="1"/>
    </w:lvl>
  </w:abstractNum>
  <w:abstractNum w:abstractNumId="24">
    <w:nsid w:val="51EAD36B"/>
    <w:multiLevelType w:val="hybridMultilevel"/>
    <w:lvl w:ilvl="0">
      <w:lvlJc w:val="left"/>
      <w:lvlText w:val="(%1)"/>
      <w:numFmt w:val="lowerRoman"/>
      <w:start w:val="2"/>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lowerLetter"/>
      <w:start w:val="3"/>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lowerLetter"/>
      <w:start w:val="8"/>
    </w:lvl>
  </w:abstractNum>
  <w:abstractNum w:abstractNumId="29">
    <w:nsid w:val="70A64E2A"/>
    <w:multiLevelType w:val="hybridMultilevel"/>
    <w:lvl w:ilvl="0">
      <w:lvlJc w:val="left"/>
      <w:lvlText w:val="(%1)"/>
      <w:numFmt w:val="lowerLetter"/>
      <w:start w:val="2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4"/>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5"/>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3"/>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3"/>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4"/>
    </w:lvl>
  </w:abstractNum>
  <w:abstractNum w:abstractNumId="42">
    <w:nsid w:val="32FFF902"/>
    <w:multiLevelType w:val="hybridMultilevel"/>
    <w:lvl w:ilvl="0">
      <w:lvlJc w:val="left"/>
      <w:lvlText w:val="%1)"/>
      <w:numFmt w:val="lowerLetter"/>
      <w:start w:val="1"/>
    </w:lvl>
    <w:lvl w:ilvl="1">
      <w:lvlJc w:val="left"/>
      <w:lvlText w:val="(%2)"/>
      <w:numFmt w:val="decimal"/>
      <w:start w:val="2"/>
    </w:lvl>
  </w:abstractNum>
  <w:abstractNum w:abstractNumId="43">
    <w:nsid w:val="684A481A"/>
    <w:multiLevelType w:val="hybridMultilevel"/>
    <w:lvl w:ilvl="0">
      <w:lvlJc w:val="left"/>
      <w:lvlText w:val="%1)"/>
      <w:numFmt w:val="lowerLetter"/>
      <w:start w:val="2"/>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4"/>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2"/>
    </w:lvl>
  </w:abstractNum>
  <w:abstractNum w:abstractNumId="49">
    <w:nsid w:val="75C6C33A"/>
    <w:multiLevelType w:val="hybridMultilevel"/>
    <w:lvl w:ilvl="0">
      <w:lvlJc w:val="left"/>
      <w:lvlText w:val="%1."/>
      <w:numFmt w:val="decimal"/>
      <w:start w:val="1"/>
    </w:lvl>
    <w:lvl w:ilvl="1">
      <w:lvlJc w:val="left"/>
      <w:lvlText w:val="%2)"/>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jpe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39" Type="http://schemas.openxmlformats.org/officeDocument/2006/relationships/hyperlink" Target="https://www.sec.gov/Archives/edgar/data/87347/000119312525246028/slb-ex3_1.htm" TargetMode="External"/><Relationship Id="rId242" Type="http://schemas.openxmlformats.org/officeDocument/2006/relationships/hyperlink" Target="https://www.sec.gov/Archives/edgar/data/87347/000119312525246028/slb-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2026-04-29T11:12:03Z</dcterms:created>
  <dcterms:modified xsi:type="dcterms:W3CDTF">2026-04-29T11:12:03Z</dcterms:modified>
</cp:coreProperties>
</file>