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UNDER SECTION 13 OR 15(d)</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p>
      <w:pPr>
        <w:spacing w:after="0" w:line="200" w:lineRule="exact"/>
        <w:rPr>
          <w:sz w:val="24"/>
          <w:szCs w:val="24"/>
          <w:color w:val="auto"/>
        </w:rPr>
      </w:pPr>
    </w:p>
    <w:p>
      <w:pPr>
        <w:spacing w:after="0" w:line="389" w:lineRule="exact"/>
        <w:rPr>
          <w:sz w:val="24"/>
          <w:szCs w:val="24"/>
          <w:color w:val="auto"/>
        </w:rPr>
      </w:pPr>
    </w:p>
    <w:p>
      <w:pPr>
        <w:ind w:left="1900"/>
        <w:spacing w:after="0"/>
        <w:rPr>
          <w:sz w:val="20"/>
          <w:szCs w:val="20"/>
          <w:color w:val="auto"/>
        </w:rPr>
      </w:pPr>
      <w:r>
        <w:rPr>
          <w:rFonts w:ascii="Arial" w:cs="Arial" w:eastAsia="Arial" w:hAnsi="Arial"/>
          <w:sz w:val="12"/>
          <w:szCs w:val="12"/>
          <w:b w:val="1"/>
          <w:bCs w:val="1"/>
          <w:color w:val="auto"/>
        </w:rPr>
        <w:t>For the quarterly period ended: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Commission file No.:</w:t>
      </w:r>
    </w:p>
    <w:p>
      <w:pPr>
        <w:spacing w:after="0" w:line="36" w:lineRule="exact"/>
        <w:rPr>
          <w:sz w:val="24"/>
          <w:szCs w:val="24"/>
          <w:color w:val="auto"/>
        </w:rPr>
      </w:pPr>
    </w:p>
    <w:p>
      <w:pPr>
        <w:sectPr>
          <w:pgSz w:w="11900" w:h="16838" w:orient="portrait"/>
          <w:cols w:equalWidth="0" w:num="2">
            <w:col w:w="7420" w:space="720"/>
            <w:col w:w="3280"/>
          </w:cols>
          <w:pgMar w:left="240" w:top="230" w:right="239" w:bottom="1440" w:gutter="0" w:footer="0" w:header="0"/>
          <w:type w:val="continuous"/>
        </w:sectPr>
      </w:pPr>
    </w:p>
    <w:p>
      <w:pPr>
        <w:ind w:left="2220"/>
        <w:spacing w:after="0"/>
        <w:rPr>
          <w:sz w:val="20"/>
          <w:szCs w:val="20"/>
          <w:color w:val="auto"/>
        </w:rPr>
      </w:pPr>
      <w:r>
        <w:rPr>
          <w:rFonts w:ascii="Arial" w:cs="Arial" w:eastAsia="Arial" w:hAnsi="Arial"/>
          <w:sz w:val="16"/>
          <w:szCs w:val="16"/>
          <w:b w:val="1"/>
          <w:bCs w:val="1"/>
          <w:color w:val="auto"/>
        </w:rPr>
        <w:t>March 31, 2009</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1-4601</w:t>
      </w:r>
    </w:p>
    <w:p>
      <w:pPr>
        <w:spacing w:after="0" w:line="151" w:lineRule="exact"/>
        <w:rPr>
          <w:sz w:val="24"/>
          <w:szCs w:val="24"/>
          <w:color w:val="auto"/>
        </w:rPr>
      </w:pPr>
    </w:p>
    <w:p>
      <w:pPr>
        <w:sectPr>
          <w:pgSz w:w="11900" w:h="16838" w:orient="portrait"/>
          <w:cols w:equalWidth="0" w:num="2">
            <w:col w:w="7780" w:space="720"/>
            <w:col w:w="2920"/>
          </w:cols>
          <w:pgMar w:left="240" w:top="230" w:right="239" w:bottom="1440" w:gutter="0" w:footer="0" w:header="0"/>
          <w:type w:val="continuous"/>
        </w:sectPr>
      </w:pPr>
    </w:p>
    <w:p>
      <w:pPr>
        <w:jc w:val="center"/>
        <w:spacing w:after="0"/>
        <w:rPr>
          <w:sz w:val="20"/>
          <w:szCs w:val="20"/>
          <w:color w:val="auto"/>
        </w:rPr>
      </w:pPr>
      <w:r>
        <w:rPr>
          <w:rFonts w:ascii="Arial" w:cs="Arial" w:eastAsia="Arial" w:hAnsi="Arial"/>
          <w:sz w:val="32"/>
          <w:szCs w:val="32"/>
          <w:b w:val="1"/>
          <w:bCs w:val="1"/>
          <w:color w:val="auto"/>
        </w:rPr>
        <w:t>SCHLUMBERGER N.V.</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(SCHLUMBERGER LIMITED)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75" w:lineRule="exact"/>
        <w:rPr>
          <w:sz w:val="24"/>
          <w:szCs w:val="24"/>
          <w:color w:val="auto"/>
        </w:rPr>
      </w:pPr>
    </w:p>
    <w:tbl>
      <w:tblPr>
        <w:tblLayout w:type="fixed"/>
        <w:tblInd w:w="1600" w:type="dxa"/>
        <w:tblCellMar>
          <w:top w:w="0" w:type="dxa"/>
          <w:left w:w="0" w:type="dxa"/>
          <w:bottom w:w="0" w:type="dxa"/>
          <w:right w:w="0" w:type="dxa"/>
        </w:tblCellMar>
      </w:tblPr>
      <w:tr>
        <w:trPr>
          <w:trHeight w:val="218"/>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8"/>
              </w:rPr>
              <w:t>NETHERLANDS ANTILLES</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4520" w:type="dxa"/>
            <w:vAlign w:val="bottom"/>
          </w:tcPr>
          <w:p>
            <w:pPr>
              <w:jc w:val="center"/>
              <w:ind w:right="2018"/>
              <w:spacing w:after="0" w:line="149" w:lineRule="exact"/>
              <w:rPr>
                <w:sz w:val="20"/>
                <w:szCs w:val="20"/>
                <w:color w:val="auto"/>
              </w:rPr>
            </w:pPr>
            <w:r>
              <w:rPr>
                <w:rFonts w:ascii="Arial" w:cs="Arial" w:eastAsia="Arial" w:hAnsi="Arial"/>
                <w:sz w:val="14"/>
                <w:szCs w:val="14"/>
                <w:b w:val="1"/>
                <w:bCs w:val="1"/>
                <w:color w:val="auto"/>
                <w:w w:val="88"/>
              </w:rPr>
              <w:t>(State or other jurisdiction of</w:t>
            </w:r>
          </w:p>
        </w:tc>
        <w:tc>
          <w:tcPr>
            <w:tcW w:w="3140" w:type="dxa"/>
            <w:vAlign w:val="bottom"/>
          </w:tcPr>
          <w:p>
            <w:pPr>
              <w:jc w:val="center"/>
              <w:ind w:left="2021"/>
              <w:spacing w:after="0" w:line="149" w:lineRule="exact"/>
              <w:rPr>
                <w:sz w:val="20"/>
                <w:szCs w:val="20"/>
                <w:color w:val="auto"/>
              </w:rPr>
            </w:pPr>
            <w:r>
              <w:rPr>
                <w:rFonts w:ascii="Arial" w:cs="Arial" w:eastAsia="Arial" w:hAnsi="Arial"/>
                <w:sz w:val="14"/>
                <w:szCs w:val="14"/>
                <w:b w:val="1"/>
                <w:bCs w:val="1"/>
                <w:color w:val="auto"/>
                <w:w w:val="89"/>
              </w:rPr>
              <w:t>(I.R.S. Employer</w:t>
            </w:r>
          </w:p>
        </w:tc>
      </w:tr>
      <w:tr>
        <w:trPr>
          <w:trHeight w:val="174"/>
        </w:trPr>
        <w:tc>
          <w:tcPr>
            <w:tcW w:w="4520" w:type="dxa"/>
            <w:vAlign w:val="bottom"/>
          </w:tcPr>
          <w:p>
            <w:pPr>
              <w:jc w:val="center"/>
              <w:ind w:right="2018"/>
              <w:spacing w:after="0"/>
              <w:rPr>
                <w:sz w:val="20"/>
                <w:szCs w:val="20"/>
                <w:color w:val="auto"/>
              </w:rPr>
            </w:pPr>
            <w:r>
              <w:rPr>
                <w:rFonts w:ascii="Arial" w:cs="Arial" w:eastAsia="Arial" w:hAnsi="Arial"/>
                <w:sz w:val="14"/>
                <w:szCs w:val="14"/>
                <w:b w:val="1"/>
                <w:bCs w:val="1"/>
                <w:color w:val="auto"/>
                <w:w w:val="89"/>
              </w:rPr>
              <w:t>incorporation or organization)</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7"/>
              </w:rPr>
              <w:t>Identification No.)</w:t>
            </w:r>
          </w:p>
        </w:tc>
      </w:tr>
      <w:tr>
        <w:trPr>
          <w:trHeight w:val="418"/>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9"/>
              </w:rPr>
              <w:t>42 RUE SAINT-DOMINIQUE</w:t>
            </w:r>
          </w:p>
        </w:tc>
        <w:tc>
          <w:tcPr>
            <w:tcW w:w="3140" w:type="dxa"/>
            <w:vAlign w:val="bottom"/>
          </w:tcPr>
          <w:p>
            <w:pPr>
              <w:spacing w:after="0"/>
              <w:rPr>
                <w:sz w:val="24"/>
                <w:szCs w:val="24"/>
                <w:color w:val="auto"/>
              </w:rPr>
            </w:pPr>
          </w:p>
        </w:tc>
      </w:tr>
      <w:tr>
        <w:trPr>
          <w:trHeight w:val="242"/>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5"/>
              </w:rPr>
              <w:t>PARIS, FRANCE</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75007</w:t>
            </w:r>
          </w:p>
        </w:tc>
      </w:tr>
      <w:tr>
        <w:trPr>
          <w:trHeight w:val="420"/>
        </w:trPr>
        <w:tc>
          <w:tcPr>
            <w:tcW w:w="4520" w:type="dxa"/>
            <w:vAlign w:val="bottom"/>
          </w:tcPr>
          <w:p>
            <w:pPr>
              <w:jc w:val="center"/>
              <w:ind w:right="1998"/>
              <w:spacing w:after="0"/>
              <w:rPr>
                <w:sz w:val="20"/>
                <w:szCs w:val="20"/>
                <w:color w:val="auto"/>
              </w:rPr>
            </w:pPr>
            <w:r>
              <w:rPr>
                <w:rFonts w:ascii="Arial" w:cs="Arial" w:eastAsia="Arial" w:hAnsi="Arial"/>
                <w:sz w:val="18"/>
                <w:szCs w:val="18"/>
                <w:b w:val="1"/>
                <w:bCs w:val="1"/>
                <w:color w:val="auto"/>
                <w:w w:val="92"/>
              </w:rPr>
              <w:t>5599 SAN FELIPE, 17</w:t>
            </w:r>
            <w:r>
              <w:rPr>
                <w:rFonts w:ascii="Arial" w:cs="Arial" w:eastAsia="Arial" w:hAnsi="Arial"/>
                <w:sz w:val="22"/>
                <w:szCs w:val="22"/>
                <w:b w:val="1"/>
                <w:bCs w:val="1"/>
                <w:color w:val="auto"/>
                <w:w w:val="92"/>
                <w:vertAlign w:val="superscript"/>
              </w:rPr>
              <w:t>th</w:t>
            </w:r>
            <w:r>
              <w:rPr>
                <w:rFonts w:ascii="Arial" w:cs="Arial" w:eastAsia="Arial" w:hAnsi="Arial"/>
                <w:sz w:val="18"/>
                <w:szCs w:val="18"/>
                <w:b w:val="1"/>
                <w:bCs w:val="1"/>
                <w:color w:val="auto"/>
                <w:w w:val="92"/>
              </w:rPr>
              <w:t xml:space="preserve"> FLOOR</w:t>
            </w:r>
          </w:p>
        </w:tc>
        <w:tc>
          <w:tcPr>
            <w:tcW w:w="3140" w:type="dxa"/>
            <w:vAlign w:val="bottom"/>
          </w:tcPr>
          <w:p>
            <w:pPr>
              <w:spacing w:after="0"/>
              <w:rPr>
                <w:sz w:val="24"/>
                <w:szCs w:val="24"/>
                <w:color w:val="auto"/>
              </w:rPr>
            </w:pPr>
          </w:p>
        </w:tc>
      </w:tr>
      <w:tr>
        <w:trPr>
          <w:trHeight w:val="242"/>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4"/>
              </w:rPr>
              <w:t>HOUSTON, TEXAS, U.S.A.</w:t>
            </w:r>
          </w:p>
        </w:tc>
        <w:tc>
          <w:tcPr>
            <w:tcW w:w="3140" w:type="dxa"/>
            <w:vAlign w:val="bottom"/>
          </w:tcPr>
          <w:p>
            <w:pPr>
              <w:jc w:val="center"/>
              <w:ind w:left="2021"/>
              <w:spacing w:after="0"/>
              <w:rPr>
                <w:sz w:val="20"/>
                <w:szCs w:val="20"/>
                <w:color w:val="auto"/>
              </w:rPr>
            </w:pPr>
            <w:r>
              <w:rPr>
                <w:rFonts w:ascii="Arial" w:cs="Arial" w:eastAsia="Arial" w:hAnsi="Arial"/>
                <w:sz w:val="18"/>
                <w:szCs w:val="18"/>
                <w:b w:val="1"/>
                <w:bCs w:val="1"/>
                <w:color w:val="auto"/>
                <w:w w:val="87"/>
              </w:rPr>
              <w:t>77056</w:t>
            </w:r>
          </w:p>
        </w:tc>
      </w:tr>
      <w:tr>
        <w:trPr>
          <w:trHeight w:val="420"/>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5"/>
              </w:rPr>
              <w:t>PARKSTRAAT 83</w:t>
            </w:r>
          </w:p>
        </w:tc>
        <w:tc>
          <w:tcPr>
            <w:tcW w:w="3140" w:type="dxa"/>
            <w:vAlign w:val="bottom"/>
          </w:tcPr>
          <w:p>
            <w:pPr>
              <w:spacing w:after="0"/>
              <w:rPr>
                <w:sz w:val="24"/>
                <w:szCs w:val="24"/>
                <w:color w:val="auto"/>
              </w:rPr>
            </w:pPr>
          </w:p>
        </w:tc>
      </w:tr>
      <w:tr>
        <w:trPr>
          <w:trHeight w:val="228"/>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9"/>
              </w:rPr>
              <w:t>THE HAGUE,</w:t>
            </w:r>
          </w:p>
        </w:tc>
        <w:tc>
          <w:tcPr>
            <w:tcW w:w="3140" w:type="dxa"/>
            <w:vAlign w:val="bottom"/>
          </w:tcPr>
          <w:p>
            <w:pPr>
              <w:spacing w:after="0"/>
              <w:rPr>
                <w:sz w:val="19"/>
                <w:szCs w:val="19"/>
                <w:color w:val="auto"/>
              </w:rPr>
            </w:pPr>
          </w:p>
        </w:tc>
      </w:tr>
      <w:tr>
        <w:trPr>
          <w:trHeight w:val="219"/>
        </w:trPr>
        <w:tc>
          <w:tcPr>
            <w:tcW w:w="4520" w:type="dxa"/>
            <w:vAlign w:val="bottom"/>
          </w:tcPr>
          <w:p>
            <w:pPr>
              <w:jc w:val="center"/>
              <w:ind w:right="2018"/>
              <w:spacing w:after="0"/>
              <w:rPr>
                <w:sz w:val="20"/>
                <w:szCs w:val="20"/>
                <w:color w:val="auto"/>
              </w:rPr>
            </w:pPr>
            <w:r>
              <w:rPr>
                <w:rFonts w:ascii="Arial" w:cs="Arial" w:eastAsia="Arial" w:hAnsi="Arial"/>
                <w:sz w:val="18"/>
                <w:szCs w:val="18"/>
                <w:b w:val="1"/>
                <w:bCs w:val="1"/>
                <w:color w:val="auto"/>
                <w:w w:val="98"/>
              </w:rPr>
              <w:t>THE NETHERLANDS</w:t>
            </w:r>
          </w:p>
        </w:tc>
        <w:tc>
          <w:tcPr>
            <w:tcW w:w="3140" w:type="dxa"/>
            <w:vAlign w:val="bottom"/>
          </w:tcPr>
          <w:p>
            <w:pPr>
              <w:jc w:val="center"/>
              <w:ind w:left="2001"/>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4520" w:type="dxa"/>
            <w:vAlign w:val="bottom"/>
          </w:tcPr>
          <w:p>
            <w:pPr>
              <w:jc w:val="center"/>
              <w:ind w:right="2018"/>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3140" w:type="dxa"/>
            <w:vAlign w:val="bottom"/>
          </w:tcPr>
          <w:p>
            <w:pPr>
              <w:jc w:val="center"/>
              <w:ind w:left="2021"/>
              <w:spacing w:after="0"/>
              <w:rPr>
                <w:sz w:val="20"/>
                <w:szCs w:val="20"/>
                <w:color w:val="auto"/>
              </w:rPr>
            </w:pPr>
            <w:r>
              <w:rPr>
                <w:rFonts w:ascii="Arial" w:cs="Arial" w:eastAsia="Arial" w:hAnsi="Arial"/>
                <w:sz w:val="14"/>
                <w:szCs w:val="14"/>
                <w:b w:val="1"/>
                <w:bCs w:val="1"/>
                <w:color w:val="auto"/>
                <w:w w:val="88"/>
              </w:rPr>
              <w:t>(Zip Codes)</w:t>
            </w:r>
          </w:p>
        </w:tc>
      </w:tr>
    </w:tbl>
    <w:p>
      <w:pPr>
        <w:spacing w:after="0" w:line="13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Registrant’s telephone number: (713) 513-2000</w:t>
      </w:r>
    </w:p>
    <w:p>
      <w:pPr>
        <w:spacing w:after="0" w:line="96" w:lineRule="exact"/>
        <w:rPr>
          <w:sz w:val="24"/>
          <w:szCs w:val="24"/>
          <w:color w:val="auto"/>
        </w:rPr>
      </w:pPr>
    </w:p>
    <w:p>
      <w:pPr>
        <w:ind w:right="240"/>
        <w:spacing w:after="0" w:line="268"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8"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20"/>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27" w:lineRule="exact"/>
        <w:rPr>
          <w:sz w:val="24"/>
          <w:szCs w:val="24"/>
          <w:color w:val="auto"/>
        </w:rPr>
      </w:pPr>
    </w:p>
    <w:p>
      <w:pPr>
        <w:jc w:val="center"/>
        <w:ind w:right="-19"/>
        <w:spacing w:after="0" w:line="207" w:lineRule="exact"/>
        <w:tabs>
          <w:tab w:leader="none" w:pos="52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right="420"/>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53" w:lineRule="exact"/>
        <w:rPr>
          <w:sz w:val="24"/>
          <w:szCs w:val="24"/>
          <w:color w:val="auto"/>
        </w:rPr>
      </w:pPr>
    </w:p>
    <w:p>
      <w:pPr>
        <w:spacing w:after="0" w:line="207" w:lineRule="exact"/>
        <w:tabs>
          <w:tab w:leader="none" w:pos="1980" w:val="left"/>
          <w:tab w:leader="none" w:pos="3580" w:val="left"/>
          <w:tab w:leader="none" w:pos="55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58" w:lineRule="exact"/>
        <w:rPr>
          <w:sz w:val="24"/>
          <w:szCs w:val="24"/>
          <w:color w:val="auto"/>
        </w:rPr>
      </w:pPr>
    </w:p>
    <w:p>
      <w:pPr>
        <w:ind w:left="4960"/>
        <w:spacing w:after="0" w:line="207" w:lineRule="exact"/>
        <w:tabs>
          <w:tab w:leader="none" w:pos="600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jc w:val="center"/>
              <w:ind w:right="602"/>
              <w:spacing w:after="0"/>
              <w:rPr>
                <w:sz w:val="20"/>
                <w:szCs w:val="20"/>
                <w:color w:val="auto"/>
              </w:rPr>
            </w:pPr>
            <w:r>
              <w:rPr>
                <w:rFonts w:ascii="Arial" w:cs="Arial" w:eastAsia="Arial" w:hAnsi="Arial"/>
                <w:sz w:val="14"/>
                <w:szCs w:val="14"/>
                <w:b w:val="1"/>
                <w:bCs w:val="1"/>
                <w:color w:val="auto"/>
                <w:w w:val="80"/>
              </w:rPr>
              <w:t>Class</w:t>
            </w:r>
          </w:p>
        </w:tc>
        <w:tc>
          <w:tcPr>
            <w:tcW w:w="5120" w:type="dxa"/>
            <w:vAlign w:val="bottom"/>
          </w:tcPr>
          <w:p>
            <w:pPr>
              <w:jc w:val="center"/>
              <w:ind w:right="162"/>
              <w:spacing w:after="0"/>
              <w:rPr>
                <w:sz w:val="20"/>
                <w:szCs w:val="20"/>
                <w:color w:val="auto"/>
              </w:rPr>
            </w:pPr>
            <w:r>
              <w:rPr>
                <w:rFonts w:ascii="Arial" w:cs="Arial" w:eastAsia="Arial" w:hAnsi="Arial"/>
                <w:sz w:val="14"/>
                <w:szCs w:val="14"/>
                <w:b w:val="1"/>
                <w:bCs w:val="1"/>
                <w:color w:val="auto"/>
                <w:w w:val="88"/>
              </w:rPr>
              <w:t>Outstanding at March 31, 2009</w:t>
            </w:r>
          </w:p>
        </w:tc>
      </w:tr>
      <w:tr>
        <w:trPr>
          <w:trHeight w:val="222"/>
        </w:trPr>
        <w:tc>
          <w:tcPr>
            <w:tcW w:w="6300" w:type="dxa"/>
            <w:vAlign w:val="bottom"/>
          </w:tcPr>
          <w:p>
            <w:pPr>
              <w:jc w:val="center"/>
              <w:ind w:right="582"/>
              <w:spacing w:after="0"/>
              <w:rPr>
                <w:sz w:val="20"/>
                <w:szCs w:val="20"/>
                <w:color w:val="auto"/>
              </w:rPr>
            </w:pPr>
            <w:r>
              <w:rPr>
                <w:rFonts w:ascii="Arial" w:cs="Arial" w:eastAsia="Arial" w:hAnsi="Arial"/>
                <w:sz w:val="18"/>
                <w:szCs w:val="18"/>
                <w:color w:val="auto"/>
                <w:w w:val="92"/>
              </w:rPr>
              <w:t>COMMON STOCK, $0.01 PAR VALUE PER SHARE</w:t>
            </w:r>
          </w:p>
        </w:tc>
        <w:tc>
          <w:tcPr>
            <w:tcW w:w="5120" w:type="dxa"/>
            <w:vAlign w:val="bottom"/>
          </w:tcPr>
          <w:p>
            <w:pPr>
              <w:jc w:val="right"/>
              <w:ind w:right="2102"/>
              <w:spacing w:after="0"/>
              <w:rPr>
                <w:sz w:val="20"/>
                <w:szCs w:val="20"/>
                <w:color w:val="auto"/>
              </w:rPr>
            </w:pPr>
            <w:r>
              <w:rPr>
                <w:rFonts w:ascii="Arial" w:cs="Arial" w:eastAsia="Arial" w:hAnsi="Arial"/>
                <w:sz w:val="18"/>
                <w:szCs w:val="18"/>
                <w:color w:val="auto"/>
              </w:rPr>
              <w:t>1,196,406,796</w:t>
            </w:r>
          </w:p>
        </w:tc>
      </w:tr>
      <w:tr>
        <w:trPr>
          <w:trHeight w:val="205"/>
        </w:trPr>
        <w:tc>
          <w:tcPr>
            <w:tcW w:w="6300" w:type="dxa"/>
            <w:vAlign w:val="bottom"/>
            <w:tcBorders>
              <w:bottom w:val="single" w:sz="8" w:color="auto"/>
            </w:tcBorders>
          </w:tcPr>
          <w:p>
            <w:pPr>
              <w:spacing w:after="0"/>
              <w:rPr>
                <w:sz w:val="17"/>
                <w:szCs w:val="17"/>
                <w:color w:val="auto"/>
              </w:rPr>
            </w:pPr>
          </w:p>
        </w:tc>
        <w:tc>
          <w:tcPr>
            <w:tcW w:w="5120" w:type="dxa"/>
            <w:vAlign w:val="bottom"/>
            <w:tcBorders>
              <w:bottom w:val="single" w:sz="8" w:color="auto"/>
            </w:tcBorders>
          </w:tcPr>
          <w:p>
            <w:pPr>
              <w:spacing w:after="0"/>
              <w:rPr>
                <w:sz w:val="17"/>
                <w:szCs w:val="17"/>
                <w:color w:val="auto"/>
              </w:rPr>
            </w:pPr>
          </w:p>
        </w:tc>
      </w:tr>
      <w:tr>
        <w:trPr>
          <w:trHeight w:val="21"/>
        </w:trPr>
        <w:tc>
          <w:tcPr>
            <w:tcW w:w="6300" w:type="dxa"/>
            <w:vAlign w:val="bottom"/>
            <w:tcBorders>
              <w:bottom w:val="single" w:sz="8" w:color="auto"/>
            </w:tcBorders>
          </w:tcPr>
          <w:p>
            <w:pPr>
              <w:spacing w:after="0" w:line="20" w:lineRule="exact"/>
              <w:rPr>
                <w:sz w:val="1"/>
                <w:szCs w:val="1"/>
                <w:color w:val="auto"/>
              </w:rPr>
            </w:pPr>
          </w:p>
        </w:tc>
        <w:tc>
          <w:tcPr>
            <w:tcW w:w="5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SCHLUMBERGER LIMITED</w:t>
      </w:r>
    </w:p>
    <w:p>
      <w:pPr>
        <w:spacing w:after="0" w:line="17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Table of Contents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2009 Form 10-Q</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1660" w:type="dxa"/>
            <w:vAlign w:val="bottom"/>
            <w:gridSpan w:val="6"/>
            <w:vMerge w:val="restart"/>
          </w:tcPr>
          <w:p>
            <w:pPr>
              <w:spacing w:after="0"/>
              <w:rPr>
                <w:rFonts w:ascii="Arial" w:cs="Arial" w:eastAsia="Arial" w:hAnsi="Arial"/>
                <w:sz w:val="18"/>
                <w:szCs w:val="18"/>
                <w:b w:val="1"/>
                <w:bCs w:val="1"/>
                <w:color w:val="0000EE"/>
                <w:w w:val="90"/>
              </w:rPr>
            </w:pPr>
            <w:hyperlink w:anchor="page3">
              <w:r>
                <w:rPr>
                  <w:rFonts w:ascii="Arial" w:cs="Arial" w:eastAsia="Arial" w:hAnsi="Arial"/>
                  <w:sz w:val="18"/>
                  <w:szCs w:val="18"/>
                  <w:b w:val="1"/>
                  <w:bCs w:val="1"/>
                  <w:color w:val="0000EE"/>
                  <w:w w:val="90"/>
                </w:rPr>
                <w:t>Financial Information</w:t>
              </w:r>
            </w:hyperlink>
          </w:p>
        </w:tc>
        <w:tc>
          <w:tcPr>
            <w:tcW w:w="8360" w:type="dxa"/>
            <w:vAlign w:val="bottom"/>
            <w:gridSpan w:val="7"/>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vMerge w:val="continue"/>
          </w:tcPr>
          <w:p>
            <w:pPr>
              <w:spacing w:after="0"/>
              <w:rPr>
                <w:sz w:val="14"/>
                <w:szCs w:val="14"/>
                <w:color w:val="auto"/>
              </w:rPr>
            </w:pPr>
          </w:p>
        </w:tc>
        <w:tc>
          <w:tcPr>
            <w:tcW w:w="1660" w:type="dxa"/>
            <w:vAlign w:val="bottom"/>
            <w:tcBorders>
              <w:bottom w:val="single" w:sz="8" w:color="0000EE"/>
            </w:tcBorders>
            <w:gridSpan w:val="6"/>
            <w:vMerge w:val="continue"/>
          </w:tcPr>
          <w:p>
            <w:pPr>
              <w:spacing w:after="0"/>
              <w:rPr>
                <w:sz w:val="14"/>
                <w:szCs w:val="14"/>
                <w:color w:val="auto"/>
              </w:rPr>
            </w:pPr>
          </w:p>
        </w:tc>
        <w:tc>
          <w:tcPr>
            <w:tcW w:w="8360" w:type="dxa"/>
            <w:vAlign w:val="bottom"/>
            <w:gridSpan w:val="7"/>
            <w:vMerge w:val="continue"/>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0020" w:type="dxa"/>
            <w:vAlign w:val="bottom"/>
            <w:gridSpan w:val="1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Management’s Discussion and Analysis of Financial Condition and Results of Operations</w:t>
              </w:r>
            </w:hyperlink>
          </w:p>
        </w:tc>
        <w:tc>
          <w:tcPr>
            <w:tcW w:w="372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2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Quantitative and Qualitative Disclosures about Market Risk</w:t>
              </w:r>
            </w:hyperlink>
          </w:p>
        </w:tc>
        <w:tc>
          <w:tcPr>
            <w:tcW w:w="582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720" w:type="dxa"/>
            <w:vAlign w:val="bottom"/>
            <w:tcBorders>
              <w:top w:val="single" w:sz="8" w:color="0000EE"/>
            </w:tcBorders>
            <w:gridSpan w:val="7"/>
          </w:tcPr>
          <w:p>
            <w:pPr>
              <w:spacing w:after="0"/>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Other Information</w:t>
              </w:r>
            </w:hyperlink>
          </w:p>
        </w:tc>
        <w:tc>
          <w:tcPr>
            <w:tcW w:w="830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13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160" w:type="dxa"/>
            <w:vAlign w:val="bottom"/>
            <w:tcBorders>
              <w:top w:val="single" w:sz="8" w:color="0000EE"/>
            </w:tcBorders>
          </w:tcPr>
          <w:p>
            <w:pPr>
              <w:spacing w:after="0"/>
              <w:rPr>
                <w:sz w:val="17"/>
                <w:szCs w:val="17"/>
                <w:color w:val="auto"/>
              </w:rPr>
            </w:pPr>
          </w:p>
        </w:tc>
        <w:tc>
          <w:tcPr>
            <w:tcW w:w="856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2"/>
          </w:tcPr>
          <w:p>
            <w:pPr>
              <w:spacing w:after="0" w:line="196" w:lineRule="exact"/>
              <w:rPr>
                <w:rFonts w:ascii="Arial" w:cs="Arial" w:eastAsia="Arial" w:hAnsi="Arial"/>
                <w:sz w:val="18"/>
                <w:szCs w:val="18"/>
                <w:color w:val="0000EE"/>
                <w:w w:val="85"/>
              </w:rPr>
            </w:pPr>
            <w:hyperlink w:anchor="page26">
              <w:r>
                <w:rPr>
                  <w:rFonts w:ascii="Arial" w:cs="Arial" w:eastAsia="Arial" w:hAnsi="Arial"/>
                  <w:sz w:val="18"/>
                  <w:szCs w:val="18"/>
                  <w:color w:val="0000EE"/>
                  <w:w w:val="85"/>
                </w:rPr>
                <w:t>Risk Factors</w:t>
              </w:r>
            </w:hyperlink>
          </w:p>
        </w:tc>
        <w:tc>
          <w:tcPr>
            <w:tcW w:w="91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1"/>
          </w:tcPr>
          <w:p>
            <w:pPr>
              <w:spacing w:after="0" w:line="196" w:lineRule="exact"/>
              <w:rPr>
                <w:rFonts w:ascii="Arial" w:cs="Arial" w:eastAsia="Arial" w:hAnsi="Arial"/>
                <w:sz w:val="18"/>
                <w:szCs w:val="18"/>
                <w:color w:val="0000EE"/>
                <w:w w:val="86"/>
              </w:rPr>
            </w:pPr>
            <w:hyperlink w:anchor="page26">
              <w:r>
                <w:rPr>
                  <w:rFonts w:ascii="Arial" w:cs="Arial" w:eastAsia="Arial" w:hAnsi="Arial"/>
                  <w:sz w:val="18"/>
                  <w:szCs w:val="18"/>
                  <w:color w:val="0000EE"/>
                  <w:w w:val="86"/>
                </w:rPr>
                <w:t>Unregistered Sales of Equity Securities and Use of Proceeds</w:t>
              </w:r>
            </w:hyperlink>
          </w:p>
        </w:tc>
        <w:tc>
          <w:tcPr>
            <w:tcW w:w="578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002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Defaults Upon Senior Securities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980" w:type="dxa"/>
            <w:vAlign w:val="bottom"/>
            <w:gridSpan w:val="5"/>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36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020" w:type="dxa"/>
            <w:vAlign w:val="bottom"/>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Submission of Matters to a Vote of Security 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12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Other Information</w:t>
              </w:r>
            </w:hyperlink>
          </w:p>
        </w:tc>
        <w:tc>
          <w:tcPr>
            <w:tcW w:w="2380" w:type="dxa"/>
            <w:vAlign w:val="bottom"/>
            <w:tcBorders>
              <w:top w:val="single" w:sz="8" w:color="0000EE"/>
            </w:tcBorders>
            <w:gridSpan w:val="6"/>
          </w:tcPr>
          <w:p>
            <w:pPr>
              <w:spacing w:after="0"/>
              <w:rPr>
                <w:sz w:val="17"/>
                <w:szCs w:val="17"/>
                <w:color w:val="auto"/>
              </w:rPr>
            </w:pPr>
          </w:p>
        </w:tc>
        <w:tc>
          <w:tcPr>
            <w:tcW w:w="636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02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440" w:type="dxa"/>
            <w:vAlign w:val="bottom"/>
            <w:gridSpan w:val="1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1120" w:type="dxa"/>
            <w:vAlign w:val="bottom"/>
          </w:tcPr>
          <w:p>
            <w:pPr>
              <w:spacing w:after="0"/>
              <w:rPr>
                <w:sz w:val="20"/>
                <w:szCs w:val="20"/>
                <w:color w:val="auto"/>
              </w:rPr>
            </w:pPr>
          </w:p>
        </w:tc>
        <w:tc>
          <w:tcPr>
            <w:tcW w:w="10020" w:type="dxa"/>
            <w:vAlign w:val="bottom"/>
            <w:gridSpan w:val="13"/>
          </w:tcPr>
          <w:p>
            <w:pPr>
              <w:spacing w:after="0"/>
              <w:rPr>
                <w:sz w:val="20"/>
                <w:szCs w:val="20"/>
                <w:color w:val="auto"/>
              </w:rPr>
            </w:pPr>
            <w:r>
              <w:rPr>
                <w:rFonts w:ascii="Arial" w:cs="Arial" w:eastAsia="Arial" w:hAnsi="Arial"/>
                <w:sz w:val="18"/>
                <w:szCs w:val="18"/>
                <w:color w:val="auto"/>
              </w:rPr>
              <w:t>Certifications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1120" w:type="dxa"/>
            <w:vAlign w:val="bottom"/>
          </w:tcPr>
          <w:p>
            <w:pPr>
              <w:spacing w:after="0"/>
              <w:rPr>
                <w:sz w:val="24"/>
                <w:szCs w:val="24"/>
                <w:color w:val="auto"/>
              </w:rPr>
            </w:pPr>
          </w:p>
        </w:tc>
        <w:tc>
          <w:tcPr>
            <w:tcW w:w="6300" w:type="dxa"/>
            <w:vAlign w:val="bottom"/>
            <w:gridSpan w:val="12"/>
          </w:tcPr>
          <w:p>
            <w:pPr>
              <w:ind w:left="456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00" w:type="dxa"/>
            <w:vAlign w:val="bottom"/>
          </w:tcPr>
          <w:p>
            <w:pPr>
              <w:jc w:val="center"/>
              <w:ind w:left="1832"/>
              <w:spacing w:after="0"/>
              <w:rPr>
                <w:sz w:val="20"/>
                <w:szCs w:val="20"/>
                <w:color w:val="auto"/>
              </w:rPr>
            </w:pPr>
            <w:r>
              <w:rPr>
                <w:rFonts w:ascii="Arial" w:cs="Arial" w:eastAsia="Arial" w:hAnsi="Arial"/>
                <w:sz w:val="18"/>
                <w:szCs w:val="18"/>
                <w:b w:val="1"/>
                <w:bCs w:val="1"/>
                <w:color w:val="auto"/>
                <w:w w:val="99"/>
              </w:rPr>
              <w:t>PART I. FINANCIAL INFORMATION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500" w:type="dxa"/>
            <w:vAlign w:val="bottom"/>
          </w:tcPr>
          <w:p>
            <w:pPr>
              <w:ind w:left="40"/>
              <w:spacing w:after="0"/>
              <w:rPr>
                <w:sz w:val="20"/>
                <w:szCs w:val="20"/>
                <w:color w:val="auto"/>
              </w:rPr>
            </w:pPr>
            <w:r>
              <w:rPr>
                <w:rFonts w:ascii="Arial" w:cs="Arial" w:eastAsia="Arial" w:hAnsi="Arial"/>
                <w:sz w:val="18"/>
                <w:szCs w:val="18"/>
                <w:b w:val="1"/>
                <w:bCs w:val="1"/>
                <w:color w:val="auto"/>
              </w:rPr>
              <w:t>Financial Statements.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jc w:val="center"/>
              <w:ind w:left="1852"/>
              <w:spacing w:after="0"/>
              <w:rPr>
                <w:sz w:val="20"/>
                <w:szCs w:val="20"/>
                <w:color w:val="auto"/>
              </w:rPr>
            </w:pPr>
            <w:r>
              <w:rPr>
                <w:rFonts w:ascii="Arial" w:cs="Arial" w:eastAsia="Arial" w:hAnsi="Arial"/>
                <w:sz w:val="18"/>
                <w:szCs w:val="18"/>
                <w:b w:val="1"/>
                <w:bCs w:val="1"/>
                <w:color w:val="auto"/>
                <w:w w:val="99"/>
              </w:rPr>
              <w:t>SCHLUMBERGER LIMITED AND SUBSIDIARIES</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jc w:val="center"/>
              <w:ind w:left="1852"/>
              <w:spacing w:after="0"/>
              <w:rPr>
                <w:sz w:val="20"/>
                <w:szCs w:val="20"/>
                <w:color w:val="auto"/>
              </w:rPr>
            </w:pPr>
            <w:r>
              <w:rPr>
                <w:rFonts w:ascii="Arial" w:cs="Arial" w:eastAsia="Arial" w:hAnsi="Arial"/>
                <w:sz w:val="18"/>
                <w:szCs w:val="18"/>
                <w:b w:val="1"/>
                <w:bCs w:val="1"/>
                <w:color w:val="auto"/>
                <w:w w:val="98"/>
              </w:rPr>
              <w:t>CONSOLIDATED STATEMENT OF INCOME</w:t>
            </w: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500" w:type="dxa"/>
            <w:vAlign w:val="bottom"/>
          </w:tcPr>
          <w:p>
            <w:pPr>
              <w:jc w:val="center"/>
              <w:ind w:left="1832"/>
              <w:spacing w:after="0"/>
              <w:rPr>
                <w:sz w:val="20"/>
                <w:szCs w:val="20"/>
                <w:color w:val="auto"/>
              </w:rPr>
            </w:pPr>
            <w:r>
              <w:rPr>
                <w:rFonts w:ascii="Arial" w:cs="Arial" w:eastAsia="Arial" w:hAnsi="Arial"/>
                <w:sz w:val="18"/>
                <w:szCs w:val="18"/>
                <w:b w:val="1"/>
                <w:bCs w:val="1"/>
                <w:color w:val="auto"/>
                <w:w w:val="89"/>
              </w:rPr>
              <w:t>(Unaudited)</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8"/>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4"/>
          </w:tcPr>
          <w:p>
            <w:pPr>
              <w:jc w:val="center"/>
              <w:ind w:left="516"/>
              <w:spacing w:after="0"/>
              <w:rPr>
                <w:sz w:val="20"/>
                <w:szCs w:val="20"/>
                <w:color w:val="auto"/>
              </w:rPr>
            </w:pPr>
            <w:r>
              <w:rPr>
                <w:rFonts w:ascii="Arial" w:cs="Arial" w:eastAsia="Arial" w:hAnsi="Arial"/>
                <w:sz w:val="14"/>
                <w:szCs w:val="14"/>
                <w:b w:val="1"/>
                <w:bCs w:val="1"/>
                <w:color w:val="auto"/>
                <w:w w:val="89"/>
              </w:rPr>
              <w:t>March 31,</w:t>
            </w: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5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2009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140"/>
              <w:spacing w:after="0" w:line="129" w:lineRule="exact"/>
              <w:rPr>
                <w:sz w:val="20"/>
                <w:szCs w:val="20"/>
                <w:color w:val="auto"/>
              </w:rPr>
            </w:pPr>
            <w:r>
              <w:rPr>
                <w:rFonts w:ascii="Arial" w:cs="Arial" w:eastAsia="Arial" w:hAnsi="Arial"/>
                <w:sz w:val="14"/>
                <w:szCs w:val="14"/>
                <w:b w:val="1"/>
                <w:bCs w:val="1"/>
                <w:color w:val="auto"/>
                <w:w w:val="87"/>
              </w:rPr>
              <w:t>(Stated in</w:t>
            </w:r>
          </w:p>
        </w:tc>
        <w:tc>
          <w:tcPr>
            <w:tcW w:w="1260" w:type="dxa"/>
            <w:vAlign w:val="bottom"/>
            <w:gridSpan w:val="4"/>
          </w:tcPr>
          <w:p>
            <w:pPr>
              <w:jc w:val="right"/>
              <w:ind w:right="173"/>
              <w:spacing w:after="0" w:line="129" w:lineRule="exact"/>
              <w:rPr>
                <w:sz w:val="20"/>
                <w:szCs w:val="20"/>
                <w:color w:val="auto"/>
              </w:rPr>
            </w:pPr>
            <w:r>
              <w:rPr>
                <w:rFonts w:ascii="Arial" w:cs="Arial" w:eastAsia="Arial" w:hAnsi="Arial"/>
                <w:sz w:val="14"/>
                <w:szCs w:val="14"/>
                <w:b w:val="1"/>
                <w:bCs w:val="1"/>
                <w:color w:val="auto"/>
                <w:w w:val="82"/>
              </w:rPr>
              <w:t>thousands except</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6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5"/>
              </w:rPr>
              <w:t>per share amounts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7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7"/>
              </w:rPr>
              <w:t>5,999,989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6,289,873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Interest &amp; other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76,946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102,230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Cost of goods sold &amp; services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87"/>
              </w:rPr>
              <w:t>4,488,524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4,358,295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189,516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Marketing</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21,071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22,968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130,288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138,332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tcPr>
          <w:p>
            <w:pPr>
              <w:ind w:left="420"/>
              <w:spacing w:after="0"/>
              <w:rPr>
                <w:sz w:val="20"/>
                <w:szCs w:val="20"/>
                <w:color w:val="auto"/>
              </w:rPr>
            </w:pPr>
            <w:r>
              <w:rPr>
                <w:rFonts w:ascii="Arial" w:cs="Arial" w:eastAsia="Arial" w:hAnsi="Arial"/>
                <w:sz w:val="18"/>
                <w:szCs w:val="18"/>
                <w:color w:val="auto"/>
                <w:w w:val="89"/>
              </w:rPr>
              <w:t>Interest</w:t>
            </w:r>
          </w:p>
        </w:tc>
        <w:tc>
          <w:tcPr>
            <w:tcW w:w="75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55,072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66,041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taxes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7"/>
              </w:rPr>
              <w:t>1,192,464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1,615,436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Taxes on income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rPr>
              <w:t>252,079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308,587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940,385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1,306,849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spacing w:after="0"/>
              <w:rPr>
                <w:sz w:val="20"/>
                <w:szCs w:val="20"/>
                <w:color w:val="auto"/>
              </w:rPr>
            </w:pPr>
            <w:r>
              <w:rPr>
                <w:rFonts w:ascii="Arial" w:cs="Arial" w:eastAsia="Arial" w:hAnsi="Arial"/>
                <w:sz w:val="18"/>
                <w:szCs w:val="18"/>
                <w:color w:val="auto"/>
              </w:rPr>
              <w:t>Discontinued Operations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940,385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1,344,699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12"/>
              <w:spacing w:after="0"/>
              <w:rPr>
                <w:sz w:val="20"/>
                <w:szCs w:val="20"/>
                <w:color w:val="auto"/>
              </w:rPr>
            </w:pPr>
            <w:r>
              <w:rPr>
                <w:rFonts w:ascii="Arial" w:cs="Arial" w:eastAsia="Arial" w:hAnsi="Arial"/>
                <w:sz w:val="18"/>
                <w:szCs w:val="18"/>
                <w:b w:val="1"/>
                <w:bCs w:val="1"/>
                <w:color w:val="auto"/>
              </w:rPr>
              <w:t>(1,924)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75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Schlumberger</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938,461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1,338,304</w:t>
            </w: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Schlumberger amounts attributable to:</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938,461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1,300,454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938,461</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1,338,304</w:t>
            </w: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Basic earnings per share of Schlumberger:</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0.78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Discontinued Operations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0.78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earnings per share of Schlumberger:</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0.78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Income from Discontinued Operations</w:t>
            </w:r>
          </w:p>
        </w:tc>
        <w:tc>
          <w:tcPr>
            <w:tcW w:w="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7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0.78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
        </w:trPr>
        <w:tc>
          <w:tcPr>
            <w:tcW w:w="85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Average shares outstanding:</w:t>
            </w:r>
          </w:p>
        </w:tc>
        <w:tc>
          <w:tcPr>
            <w:tcW w:w="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500" w:type="dxa"/>
            <w:vAlign w:val="bottom"/>
            <w:gridSpan w:val="3"/>
            <w:vMerge w:val="continue"/>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75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b w:val="1"/>
                <w:bCs w:val="1"/>
                <w:color w:val="auto"/>
                <w:w w:val="87"/>
              </w:rPr>
              <w:t>1,195,778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1,195,995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480" w:type="dxa"/>
            <w:vAlign w:val="bottom"/>
            <w:gridSpan w:val="2"/>
          </w:tcPr>
          <w:p>
            <w:pPr>
              <w:ind w:left="420"/>
              <w:spacing w:after="0"/>
              <w:rPr>
                <w:sz w:val="20"/>
                <w:szCs w:val="20"/>
                <w:color w:val="auto"/>
              </w:rPr>
            </w:pPr>
            <w:r>
              <w:rPr>
                <w:rFonts w:ascii="Arial" w:cs="Arial" w:eastAsia="Arial" w:hAnsi="Arial"/>
                <w:sz w:val="18"/>
                <w:szCs w:val="18"/>
                <w:color w:val="auto"/>
              </w:rPr>
              <w:t>Assuming dilution</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172"/>
              <w:spacing w:after="0"/>
              <w:rPr>
                <w:sz w:val="20"/>
                <w:szCs w:val="20"/>
                <w:color w:val="auto"/>
              </w:rPr>
            </w:pPr>
            <w:r>
              <w:rPr>
                <w:rFonts w:ascii="Arial" w:cs="Arial" w:eastAsia="Arial" w:hAnsi="Arial"/>
                <w:sz w:val="18"/>
                <w:szCs w:val="18"/>
                <w:b w:val="1"/>
                <w:bCs w:val="1"/>
                <w:color w:val="auto"/>
                <w:w w:val="87"/>
              </w:rPr>
              <w:t>1,209,822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1,233,244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4"/>
              </w:rPr>
              <w:t>Mar. 31, 2009</w:t>
            </w:r>
          </w:p>
        </w:tc>
        <w:tc>
          <w:tcPr>
            <w:tcW w:w="1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6"/>
              </w:rPr>
              <w:t>Dec. 31, 2008</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(Unaudited)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(Stated in thousands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191,695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188,928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Short-term investments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3,994,063</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3,502,742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Receivables less allowance for doubtful accounts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6,653,060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(2009—$152,687; 2008—$133,185)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gridSpan w:val="2"/>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6,257,861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2,029,800</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1,918,503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178,536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184,063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887,300</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841,580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13,934,454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12,893,677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INCOME INVESTMENTS, HELD TO MATURITY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452,937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469,937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AFFILIATED COMPANIES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1,942,523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1,869,820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FIXED ASSETS LESS ACCUMULATED DEPRECIATION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9,758,322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9,690,340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MULTICLIENT SEISMIC DATA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284,889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5,118,965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5,188,996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794,453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819,986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DEFERRED TAXES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482,791</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564,648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227,807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32,997,141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31,990,725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4,902,494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5,268,019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Estimated liability for taxes on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956,595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1,006,816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252,825</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Long-term debt—current portion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989,567</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1,137,937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Bank &amp; short-term loans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601,056</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459,434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7,702,537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8,124,650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321,334</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321,334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4,254,129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3,372,183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2,142,581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2,369,448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891,767</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868,818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15,312,348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15,056,433</w:t>
            </w: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4,719,066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4,667,999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Treasury stock</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(4,716,754)</w:t>
            </w: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(4,795,687)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0"/>
              </w:rPr>
              <w:t>20,578,132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5"/>
              </w:rPr>
              <w:t>19,890,842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w w:val="95"/>
              </w:rPr>
              <w:t>(2,968,605)</w:t>
            </w:r>
          </w:p>
        </w:tc>
        <w:tc>
          <w:tcPr>
            <w:tcW w:w="10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(2,900,785)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17,611,839</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16,862,369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72,954</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71,923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17,684,793</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16,934,292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0"/>
              </w:rPr>
              <w:t>32,997,141</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w w:val="95"/>
              </w:rPr>
              <w:t>31,990,725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CONSOLIDATED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7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1320" w:type="dxa"/>
            <w:vAlign w:val="bottom"/>
            <w:gridSpan w:val="4"/>
          </w:tcPr>
          <w:p>
            <w:pPr>
              <w:jc w:val="right"/>
              <w:ind w:right="39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940,385</w:t>
            </w:r>
          </w:p>
        </w:tc>
        <w:tc>
          <w:tcPr>
            <w:tcW w:w="2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1,344,699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Less: Income from discontinued operations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609,243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516,689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Earnings of companies carried at equity, less dividends received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(54,792)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77,953</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47,347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40,836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Provision for losses on accounts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22,165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Other non-cash items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16,866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Change in assets and liabilities </w:t>
            </w:r>
            <w:r>
              <w:rPr>
                <w:rFonts w:ascii="Arial" w:cs="Arial" w:eastAsia="Arial" w:hAnsi="Arial"/>
                <w:sz w:val="22"/>
                <w:szCs w:val="22"/>
                <w:color w:val="auto"/>
                <w:vertAlign w:val="superscript"/>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Increase in receivables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(428,957)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(349,124)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Increase in inventories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(117,635)</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(124,823)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Increase in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(48,290)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(121,663)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accounts payable and accrued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(285,137)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Decrease in estimated liability for taxes on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(41,618)</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(53,820)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Decrease in postretirement benefits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(189,940)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860"/>
              <w:spacing w:after="0"/>
              <w:rPr>
                <w:sz w:val="20"/>
                <w:szCs w:val="20"/>
                <w:color w:val="auto"/>
              </w:rPr>
            </w:pPr>
            <w:r>
              <w:rPr>
                <w:rFonts w:ascii="Arial" w:cs="Arial" w:eastAsia="Arial" w:hAnsi="Arial"/>
                <w:sz w:val="18"/>
                <w:szCs w:val="18"/>
                <w:color w:val="auto"/>
              </w:rPr>
              <w:t>Increase in other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23,048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Other—net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(19,990)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(84,607)</w:t>
            </w:r>
          </w:p>
        </w:tc>
        <w:tc>
          <w:tcPr>
            <w:tcW w:w="0" w:type="dxa"/>
            <w:vAlign w:val="bottom"/>
          </w:tcPr>
          <w:p>
            <w:pPr>
              <w:spacing w:after="0"/>
              <w:rPr>
                <w:sz w:val="1"/>
                <w:szCs w:val="1"/>
                <w:color w:val="auto"/>
              </w:rPr>
            </w:pPr>
          </w:p>
        </w:tc>
      </w:tr>
      <w:tr>
        <w:trPr>
          <w:trHeight w:val="230"/>
        </w:trPr>
        <w:tc>
          <w:tcPr>
            <w:tcW w:w="9180" w:type="dxa"/>
            <w:vAlign w:val="bottom"/>
            <w:gridSpan w:val="3"/>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550,648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1,129,896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Capital expenditures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(748,313)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w w:val="98"/>
              </w:rPr>
              <w:t>(751,776)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Multiclient seismic data capitalized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(48,170)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Business acquisitions, net of cash acquired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(12,479)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(24,267)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Purchases of investments,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(475,207)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66,883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(50,473)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BY INVESTING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w w:val="86"/>
              </w:rPr>
              <w:t>(1,217,286)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(913,463)</w:t>
            </w:r>
          </w:p>
        </w:tc>
        <w:tc>
          <w:tcPr>
            <w:tcW w:w="0" w:type="dxa"/>
            <w:vAlign w:val="bottom"/>
          </w:tcPr>
          <w:p>
            <w:pPr>
              <w:spacing w:after="0"/>
              <w:rPr>
                <w:sz w:val="1"/>
                <w:szCs w:val="1"/>
                <w:color w:val="auto"/>
              </w:rPr>
            </w:pPr>
          </w:p>
        </w:tc>
      </w:tr>
      <w:tr>
        <w:trPr>
          <w:trHeight w:val="222"/>
        </w:trPr>
        <w:tc>
          <w:tcPr>
            <w:tcW w:w="9180" w:type="dxa"/>
            <w:vAlign w:val="bottom"/>
            <w:gridSpan w:val="3"/>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(250,790)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(209,204)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Proceeds from employee stock purchase plan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1,040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12,989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Proceeds from exercise of stock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13,897</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Stock options windfall tax benefit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3,866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88,038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 plan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92"/>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(564,302)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Proceeds from issuance of long-term debt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w w:val="92"/>
              </w:rPr>
              <w:t>1,286,868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342,444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Repayment of long-term debt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(520,599)</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(72,321)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60" w:type="dxa"/>
            <w:vAlign w:val="bottom"/>
            <w:gridSpan w:val="2"/>
          </w:tcPr>
          <w:p>
            <w:pPr>
              <w:ind w:left="420"/>
              <w:spacing w:after="0"/>
              <w:rPr>
                <w:sz w:val="20"/>
                <w:szCs w:val="20"/>
                <w:color w:val="auto"/>
              </w:rPr>
            </w:pPr>
            <w:r>
              <w:rPr>
                <w:rFonts w:ascii="Arial" w:cs="Arial" w:eastAsia="Arial" w:hAnsi="Arial"/>
                <w:sz w:val="18"/>
                <w:szCs w:val="18"/>
                <w:color w:val="auto"/>
              </w:rPr>
              <w:t>Net increase in short-term debt</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137,104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671,386</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(332,895)</w:t>
            </w:r>
          </w:p>
        </w:tc>
        <w:tc>
          <w:tcPr>
            <w:tcW w:w="0" w:type="dxa"/>
            <w:vAlign w:val="bottom"/>
          </w:tcPr>
          <w:p>
            <w:pPr>
              <w:spacing w:after="0"/>
              <w:rPr>
                <w:sz w:val="1"/>
                <w:szCs w:val="1"/>
                <w:color w:val="auto"/>
              </w:rPr>
            </w:pPr>
          </w:p>
        </w:tc>
      </w:tr>
      <w:tr>
        <w:trPr>
          <w:trHeight w:val="230"/>
        </w:trPr>
        <w:tc>
          <w:tcPr>
            <w:tcW w:w="9180" w:type="dxa"/>
            <w:vAlign w:val="bottom"/>
            <w:gridSpan w:val="3"/>
          </w:tcPr>
          <w:p>
            <w:pPr>
              <w:spacing w:after="0"/>
              <w:rPr>
                <w:sz w:val="20"/>
                <w:szCs w:val="20"/>
                <w:color w:val="auto"/>
              </w:rPr>
            </w:pPr>
            <w:r>
              <w:rPr>
                <w:rFonts w:ascii="Arial" w:cs="Arial" w:eastAsia="Arial" w:hAnsi="Arial"/>
                <w:sz w:val="18"/>
                <w:szCs w:val="18"/>
                <w:color w:val="auto"/>
              </w:rPr>
              <w:t>Cash flow from discontinued operations—operating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63,382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(decrease) in cash before translation effect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4,748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Translation effect on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(1,981)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beginning of period</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188,928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80" w:type="dxa"/>
            <w:vAlign w:val="bottom"/>
            <w:gridSpan w:val="3"/>
          </w:tcPr>
          <w:p>
            <w:pPr>
              <w:spacing w:after="0"/>
              <w:rPr>
                <w:sz w:val="20"/>
                <w:szCs w:val="20"/>
                <w:color w:val="auto"/>
              </w:rPr>
            </w:pPr>
            <w:r>
              <w:rPr>
                <w:rFonts w:ascii="Arial" w:cs="Arial" w:eastAsia="Arial" w:hAnsi="Arial"/>
                <w:sz w:val="18"/>
                <w:szCs w:val="18"/>
                <w:color w:val="auto"/>
              </w:rPr>
              <w:t>Cash, end of period</w:t>
            </w: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191,695</w:t>
            </w:r>
          </w:p>
        </w:tc>
        <w:tc>
          <w:tcPr>
            <w:tcW w:w="28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145,093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802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(2)</w:t>
        <w:tab/>
        <w:t>Net of the effect of business acquisitions.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CONSOLIDATED STATEMENT OF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00" w:type="dxa"/>
            <w:vAlign w:val="bottom"/>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2000" w:type="dxa"/>
            <w:vAlign w:val="bottom"/>
            <w:gridSpan w:val="6"/>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480"/>
              <w:spacing w:after="0" w:line="148" w:lineRule="exact"/>
              <w:rPr>
                <w:sz w:val="20"/>
                <w:szCs w:val="20"/>
                <w:color w:val="auto"/>
              </w:rPr>
            </w:pPr>
            <w:r>
              <w:rPr>
                <w:rFonts w:ascii="Arial" w:cs="Arial" w:eastAsia="Arial" w:hAnsi="Arial"/>
                <w:sz w:val="14"/>
                <w:szCs w:val="14"/>
                <w:b w:val="1"/>
                <w:bCs w:val="1"/>
                <w:color w:val="auto"/>
                <w:w w:val="90"/>
              </w:rPr>
              <w:t>Other</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2"/>
          </w:tcPr>
          <w:p>
            <w:pPr>
              <w:jc w:val="right"/>
              <w:ind w:right="500"/>
              <w:spacing w:after="0" w:line="129" w:lineRule="exact"/>
              <w:rPr>
                <w:sz w:val="20"/>
                <w:szCs w:val="20"/>
                <w:color w:val="auto"/>
              </w:rPr>
            </w:pPr>
            <w:r>
              <w:rPr>
                <w:rFonts w:ascii="Arial" w:cs="Arial" w:eastAsia="Arial" w:hAnsi="Arial"/>
                <w:sz w:val="14"/>
                <w:szCs w:val="14"/>
                <w:b w:val="1"/>
                <w:bCs w:val="1"/>
                <w:color w:val="auto"/>
              </w:rPr>
              <w:t>Retained</w:t>
            </w:r>
          </w:p>
        </w:tc>
        <w:tc>
          <w:tcPr>
            <w:tcW w:w="1380" w:type="dxa"/>
            <w:vAlign w:val="bottom"/>
            <w:gridSpan w:val="3"/>
          </w:tcPr>
          <w:p>
            <w:pPr>
              <w:jc w:val="center"/>
              <w:ind w:right="400"/>
              <w:spacing w:after="0" w:line="129" w:lineRule="exact"/>
              <w:rPr>
                <w:sz w:val="20"/>
                <w:szCs w:val="20"/>
                <w:color w:val="auto"/>
              </w:rPr>
            </w:pPr>
            <w:r>
              <w:rPr>
                <w:rFonts w:ascii="Arial" w:cs="Arial" w:eastAsia="Arial" w:hAnsi="Arial"/>
                <w:sz w:val="14"/>
                <w:szCs w:val="14"/>
                <w:b w:val="1"/>
                <w:bCs w:val="1"/>
                <w:color w:val="auto"/>
                <w:w w:val="85"/>
              </w:rPr>
              <w:t>Comprehensive</w:t>
            </w:r>
          </w:p>
        </w:tc>
        <w:tc>
          <w:tcPr>
            <w:tcW w:w="1360" w:type="dxa"/>
            <w:vAlign w:val="bottom"/>
            <w:gridSpan w:val="3"/>
          </w:tcPr>
          <w:p>
            <w:pPr>
              <w:jc w:val="right"/>
              <w:ind w:right="440"/>
              <w:spacing w:after="0" w:line="129" w:lineRule="exact"/>
              <w:rPr>
                <w:sz w:val="20"/>
                <w:szCs w:val="20"/>
                <w:color w:val="auto"/>
              </w:rPr>
            </w:pPr>
            <w:r>
              <w:rPr>
                <w:rFonts w:ascii="Arial" w:cs="Arial" w:eastAsia="Arial" w:hAnsi="Arial"/>
                <w:sz w:val="14"/>
                <w:szCs w:val="14"/>
                <w:b w:val="1"/>
                <w:bCs w:val="1"/>
                <w:color w:val="auto"/>
                <w:w w:val="90"/>
              </w:rPr>
              <w:t>Noncontrolling</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In Treasury</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Earnings</w:t>
            </w:r>
          </w:p>
        </w:tc>
        <w:tc>
          <w:tcPr>
            <w:tcW w:w="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6"/>
              </w:rPr>
              <w:t>Income (Loss)</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w w:val="95"/>
              </w:rPr>
              <w:t>Interests</w:t>
            </w: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500" w:type="dxa"/>
            <w:vAlign w:val="bottom"/>
            <w:gridSpan w:val="5"/>
          </w:tcPr>
          <w:p>
            <w:pPr>
              <w:jc w:val="right"/>
              <w:ind w:right="680"/>
              <w:spacing w:after="0" w:line="142" w:lineRule="exact"/>
              <w:rPr>
                <w:sz w:val="20"/>
                <w:szCs w:val="20"/>
                <w:color w:val="auto"/>
              </w:rPr>
            </w:pPr>
            <w:r>
              <w:rPr>
                <w:rFonts w:ascii="Arial" w:cs="Arial" w:eastAsia="Arial" w:hAnsi="Arial"/>
                <w:sz w:val="14"/>
                <w:szCs w:val="14"/>
                <w:b w:val="1"/>
                <w:bCs w:val="1"/>
                <w:color w:val="auto"/>
              </w:rPr>
              <w:t>(Stated in thousands)</w:t>
            </w: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January 1, 2009</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$ 4,667,999</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(4,795,687)</w:t>
            </w: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$ 19,890,842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(2,900,785)</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71,923</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16,934,292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Net income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938,461</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1,924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420"/>
              <w:spacing w:after="0" w:line="149" w:lineRule="exact"/>
              <w:rPr>
                <w:sz w:val="20"/>
                <w:szCs w:val="20"/>
                <w:color w:val="auto"/>
              </w:rPr>
            </w:pPr>
            <w:r>
              <w:rPr>
                <w:rFonts w:ascii="Arial" w:cs="Arial" w:eastAsia="Arial" w:hAnsi="Arial"/>
                <w:sz w:val="14"/>
                <w:szCs w:val="14"/>
                <w:color w:val="auto"/>
              </w:rPr>
              <w:t>Currency translation adjustments</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(117,929)</w:t>
            </w:r>
          </w:p>
        </w:tc>
        <w:tc>
          <w:tcPr>
            <w:tcW w:w="14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ind w:left="420"/>
              <w:spacing w:after="0" w:line="149" w:lineRule="exact"/>
              <w:rPr>
                <w:sz w:val="20"/>
                <w:szCs w:val="20"/>
                <w:color w:val="auto"/>
              </w:rPr>
            </w:pPr>
            <w:r>
              <w:rPr>
                <w:rFonts w:ascii="Arial" w:cs="Arial" w:eastAsia="Arial" w:hAnsi="Arial"/>
                <w:sz w:val="14"/>
                <w:szCs w:val="14"/>
                <w:color w:val="auto"/>
              </w:rPr>
              <w:t>Changes in fair value of derivatives</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12,382</w:t>
            </w: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ind w:left="420"/>
              <w:spacing w:after="0" w:line="149" w:lineRule="exact"/>
              <w:rPr>
                <w:sz w:val="20"/>
                <w:szCs w:val="20"/>
                <w:color w:val="auto"/>
              </w:rPr>
            </w:pPr>
            <w:r>
              <w:rPr>
                <w:rFonts w:ascii="Arial" w:cs="Arial" w:eastAsia="Arial" w:hAnsi="Arial"/>
                <w:sz w:val="14"/>
                <w:szCs w:val="14"/>
                <w:color w:val="auto"/>
              </w:rPr>
              <w:t>Deferred employee benefits liabilities, net of tax</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37,727</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comprehensive income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872,499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Shares sold to optionees, less shares exchanged</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17,507</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13,897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employee stock purchase plan</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9,164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61,426</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70,590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Stock-based compensation cost</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47,347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47,347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noncontrolling interest</w:t>
            </w:r>
          </w:p>
        </w:tc>
        <w:tc>
          <w:tcPr>
            <w:tcW w:w="8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(5,700)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(5,700)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(827)</w:t>
            </w:r>
          </w:p>
        </w:tc>
        <w:tc>
          <w:tcPr>
            <w:tcW w:w="100" w:type="dxa"/>
            <w:vAlign w:val="bottom"/>
          </w:tcPr>
          <w:p>
            <w:pPr>
              <w:spacing w:after="0"/>
              <w:rPr>
                <w:sz w:val="12"/>
                <w:szCs w:val="12"/>
                <w:color w:val="auto"/>
              </w:rPr>
            </w:pPr>
          </w:p>
        </w:tc>
        <w:tc>
          <w:tcPr>
            <w:tcW w:w="7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declared ($0.21 per share)</w:t>
            </w: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00" w:type="dxa"/>
            <w:vAlign w:val="bottom"/>
            <w:gridSpan w:val="3"/>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(251,171)</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(251,171)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tcPr>
          <w:p>
            <w:pPr>
              <w:spacing w:after="0" w:line="149" w:lineRule="exact"/>
              <w:rPr>
                <w:sz w:val="20"/>
                <w:szCs w:val="20"/>
                <w:color w:val="auto"/>
              </w:rPr>
            </w:pPr>
            <w:r>
              <w:rPr>
                <w:rFonts w:ascii="Arial" w:cs="Arial" w:eastAsia="Arial" w:hAnsi="Arial"/>
                <w:sz w:val="14"/>
                <w:szCs w:val="14"/>
                <w:color w:val="auto"/>
              </w:rPr>
              <w:t>Tax benefits on stock options</w:t>
            </w:r>
          </w:p>
        </w:tc>
        <w:tc>
          <w:tcPr>
            <w:tcW w:w="8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3,866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3,866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March 31, 2009</w:t>
            </w:r>
          </w:p>
        </w:tc>
        <w:tc>
          <w:tcPr>
            <w:tcW w:w="8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$ 4,719,066</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(4,716,754)</w:t>
            </w:r>
          </w:p>
        </w:tc>
        <w:tc>
          <w:tcPr>
            <w:tcW w:w="1300" w:type="dxa"/>
            <w:vAlign w:val="bottom"/>
            <w:gridSpan w:val="3"/>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$ 20,578,132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(2,968,605)</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72,954</w:t>
            </w:r>
          </w:p>
        </w:tc>
        <w:tc>
          <w:tcPr>
            <w:tcW w:w="4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17,684,793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r>
      <w:tr>
        <w:trPr>
          <w:trHeight w:val="161"/>
        </w:trPr>
        <w:tc>
          <w:tcPr>
            <w:tcW w:w="6940" w:type="dxa"/>
            <w:vAlign w:val="bottom"/>
          </w:tcPr>
          <w:p>
            <w:pPr>
              <w:spacing w:after="0"/>
              <w:rPr>
                <w:sz w:val="14"/>
                <w:szCs w:val="14"/>
                <w:color w:val="auto"/>
              </w:rPr>
            </w:pPr>
          </w:p>
        </w:tc>
        <w:tc>
          <w:tcPr>
            <w:tcW w:w="134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Issued</w:t>
            </w:r>
          </w:p>
        </w:tc>
        <w:tc>
          <w:tcPr>
            <w:tcW w:w="220" w:type="dxa"/>
            <w:vAlign w:val="bottom"/>
          </w:tcPr>
          <w:p>
            <w:pPr>
              <w:spacing w:after="0"/>
              <w:rPr>
                <w:sz w:val="14"/>
                <w:szCs w:val="14"/>
                <w:color w:val="auto"/>
              </w:rPr>
            </w:pPr>
          </w:p>
        </w:tc>
        <w:tc>
          <w:tcPr>
            <w:tcW w:w="12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In Treasury</w:t>
            </w:r>
          </w:p>
        </w:tc>
        <w:tc>
          <w:tcPr>
            <w:tcW w:w="300" w:type="dxa"/>
            <w:vAlign w:val="bottom"/>
          </w:tcPr>
          <w:p>
            <w:pPr>
              <w:spacing w:after="0"/>
              <w:rPr>
                <w:sz w:val="14"/>
                <w:szCs w:val="14"/>
                <w:color w:val="auto"/>
              </w:rPr>
            </w:pPr>
          </w:p>
        </w:tc>
        <w:tc>
          <w:tcPr>
            <w:tcW w:w="136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Outstanding</w:t>
            </w:r>
          </w:p>
        </w:tc>
        <w:tc>
          <w:tcPr>
            <w:tcW w:w="20" w:type="dxa"/>
            <w:vAlign w:val="bottom"/>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2009</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1,334,212,164</w:t>
            </w: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(140,111,319)</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1,194,100,845</w:t>
            </w:r>
          </w:p>
        </w:tc>
        <w:tc>
          <w:tcPr>
            <w:tcW w:w="20" w:type="dxa"/>
            <w:vAlign w:val="bottom"/>
          </w:tcPr>
          <w:p>
            <w:pPr>
              <w:spacing w:after="0"/>
              <w:rPr>
                <w:sz w:val="18"/>
                <w:szCs w:val="18"/>
                <w:color w:val="auto"/>
              </w:rPr>
            </w:pP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Shares sold to optionees, less shares exchanged</w:t>
            </w:r>
          </w:p>
        </w:tc>
        <w:tc>
          <w:tcPr>
            <w:tcW w:w="156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511,455</w:t>
            </w:r>
          </w:p>
        </w:tc>
        <w:tc>
          <w:tcPr>
            <w:tcW w:w="3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511,455</w:t>
            </w:r>
          </w:p>
        </w:tc>
        <w:tc>
          <w:tcPr>
            <w:tcW w:w="20" w:type="dxa"/>
            <w:vAlign w:val="bottom"/>
          </w:tcPr>
          <w:p>
            <w:pPr>
              <w:spacing w:after="0"/>
              <w:rPr>
                <w:sz w:val="18"/>
                <w:szCs w:val="18"/>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340" w:type="dxa"/>
            <w:vAlign w:val="bottom"/>
            <w:tcBorders>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1,794,496</w:t>
            </w:r>
          </w:p>
        </w:tc>
        <w:tc>
          <w:tcPr>
            <w:tcW w:w="3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1,794,496</w:t>
            </w:r>
          </w:p>
        </w:tc>
        <w:tc>
          <w:tcPr>
            <w:tcW w:w="20" w:type="dxa"/>
            <w:vAlign w:val="bottom"/>
          </w:tcPr>
          <w:p>
            <w:pPr>
              <w:spacing w:after="0"/>
              <w:rPr>
                <w:sz w:val="18"/>
                <w:szCs w:val="18"/>
                <w:color w:val="auto"/>
              </w:rPr>
            </w:pPr>
          </w:p>
        </w:tc>
      </w:tr>
      <w:tr>
        <w:trPr>
          <w:trHeight w:val="222"/>
        </w:trPr>
        <w:tc>
          <w:tcPr>
            <w:tcW w:w="6940" w:type="dxa"/>
            <w:vAlign w:val="bottom"/>
          </w:tcPr>
          <w:p>
            <w:pPr>
              <w:spacing w:after="0"/>
              <w:rPr>
                <w:sz w:val="20"/>
                <w:szCs w:val="20"/>
                <w:color w:val="auto"/>
              </w:rPr>
            </w:pPr>
            <w:r>
              <w:rPr>
                <w:rFonts w:ascii="Arial" w:cs="Arial" w:eastAsia="Arial" w:hAnsi="Arial"/>
                <w:sz w:val="18"/>
                <w:szCs w:val="18"/>
                <w:color w:val="auto"/>
              </w:rPr>
              <w:t>Balance, March 31, 2009</w:t>
            </w:r>
          </w:p>
        </w:tc>
        <w:tc>
          <w:tcPr>
            <w:tcW w:w="1340" w:type="dxa"/>
            <w:vAlign w:val="bottom"/>
          </w:tcPr>
          <w:p>
            <w:pPr>
              <w:jc w:val="right"/>
              <w:spacing w:after="0"/>
              <w:rPr>
                <w:sz w:val="20"/>
                <w:szCs w:val="20"/>
                <w:color w:val="auto"/>
              </w:rPr>
            </w:pPr>
            <w:r>
              <w:rPr>
                <w:rFonts w:ascii="Arial" w:cs="Arial" w:eastAsia="Arial" w:hAnsi="Arial"/>
                <w:sz w:val="18"/>
                <w:szCs w:val="18"/>
                <w:color w:val="auto"/>
              </w:rPr>
              <w:t>1,334,212,164</w:t>
            </w:r>
          </w:p>
        </w:tc>
        <w:tc>
          <w:tcPr>
            <w:tcW w:w="220" w:type="dxa"/>
            <w:vAlign w:val="bottom"/>
          </w:tcPr>
          <w:p>
            <w:pPr>
              <w:spacing w:after="0"/>
              <w:rPr>
                <w:sz w:val="19"/>
                <w:szCs w:val="19"/>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(137,805,368)</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1,196,406,796</w:t>
            </w:r>
          </w:p>
        </w:tc>
      </w:tr>
      <w:tr>
        <w:trPr>
          <w:trHeight w:val="20"/>
        </w:trPr>
        <w:tc>
          <w:tcPr>
            <w:tcW w:w="694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 xml:space="preserve">The accompanying unaudited consolidated financial statements, which include the accounts of Schlumberger Limited and its subsidiaries (“Schlumberger”),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In the opinion of management, all adjustments considered necessary for a fair presentation have been included in the accompanying unaudited financial statements. All intercompany transactions and balances have been eliminated in consolidation. Operating results for the three-month period ended March 31, 2009 are not necessarily indicative of the results that may be expected for the full year ending December 31, 2009. The December 31, 2008 balance sheet information has been derived from the audited 2008 financial statements. For further information, refer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and notes thereto, included in the Schlumberger Annual Report on Form 10-K for the year ended December 31, 2008, filed with the Securities and Exchange Commission on February 11, 2009.</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w:t>
      </w:r>
    </w:p>
    <w:p>
      <w:pPr>
        <w:spacing w:after="0" w:line="9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 xml:space="preserve">Effective January 1, 2009, Schlumberger adopted SFAS 160, </w:t>
      </w:r>
      <w:r>
        <w:rPr>
          <w:rFonts w:ascii="Arial" w:cs="Arial" w:eastAsia="Arial" w:hAnsi="Arial"/>
          <w:sz w:val="18"/>
          <w:szCs w:val="18"/>
          <w:i w:val="1"/>
          <w:iCs w:val="1"/>
          <w:color w:val="auto"/>
        </w:rPr>
        <w:t>Noncontrolling Interests in Consolidated Financial Statements</w:t>
      </w:r>
      <w:r>
        <w:rPr>
          <w:rFonts w:ascii="Arial" w:cs="Arial" w:eastAsia="Arial" w:hAnsi="Arial"/>
          <w:sz w:val="18"/>
          <w:szCs w:val="18"/>
          <w:color w:val="auto"/>
        </w:rPr>
        <w:t xml:space="preserve">, </w:t>
      </w:r>
      <w:r>
        <w:rPr>
          <w:rFonts w:ascii="Arial" w:cs="Arial" w:eastAsia="Arial" w:hAnsi="Arial"/>
          <w:sz w:val="18"/>
          <w:szCs w:val="18"/>
          <w:i w:val="1"/>
          <w:iCs w:val="1"/>
          <w:color w:val="auto"/>
        </w:rPr>
        <w:t>an Amendment of ARB No. 51</w:t>
      </w:r>
      <w:r>
        <w:rPr>
          <w:rFonts w:ascii="Arial" w:cs="Arial" w:eastAsia="Arial" w:hAnsi="Arial"/>
          <w:sz w:val="18"/>
          <w:szCs w:val="18"/>
          <w:color w:val="auto"/>
        </w:rPr>
        <w:t xml:space="preserve"> (“SFAS 160”)</w:t>
      </w:r>
      <w:r>
        <w:rPr>
          <w:rFonts w:ascii="Arial" w:cs="Arial" w:eastAsia="Arial" w:hAnsi="Arial"/>
          <w:sz w:val="18"/>
          <w:szCs w:val="18"/>
          <w:i w:val="1"/>
          <w:iCs w:val="1"/>
          <w:color w:val="auto"/>
        </w:rPr>
        <w:t>.</w:t>
      </w:r>
      <w:r>
        <w:rPr>
          <w:rFonts w:ascii="Arial" w:cs="Arial" w:eastAsia="Arial" w:hAnsi="Arial"/>
          <w:sz w:val="18"/>
          <w:szCs w:val="18"/>
          <w:color w:val="auto"/>
        </w:rPr>
        <w:t xml:space="preserve"> This standard changed the accounting for and reporting of minority interests (now referred to as noncontrolling interests). Noncontrolling interests are now classified as equity in the Schlumberger financial statements.</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SFAS 160 also changed the way the consolidated income statement is presented by requiring net income to include the net income for both the parent and the noncontrolling interests, with disclosure of both amounts on the consolidated statement of income. The calculation of earnings per share continues to be based on income amounts attributable to the parent.</w:t>
      </w:r>
    </w:p>
    <w:p>
      <w:pPr>
        <w:spacing w:after="0" w:line="140"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As a result of the adoption of SFAS 160, prior period amounts related to noncontrolling interests have been reclassified to conform to the current period presentation.</w:t>
      </w:r>
    </w:p>
    <w:p>
      <w:pPr>
        <w:spacing w:after="0" w:line="24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following is a reconciliation from basic earnings per share of Schlumberger from continuing operations to diluted earnings per share of Schlumberger from continuing operations: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386"/>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9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7"/>
              </w:rPr>
              <w:t>Schlumberger</w:t>
            </w: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jc w:val="center"/>
              <w:ind w:right="220"/>
              <w:spacing w:after="0" w:line="129" w:lineRule="exact"/>
              <w:rPr>
                <w:sz w:val="20"/>
                <w:szCs w:val="20"/>
                <w:color w:val="auto"/>
              </w:rPr>
            </w:pPr>
            <w:r>
              <w:rPr>
                <w:rFonts w:ascii="Arial" w:cs="Arial" w:eastAsia="Arial" w:hAnsi="Arial"/>
                <w:sz w:val="14"/>
                <w:szCs w:val="14"/>
                <w:b w:val="1"/>
                <w:bCs w:val="1"/>
                <w:color w:val="auto"/>
                <w:w w:val="87"/>
              </w:rPr>
              <w:t>Schlumberger</w:t>
            </w: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Income from</w:t>
            </w:r>
          </w:p>
        </w:tc>
        <w:tc>
          <w:tcPr>
            <w:tcW w:w="220" w:type="dxa"/>
            <w:vAlign w:val="bottom"/>
          </w:tcPr>
          <w:p>
            <w:pPr>
              <w:spacing w:after="0"/>
              <w:rPr>
                <w:sz w:val="12"/>
                <w:szCs w:val="12"/>
                <w:color w:val="auto"/>
              </w:rPr>
            </w:pPr>
          </w:p>
        </w:tc>
        <w:tc>
          <w:tcPr>
            <w:tcW w:w="108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6"/>
              </w:rPr>
              <w:t>Average</w:t>
            </w:r>
          </w:p>
        </w:tc>
        <w:tc>
          <w:tcPr>
            <w:tcW w:w="6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Income from</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Earnings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86"/>
              </w:rPr>
              <w:t>Continuing</w:t>
            </w:r>
          </w:p>
        </w:tc>
        <w:tc>
          <w:tcPr>
            <w:tcW w:w="220" w:type="dxa"/>
            <w:vAlign w:val="bottom"/>
          </w:tcPr>
          <w:p>
            <w:pPr>
              <w:spacing w:after="0"/>
              <w:rPr>
                <w:sz w:val="12"/>
                <w:szCs w:val="12"/>
                <w:color w:val="auto"/>
              </w:rPr>
            </w:pPr>
          </w:p>
        </w:tc>
        <w:tc>
          <w:tcPr>
            <w:tcW w:w="1080" w:type="dxa"/>
            <w:vAlign w:val="bottom"/>
            <w:gridSpan w:val="2"/>
          </w:tcPr>
          <w:p>
            <w:pPr>
              <w:jc w:val="center"/>
              <w:ind w:right="132"/>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50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1"/>
              </w:rPr>
              <w:t>per</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Continuing</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per</w:t>
            </w:r>
          </w:p>
        </w:tc>
        <w:tc>
          <w:tcPr>
            <w:tcW w:w="0" w:type="dxa"/>
            <w:vAlign w:val="bottom"/>
          </w:tcPr>
          <w:p>
            <w:pPr>
              <w:spacing w:after="0"/>
              <w:rPr>
                <w:sz w:val="1"/>
                <w:szCs w:val="1"/>
                <w:color w:val="auto"/>
              </w:rPr>
            </w:pPr>
          </w:p>
        </w:tc>
      </w:tr>
      <w:tr>
        <w:trPr>
          <w:trHeight w:val="161"/>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Three Months</w:t>
            </w:r>
          </w:p>
        </w:tc>
        <w:tc>
          <w:tcPr>
            <w:tcW w:w="100" w:type="dxa"/>
            <w:vAlign w:val="bottom"/>
          </w:tcPr>
          <w:p>
            <w:pPr>
              <w:spacing w:after="0"/>
              <w:rPr>
                <w:sz w:val="14"/>
                <w:szCs w:val="14"/>
                <w:color w:val="auto"/>
              </w:rPr>
            </w:pPr>
          </w:p>
        </w:tc>
        <w:tc>
          <w:tcPr>
            <w:tcW w:w="860" w:type="dxa"/>
            <w:vAlign w:val="bottom"/>
          </w:tcPr>
          <w:p>
            <w:pPr>
              <w:jc w:val="center"/>
              <w:ind w:right="19"/>
              <w:spacing w:after="0"/>
              <w:rPr>
                <w:sz w:val="20"/>
                <w:szCs w:val="20"/>
                <w:color w:val="auto"/>
              </w:rPr>
            </w:pPr>
            <w:r>
              <w:rPr>
                <w:rFonts w:ascii="Arial" w:cs="Arial" w:eastAsia="Arial" w:hAnsi="Arial"/>
                <w:sz w:val="14"/>
                <w:szCs w:val="14"/>
                <w:b w:val="1"/>
                <w:bCs w:val="1"/>
                <w:color w:val="auto"/>
                <w:w w:val="86"/>
              </w:rPr>
              <w:t>Operations</w:t>
            </w:r>
          </w:p>
        </w:tc>
        <w:tc>
          <w:tcPr>
            <w:tcW w:w="220" w:type="dxa"/>
            <w:vAlign w:val="bottom"/>
          </w:tcPr>
          <w:p>
            <w:pPr>
              <w:spacing w:after="0"/>
              <w:rPr>
                <w:sz w:val="14"/>
                <w:szCs w:val="14"/>
                <w:color w:val="auto"/>
              </w:rPr>
            </w:pPr>
          </w:p>
        </w:tc>
        <w:tc>
          <w:tcPr>
            <w:tcW w:w="1080" w:type="dxa"/>
            <w:vAlign w:val="bottom"/>
            <w:gridSpan w:val="2"/>
          </w:tcPr>
          <w:p>
            <w:pPr>
              <w:jc w:val="center"/>
              <w:ind w:right="132"/>
              <w:spacing w:after="0"/>
              <w:rPr>
                <w:sz w:val="20"/>
                <w:szCs w:val="20"/>
                <w:color w:val="auto"/>
              </w:rPr>
            </w:pPr>
            <w:r>
              <w:rPr>
                <w:rFonts w:ascii="Arial" w:cs="Arial" w:eastAsia="Arial" w:hAnsi="Arial"/>
                <w:sz w:val="14"/>
                <w:szCs w:val="14"/>
                <w:b w:val="1"/>
                <w:bCs w:val="1"/>
                <w:color w:val="auto"/>
                <w:w w:val="87"/>
              </w:rPr>
              <w:t>Outstanding</w:t>
            </w:r>
          </w:p>
        </w:tc>
        <w:tc>
          <w:tcPr>
            <w:tcW w:w="120" w:type="dxa"/>
            <w:vAlign w:val="bottom"/>
          </w:tcPr>
          <w:p>
            <w:pPr>
              <w:spacing w:after="0"/>
              <w:rPr>
                <w:sz w:val="14"/>
                <w:szCs w:val="14"/>
                <w:color w:val="auto"/>
              </w:rPr>
            </w:pPr>
          </w:p>
        </w:tc>
        <w:tc>
          <w:tcPr>
            <w:tcW w:w="50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Share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Operations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9"/>
              </w:rPr>
              <w:t>Outstanding</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in</w:t>
            </w:r>
          </w:p>
        </w:tc>
        <w:tc>
          <w:tcPr>
            <w:tcW w:w="62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vMerge w:val="continue"/>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220" w:type="dxa"/>
            <w:vAlign w:val="bottom"/>
            <w:vMerge w:val="continue"/>
          </w:tcPr>
          <w:p>
            <w:pPr>
              <w:spacing w:after="0"/>
              <w:rPr>
                <w:sz w:val="12"/>
                <w:szCs w:val="12"/>
                <w:color w:val="auto"/>
              </w:rPr>
            </w:pPr>
          </w:p>
        </w:tc>
        <w:tc>
          <w:tcPr>
            <w:tcW w:w="6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4"/>
              </w:rPr>
              <w:t>thousands</w:t>
            </w:r>
          </w:p>
        </w:tc>
        <w:tc>
          <w:tcPr>
            <w:tcW w:w="2320" w:type="dxa"/>
            <w:vAlign w:val="bottom"/>
            <w:gridSpan w:val="5"/>
          </w:tcPr>
          <w:p>
            <w:pPr>
              <w:jc w:val="right"/>
              <w:ind w:right="721"/>
              <w:spacing w:after="0" w:line="142" w:lineRule="exact"/>
              <w:rPr>
                <w:sz w:val="20"/>
                <w:szCs w:val="20"/>
                <w:color w:val="auto"/>
              </w:rPr>
            </w:pPr>
            <w:r>
              <w:rPr>
                <w:rFonts w:ascii="Arial" w:cs="Arial" w:eastAsia="Arial" w:hAnsi="Arial"/>
                <w:sz w:val="14"/>
                <w:szCs w:val="14"/>
                <w:b w:val="1"/>
                <w:bCs w:val="1"/>
                <w:color w:val="auto"/>
                <w:w w:val="84"/>
              </w:rPr>
              <w:t>except per share amounts)</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938,461</w:t>
            </w:r>
          </w:p>
        </w:tc>
        <w:tc>
          <w:tcPr>
            <w:tcW w:w="13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1,195,778</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1,300,454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1,195,995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gridSpan w:val="3"/>
            <w:vMerge w:val="restart"/>
          </w:tcPr>
          <w:p>
            <w:pPr>
              <w:spacing w:after="0"/>
              <w:rPr>
                <w:sz w:val="20"/>
                <w:szCs w:val="20"/>
                <w:color w:val="auto"/>
              </w:rPr>
            </w:pPr>
            <w:r>
              <w:rPr>
                <w:rFonts w:ascii="Arial" w:cs="Arial" w:eastAsia="Arial" w:hAnsi="Arial"/>
                <w:sz w:val="18"/>
                <w:szCs w:val="18"/>
                <w:color w:val="auto"/>
              </w:rPr>
              <w:t>Assumed conversion of debentures</w:t>
            </w:r>
          </w:p>
        </w:tc>
        <w:tc>
          <w:tcPr>
            <w:tcW w:w="100" w:type="dxa"/>
            <w:vAlign w:val="bottom"/>
          </w:tcPr>
          <w:p>
            <w:pPr>
              <w:spacing w:after="0" w:line="20" w:lineRule="exact"/>
              <w:rPr>
                <w:sz w:val="1"/>
                <w:szCs w:val="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1,893</w:t>
            </w:r>
          </w:p>
        </w:tc>
        <w:tc>
          <w:tcPr>
            <w:tcW w:w="1300" w:type="dxa"/>
            <w:vAlign w:val="bottom"/>
            <w:gridSpan w:val="3"/>
            <w:vMerge w:val="restart"/>
          </w:tcPr>
          <w:p>
            <w:pPr>
              <w:jc w:val="right"/>
              <w:ind w:right="152"/>
              <w:spacing w:after="0"/>
              <w:rPr>
                <w:sz w:val="20"/>
                <w:szCs w:val="20"/>
                <w:color w:val="auto"/>
              </w:rPr>
            </w:pPr>
            <w:r>
              <w:rPr>
                <w:rFonts w:ascii="Arial" w:cs="Arial" w:eastAsia="Arial" w:hAnsi="Arial"/>
                <w:sz w:val="18"/>
                <w:szCs w:val="18"/>
                <w:b w:val="1"/>
                <w:bCs w:val="1"/>
                <w:color w:val="auto"/>
              </w:rPr>
              <w:t>8,033</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4,010</w:t>
            </w: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18,871</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36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9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00" w:type="dxa"/>
            <w:vAlign w:val="bottom"/>
            <w:gridSpan w:val="3"/>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4,172</w:t>
            </w: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Unvested restricted stock</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52"/>
              <w:spacing w:after="0"/>
              <w:rPr>
                <w:sz w:val="20"/>
                <w:szCs w:val="20"/>
                <w:color w:val="auto"/>
              </w:rPr>
            </w:pPr>
            <w:r>
              <w:rPr>
                <w:rFonts w:ascii="Arial" w:cs="Arial" w:eastAsia="Arial" w:hAnsi="Arial"/>
                <w:sz w:val="18"/>
                <w:szCs w:val="18"/>
                <w:b w:val="1"/>
                <w:bCs w:val="1"/>
                <w:color w:val="auto"/>
              </w:rPr>
              <w:t>1,839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940,354</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b w:val="1"/>
                <w:bCs w:val="1"/>
                <w:color w:val="auto"/>
              </w:rPr>
              <w:t>1,209,822</w:t>
            </w: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1,304,464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1,233,244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right"/>
              <w:ind w:right="479"/>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number of outstanding options to purchase shares of Schlumberger common stock which were not included in the computation of diluted earnings per share, because to do so would have had an antidilutive effect,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80" w:type="dxa"/>
            <w:vAlign w:val="bottom"/>
          </w:tcPr>
          <w:p>
            <w:pPr>
              <w:spacing w:after="0"/>
              <w:rPr>
                <w:sz w:val="14"/>
                <w:szCs w:val="14"/>
                <w:color w:val="auto"/>
              </w:rPr>
            </w:pPr>
          </w:p>
        </w:tc>
        <w:tc>
          <w:tcPr>
            <w:tcW w:w="540" w:type="dxa"/>
            <w:vAlign w:val="bottom"/>
            <w:tcBorders>
              <w:bottom w:val="single" w:sz="8" w:color="auto"/>
            </w:tcBorders>
          </w:tcPr>
          <w:p>
            <w:pPr>
              <w:jc w:val="right"/>
              <w:ind w:right="66"/>
              <w:spacing w:after="0"/>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4"/>
                <w:szCs w:val="14"/>
                <w:color w:val="auto"/>
              </w:rPr>
            </w:pPr>
          </w:p>
        </w:tc>
        <w:tc>
          <w:tcPr>
            <w:tcW w:w="4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2008</w:t>
            </w:r>
          </w:p>
        </w:tc>
      </w:tr>
      <w:tr>
        <w:trPr>
          <w:trHeight w:val="142"/>
        </w:trPr>
        <w:tc>
          <w:tcPr>
            <w:tcW w:w="8980" w:type="dxa"/>
            <w:vAlign w:val="bottom"/>
          </w:tcPr>
          <w:p>
            <w:pPr>
              <w:spacing w:after="0"/>
              <w:rPr>
                <w:sz w:val="12"/>
                <w:szCs w:val="12"/>
                <w:color w:val="auto"/>
              </w:rPr>
            </w:pP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98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269"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 summary of inventory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tcPr>
          <w:p>
            <w:pPr>
              <w:jc w:val="center"/>
              <w:ind w:right="252"/>
              <w:spacing w:after="0"/>
              <w:rPr>
                <w:sz w:val="20"/>
                <w:szCs w:val="20"/>
                <w:color w:val="auto"/>
              </w:rPr>
            </w:pPr>
            <w:r>
              <w:rPr>
                <w:rFonts w:ascii="Arial" w:cs="Arial" w:eastAsia="Arial" w:hAnsi="Arial"/>
                <w:sz w:val="14"/>
                <w:szCs w:val="14"/>
                <w:b w:val="1"/>
                <w:bCs w:val="1"/>
                <w:color w:val="auto"/>
                <w:w w:val="91"/>
              </w:rPr>
              <w:t>Mar. 31</w:t>
            </w:r>
          </w:p>
        </w:tc>
        <w:tc>
          <w:tcPr>
            <w:tcW w:w="100" w:type="dxa"/>
            <w:vAlign w:val="bottom"/>
          </w:tcPr>
          <w:p>
            <w:pPr>
              <w:spacing w:after="0"/>
              <w:rPr>
                <w:sz w:val="14"/>
                <w:szCs w:val="14"/>
                <w:color w:val="auto"/>
              </w:rPr>
            </w:pPr>
          </w:p>
        </w:tc>
        <w:tc>
          <w:tcPr>
            <w:tcW w:w="560" w:type="dxa"/>
            <w:vAlign w:val="bottom"/>
            <w:gridSpan w:val="2"/>
          </w:tcPr>
          <w:p>
            <w:pPr>
              <w:ind w:left="60"/>
              <w:spacing w:after="0"/>
              <w:rPr>
                <w:sz w:val="20"/>
                <w:szCs w:val="20"/>
                <w:color w:val="auto"/>
              </w:rPr>
            </w:pPr>
            <w:r>
              <w:rPr>
                <w:rFonts w:ascii="Arial" w:cs="Arial" w:eastAsia="Arial" w:hAnsi="Arial"/>
                <w:sz w:val="14"/>
                <w:szCs w:val="14"/>
                <w:b w:val="1"/>
                <w:bCs w:val="1"/>
                <w:color w:val="auto"/>
                <w:w w:val="97"/>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480" w:type="dxa"/>
            <w:vAlign w:val="bottom"/>
            <w:gridSpan w:val="2"/>
          </w:tcPr>
          <w:p>
            <w:pPr>
              <w:spacing w:after="0"/>
              <w:rPr>
                <w:sz w:val="14"/>
                <w:szCs w:val="14"/>
                <w:color w:val="auto"/>
              </w:rPr>
            </w:pPr>
          </w:p>
        </w:tc>
        <w:tc>
          <w:tcPr>
            <w:tcW w:w="420" w:type="dxa"/>
            <w:vAlign w:val="bottom"/>
            <w:tcBorders>
              <w:bottom w:val="single" w:sz="8" w:color="auto"/>
            </w:tcBorders>
          </w:tcPr>
          <w:p>
            <w:pPr>
              <w:jc w:val="center"/>
              <w:ind w:left="46"/>
              <w:spacing w:after="0"/>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(Stated</w:t>
            </w:r>
          </w:p>
        </w:tc>
        <w:tc>
          <w:tcPr>
            <w:tcW w:w="960" w:type="dxa"/>
            <w:vAlign w:val="bottom"/>
            <w:gridSpan w:val="3"/>
          </w:tcPr>
          <w:p>
            <w:pPr>
              <w:jc w:val="right"/>
              <w:ind w:right="10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&amp; field materials</w:t>
            </w:r>
          </w:p>
        </w:tc>
        <w:tc>
          <w:tcPr>
            <w:tcW w:w="4320" w:type="dxa"/>
            <w:vAlign w:val="bottom"/>
            <w:gridSpan w:val="5"/>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$ 1,805</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Work in process</w:t>
            </w:r>
          </w:p>
        </w:tc>
        <w:tc>
          <w:tcPr>
            <w:tcW w:w="4320" w:type="dxa"/>
            <w:vAlign w:val="bottom"/>
            <w:gridSpan w:val="5"/>
          </w:tcPr>
          <w:p>
            <w:pPr>
              <w:jc w:val="right"/>
              <w:ind w:right="252"/>
              <w:spacing w:after="0"/>
              <w:rPr>
                <w:sz w:val="20"/>
                <w:szCs w:val="20"/>
                <w:color w:val="auto"/>
              </w:rPr>
            </w:pPr>
            <w:r>
              <w:rPr>
                <w:rFonts w:ascii="Arial" w:cs="Arial" w:eastAsia="Arial" w:hAnsi="Arial"/>
                <w:sz w:val="18"/>
                <w:szCs w:val="18"/>
                <w:b w:val="1"/>
                <w:bCs w:val="1"/>
                <w:color w:val="auto"/>
              </w:rPr>
              <w:t>99</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480" w:type="dxa"/>
            <w:vAlign w:val="bottom"/>
            <w:gridSpan w:val="2"/>
            <w:shd w:val="clear" w:color="auto" w:fill="CCEEFF"/>
          </w:tcPr>
          <w:p>
            <w:pPr>
              <w:spacing w:after="0"/>
              <w:rPr>
                <w:sz w:val="18"/>
                <w:szCs w:val="18"/>
                <w:color w:val="auto"/>
              </w:rPr>
            </w:pPr>
          </w:p>
        </w:tc>
        <w:tc>
          <w:tcPr>
            <w:tcW w:w="840" w:type="dxa"/>
            <w:vAlign w:val="bottom"/>
            <w:gridSpan w:val="3"/>
            <w:shd w:val="clear" w:color="auto" w:fill="CCEEFF"/>
          </w:tcPr>
          <w:p>
            <w:pPr>
              <w:jc w:val="right"/>
              <w:ind w:right="252"/>
              <w:spacing w:after="0"/>
              <w:rPr>
                <w:sz w:val="20"/>
                <w:szCs w:val="20"/>
                <w:color w:val="auto"/>
              </w:rPr>
            </w:pPr>
            <w:r>
              <w:rPr>
                <w:rFonts w:ascii="Arial" w:cs="Arial" w:eastAsia="Arial" w:hAnsi="Arial"/>
                <w:sz w:val="18"/>
                <w:szCs w:val="18"/>
                <w:b w:val="1"/>
                <w:bCs w:val="1"/>
                <w:color w:val="auto"/>
              </w:rPr>
              <w:t>126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3"/>
              </w:rPr>
              <w:t>$ 2,030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$ 1,919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0" w:type="dxa"/>
            <w:vAlign w:val="bottom"/>
            <w:vMerge w:val="restart"/>
          </w:tcPr>
          <w:p>
            <w:pPr>
              <w:spacing w:after="0"/>
              <w:rPr>
                <w:sz w:val="20"/>
                <w:szCs w:val="20"/>
                <w:color w:val="auto"/>
              </w:rPr>
            </w:pPr>
            <w:r>
              <w:rPr>
                <w:rFonts w:ascii="Arial" w:cs="Arial" w:eastAsia="Arial" w:hAnsi="Arial"/>
                <w:sz w:val="18"/>
                <w:szCs w:val="18"/>
                <w:b w:val="1"/>
                <w:bCs w:val="1"/>
                <w:color w:val="auto"/>
              </w:rPr>
              <w:t>4.</w:t>
            </w:r>
          </w:p>
        </w:tc>
        <w:tc>
          <w:tcPr>
            <w:tcW w:w="570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Fixed Assets</w:t>
            </w:r>
          </w:p>
        </w:tc>
        <w:tc>
          <w:tcPr>
            <w:tcW w:w="3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300" w:type="dxa"/>
            <w:vAlign w:val="bottom"/>
            <w:vMerge w:val="continue"/>
          </w:tcPr>
          <w:p>
            <w:pPr>
              <w:spacing w:after="0"/>
              <w:rPr>
                <w:sz w:val="24"/>
                <w:szCs w:val="24"/>
                <w:color w:val="auto"/>
              </w:rPr>
            </w:pPr>
          </w:p>
        </w:tc>
        <w:tc>
          <w:tcPr>
            <w:tcW w:w="5700" w:type="dxa"/>
            <w:vAlign w:val="bottom"/>
            <w:gridSpan w:val="2"/>
            <w:vMerge w:val="continue"/>
          </w:tcPr>
          <w:p>
            <w:pPr>
              <w:spacing w:after="0"/>
              <w:rPr>
                <w:sz w:val="24"/>
                <w:szCs w:val="24"/>
                <w:color w:val="auto"/>
              </w:rPr>
            </w:pP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0" w:type="dxa"/>
            <w:vAlign w:val="bottom"/>
            <w:gridSpan w:val="3"/>
          </w:tcPr>
          <w:p>
            <w:pPr>
              <w:spacing w:after="0"/>
              <w:rPr>
                <w:sz w:val="20"/>
                <w:szCs w:val="20"/>
                <w:color w:val="auto"/>
              </w:rPr>
            </w:pPr>
            <w:r>
              <w:rPr>
                <w:rFonts w:ascii="Arial" w:cs="Arial" w:eastAsia="Arial" w:hAnsi="Arial"/>
                <w:sz w:val="18"/>
                <w:szCs w:val="18"/>
                <w:color w:val="auto"/>
              </w:rPr>
              <w:t>A summary of fixed assets follows:</w:t>
            </w:r>
          </w:p>
        </w:tc>
        <w:tc>
          <w:tcPr>
            <w:tcW w:w="3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040" w:type="dxa"/>
            <w:vAlign w:val="bottom"/>
            <w:gridSpan w:val="4"/>
          </w:tcPr>
          <w:p>
            <w:pPr>
              <w:jc w:val="right"/>
              <w:ind w:right="452"/>
              <w:spacing w:after="0"/>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61"/>
        </w:trPr>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620" w:type="dxa"/>
            <w:vAlign w:val="bottom"/>
            <w:tcBorders>
              <w:bottom w:val="single" w:sz="8" w:color="auto"/>
            </w:tcBorders>
            <w:gridSpan w:val="2"/>
          </w:tcPr>
          <w:p>
            <w:pPr>
              <w:jc w:val="right"/>
              <w:ind w:right="106"/>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Borders>
              <w:bottom w:val="single" w:sz="8" w:color="auto"/>
            </w:tcBorders>
            <w:gridSpan w:val="2"/>
          </w:tcPr>
          <w:p>
            <w:pPr>
              <w:jc w:val="right"/>
              <w:ind w:right="107"/>
              <w:spacing w:after="0"/>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jc w:val="center"/>
              <w:ind w:left="6"/>
              <w:spacing w:after="0" w:line="142" w:lineRule="exact"/>
              <w:rPr>
                <w:sz w:val="20"/>
                <w:szCs w:val="20"/>
                <w:color w:val="auto"/>
              </w:rPr>
            </w:pPr>
            <w:r>
              <w:rPr>
                <w:rFonts w:ascii="Arial" w:cs="Arial" w:eastAsia="Arial" w:hAnsi="Arial"/>
                <w:sz w:val="14"/>
                <w:szCs w:val="14"/>
                <w:b w:val="1"/>
                <w:bCs w:val="1"/>
                <w:color w:val="auto"/>
                <w:w w:val="71"/>
              </w:rPr>
              <w:t>(Stated</w:t>
            </w:r>
          </w:p>
        </w:tc>
        <w:tc>
          <w:tcPr>
            <w:tcW w:w="1060" w:type="dxa"/>
            <w:vAlign w:val="bottom"/>
            <w:gridSpan w:val="4"/>
          </w:tcPr>
          <w:p>
            <w:pPr>
              <w:jc w:val="right"/>
              <w:ind w:right="227"/>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&amp; equipment</w:t>
            </w:r>
          </w:p>
        </w:tc>
        <w:tc>
          <w:tcPr>
            <w:tcW w:w="3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$ 20,562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$ 20,152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3280" w:type="dxa"/>
            <w:vAlign w:val="bottom"/>
          </w:tcPr>
          <w:p>
            <w:pPr>
              <w:spacing w:after="0"/>
              <w:rPr>
                <w:sz w:val="19"/>
                <w:szCs w:val="19"/>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10,804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10,462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540" w:type="dxa"/>
            <w:vAlign w:val="bottom"/>
            <w:shd w:val="clear" w:color="auto" w:fill="CCEEFF"/>
          </w:tcPr>
          <w:p>
            <w:pPr>
              <w:spacing w:after="0"/>
              <w:rPr>
                <w:sz w:val="18"/>
                <w:szCs w:val="18"/>
                <w:color w:val="auto"/>
              </w:rPr>
            </w:pPr>
          </w:p>
        </w:tc>
        <w:tc>
          <w:tcPr>
            <w:tcW w:w="39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9,758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9,690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relating to fixed assets was $530 million and $442 million in the first quarters of 2009 and 2008, respectively.</w:t>
      </w:r>
    </w:p>
    <w:p>
      <w:pPr>
        <w:spacing w:after="0" w:line="28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Multiclient Seismic Data</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in the first quarter of 2009 was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(Stated in millions)</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760" w:type="dxa"/>
            <w:vAlign w:val="bottom"/>
            <w:gridSpan w:val="2"/>
            <w:shd w:val="clear" w:color="auto" w:fill="CCEEFF"/>
          </w:tcPr>
          <w:p>
            <w:pPr>
              <w:ind w:left="52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Capitalized in period</w:t>
            </w:r>
          </w:p>
        </w:tc>
        <w:tc>
          <w:tcPr>
            <w:tcW w:w="5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Charged to cost of goods sold &amp; services</w:t>
            </w:r>
          </w:p>
        </w:tc>
        <w:tc>
          <w:tcPr>
            <w:tcW w:w="5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1"/>
        </w:trPr>
        <w:tc>
          <w:tcPr>
            <w:tcW w:w="4040" w:type="dxa"/>
            <w:vAlign w:val="bottom"/>
          </w:tcPr>
          <w:p>
            <w:pPr>
              <w:spacing w:after="0"/>
              <w:rPr>
                <w:sz w:val="20"/>
                <w:szCs w:val="20"/>
                <w:color w:val="auto"/>
              </w:rPr>
            </w:pPr>
            <w:r>
              <w:rPr>
                <w:rFonts w:ascii="Arial" w:cs="Arial" w:eastAsia="Arial" w:hAnsi="Arial"/>
                <w:sz w:val="18"/>
                <w:szCs w:val="18"/>
                <w:color w:val="auto"/>
              </w:rPr>
              <w:t>Balance at March 31, 2009</w:t>
            </w:r>
          </w:p>
        </w:tc>
        <w:tc>
          <w:tcPr>
            <w:tcW w:w="5280" w:type="dxa"/>
            <w:vAlign w:val="bottom"/>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5280" w:type="dxa"/>
            <w:vAlign w:val="bottom"/>
            <w:vMerge w:val="restart"/>
          </w:tcPr>
          <w:p>
            <w:pPr>
              <w:jc w:val="right"/>
              <w:ind w:right="3932"/>
              <w:spacing w:after="0"/>
              <w:rPr>
                <w:sz w:val="20"/>
                <w:szCs w:val="20"/>
                <w:color w:val="auto"/>
              </w:rPr>
            </w:pPr>
            <w:r>
              <w:rPr>
                <w:rFonts w:ascii="Arial" w:cs="Arial" w:eastAsia="Arial" w:hAnsi="Arial"/>
                <w:sz w:val="18"/>
                <w:szCs w:val="18"/>
                <w:color w:val="auto"/>
              </w:rPr>
              <w:t>9</w:t>
            </w:r>
          </w:p>
        </w:tc>
        <w:tc>
          <w:tcPr>
            <w:tcW w:w="4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528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by business segment in the first quarter of 2009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6"/>
              </w:rPr>
              <w:t>Oilfield</w:t>
            </w:r>
          </w:p>
        </w:tc>
        <w:tc>
          <w:tcPr>
            <w:tcW w:w="36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6"/>
              </w:rPr>
              <w:t>Western</w:t>
            </w: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7940" w:type="dxa"/>
            <w:vAlign w:val="bottom"/>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Services</w:t>
            </w: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Geco</w:t>
            </w:r>
          </w:p>
        </w:tc>
        <w:tc>
          <w:tcPr>
            <w:tcW w:w="500" w:type="dxa"/>
            <w:vAlign w:val="bottom"/>
          </w:tcPr>
          <w:p>
            <w:pPr>
              <w:spacing w:after="0"/>
              <w:rPr>
                <w:sz w:val="14"/>
                <w:szCs w:val="14"/>
                <w:color w:val="auto"/>
              </w:rPr>
            </w:pPr>
          </w:p>
        </w:tc>
        <w:tc>
          <w:tcPr>
            <w:tcW w:w="5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3"/>
          </w:tcPr>
          <w:p>
            <w:pPr>
              <w:jc w:val="center"/>
              <w:ind w:right="14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$4,174</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center"/>
              <w:ind w:left="279"/>
              <w:spacing w:after="0"/>
              <w:rPr>
                <w:sz w:val="20"/>
                <w:szCs w:val="20"/>
                <w:color w:val="auto"/>
              </w:rPr>
            </w:pPr>
            <w:r>
              <w:rPr>
                <w:rFonts w:ascii="Arial" w:cs="Arial" w:eastAsia="Arial" w:hAnsi="Arial"/>
                <w:sz w:val="18"/>
                <w:szCs w:val="18"/>
                <w:color w:val="auto"/>
                <w:w w:val="90"/>
              </w:rPr>
              <w:t>$1,015</w:t>
            </w: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$5,189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Additions</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Impact of change in exchange rates</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Balance at March 31, 2009</w:t>
            </w: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9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4,104</w:t>
            </w:r>
          </w:p>
        </w:tc>
        <w:tc>
          <w:tcPr>
            <w:tcW w:w="140" w:type="dxa"/>
            <w:vAlign w:val="bottom"/>
          </w:tcPr>
          <w:p>
            <w:pPr>
              <w:spacing w:after="0"/>
              <w:rPr>
                <w:sz w:val="19"/>
                <w:szCs w:val="19"/>
                <w:color w:val="auto"/>
              </w:rPr>
            </w:pPr>
          </w:p>
        </w:tc>
        <w:tc>
          <w:tcPr>
            <w:tcW w:w="860" w:type="dxa"/>
            <w:vAlign w:val="bottom"/>
            <w:gridSpan w:val="2"/>
          </w:tcPr>
          <w:p>
            <w:pPr>
              <w:jc w:val="center"/>
              <w:ind w:left="279"/>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1,015</w:t>
            </w: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79"/>
              </w:rPr>
              <w:t>$ 5,119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Intangible assets principally comprise software, technology and customer relationships. The gross book value and accumulated amortization of intangible assets were as follows: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Mar. 31, 2009</w:t>
            </w: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 2008</w:t>
            </w:r>
          </w:p>
        </w:tc>
        <w:tc>
          <w:tcPr>
            <w:tcW w:w="5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20" w:type="dxa"/>
            <w:vAlign w:val="bottom"/>
            <w:gridSpan w:val="3"/>
          </w:tcPr>
          <w:p>
            <w:pPr>
              <w:ind w:left="80"/>
              <w:spacing w:after="0" w:line="129" w:lineRule="exact"/>
              <w:rPr>
                <w:sz w:val="20"/>
                <w:szCs w:val="20"/>
                <w:color w:val="auto"/>
              </w:rPr>
            </w:pPr>
            <w:r>
              <w:rPr>
                <w:rFonts w:ascii="Arial" w:cs="Arial" w:eastAsia="Arial" w:hAnsi="Arial"/>
                <w:sz w:val="14"/>
                <w:szCs w:val="14"/>
                <w:b w:val="1"/>
                <w:bCs w:val="1"/>
                <w:color w:val="auto"/>
              </w:rPr>
              <w:t>Gross</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Net</w:t>
            </w:r>
          </w:p>
        </w:tc>
        <w:tc>
          <w:tcPr>
            <w:tcW w:w="500" w:type="dxa"/>
            <w:vAlign w:val="bottom"/>
          </w:tcPr>
          <w:p>
            <w:pPr>
              <w:spacing w:after="0"/>
              <w:rPr>
                <w:sz w:val="11"/>
                <w:szCs w:val="11"/>
                <w:color w:val="auto"/>
              </w:rPr>
            </w:pPr>
          </w:p>
        </w:tc>
        <w:tc>
          <w:tcPr>
            <w:tcW w:w="50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w w:val="98"/>
              </w:rPr>
              <w:t>Gross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Net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Book</w:t>
            </w:r>
          </w:p>
        </w:tc>
        <w:tc>
          <w:tcPr>
            <w:tcW w:w="28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3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1"/>
              </w:rPr>
              <w:t>Book</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Book</w:t>
            </w:r>
          </w:p>
        </w:tc>
        <w:tc>
          <w:tcPr>
            <w:tcW w:w="50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00" w:type="dxa"/>
            <w:vAlign w:val="bottom"/>
          </w:tcPr>
          <w:p>
            <w:pPr>
              <w:spacing w:after="0"/>
              <w:rPr>
                <w:sz w:val="12"/>
                <w:szCs w:val="12"/>
                <w:color w:val="auto"/>
              </w:rPr>
            </w:pPr>
          </w:p>
        </w:tc>
        <w:tc>
          <w:tcPr>
            <w:tcW w:w="3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Book</w:t>
            </w:r>
          </w:p>
        </w:tc>
        <w:tc>
          <w:tcPr>
            <w:tcW w:w="0" w:type="dxa"/>
            <w:vAlign w:val="bottom"/>
          </w:tcPr>
          <w:p>
            <w:pPr>
              <w:spacing w:after="0"/>
              <w:rPr>
                <w:sz w:val="1"/>
                <w:szCs w:val="1"/>
                <w:color w:val="auto"/>
              </w:rPr>
            </w:pPr>
          </w:p>
        </w:tc>
      </w:tr>
      <w:tr>
        <w:trPr>
          <w:trHeight w:val="161"/>
        </w:trPr>
        <w:tc>
          <w:tcPr>
            <w:tcW w:w="3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w w:val="90"/>
              </w:rPr>
              <w:t>Value</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00" w:type="dxa"/>
            <w:vAlign w:val="bottom"/>
          </w:tcPr>
          <w:p>
            <w:pPr>
              <w:spacing w:after="0"/>
              <w:rPr>
                <w:sz w:val="14"/>
                <w:szCs w:val="14"/>
                <w:color w:val="auto"/>
              </w:rPr>
            </w:pPr>
          </w:p>
        </w:tc>
        <w:tc>
          <w:tcPr>
            <w:tcW w:w="3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380" w:type="dxa"/>
            <w:vAlign w:val="bottom"/>
            <w:gridSpan w:val="2"/>
          </w:tcPr>
          <w:p>
            <w:pPr>
              <w:ind w:left="60"/>
              <w:spacing w:after="0"/>
              <w:rPr>
                <w:sz w:val="20"/>
                <w:szCs w:val="20"/>
                <w:color w:val="auto"/>
              </w:rPr>
            </w:pPr>
            <w:r>
              <w:rPr>
                <w:rFonts w:ascii="Arial" w:cs="Arial" w:eastAsia="Arial" w:hAnsi="Arial"/>
                <w:sz w:val="12"/>
                <w:szCs w:val="12"/>
                <w:b w:val="1"/>
                <w:bCs w:val="1"/>
                <w:color w:val="auto"/>
                <w:w w:val="73"/>
              </w:rPr>
              <w:t>(Stated</w:t>
            </w:r>
          </w:p>
        </w:tc>
        <w:tc>
          <w:tcPr>
            <w:tcW w:w="1000" w:type="dxa"/>
            <w:vAlign w:val="bottom"/>
            <w:gridSpan w:val="3"/>
          </w:tcPr>
          <w:p>
            <w:pPr>
              <w:jc w:val="right"/>
              <w:ind w:right="118"/>
              <w:spacing w:after="0" w:line="142" w:lineRule="exact"/>
              <w:rPr>
                <w:sz w:val="20"/>
                <w:szCs w:val="20"/>
                <w:color w:val="auto"/>
              </w:rPr>
            </w:pPr>
            <w:r>
              <w:rPr>
                <w:rFonts w:ascii="Arial" w:cs="Arial" w:eastAsia="Arial" w:hAnsi="Arial"/>
                <w:sz w:val="14"/>
                <w:szCs w:val="14"/>
                <w:b w:val="1"/>
                <w:bCs w:val="1"/>
                <w:color w:val="auto"/>
              </w:rPr>
              <w:t>in millions )</w:t>
            </w: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Software</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337</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241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Technology</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479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128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w w:val="86"/>
              </w:rPr>
              <w:t>351</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465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332</w:t>
            </w: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273</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122</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48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74</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124</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84"/>
              </w:rPr>
              <w:t>1,270</w:t>
            </w:r>
          </w:p>
        </w:tc>
        <w:tc>
          <w:tcPr>
            <w:tcW w:w="60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476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794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1,271</w:t>
            </w: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$29 million during the first quarter of 2009 and $32 million during the first quarter of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amortization period for all intangible assets is approximately 12 years.</w:t>
      </w:r>
    </w:p>
    <w:p>
      <w:pPr>
        <w:spacing w:after="0" w:line="9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Based on the net book value of intangible assets at March 31, 2009, amortization charged to income for the subsequent five years is estimated to be: remainder of 2009—$79 million; 2010—$95 million; 2011—$86 million; 2012—$80 million; 2013—$63 million and 2014—$57 million.</w:t>
      </w:r>
    </w:p>
    <w:p>
      <w:pPr>
        <w:spacing w:after="0" w:line="248"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 Instruments and Hedging Activities</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commodity prices and interest rates. To mitigate these risks, Schlumberger utilizes derivative instruments. Schlumberger does not enter into derivatives for speculative purposes.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 multinational company, Schlumberger conducts its business in approximately 80 countries. Schlumberger’s functional currency is primarily the US dollar, which is consistent with the oil and gas industry. However, outside the United States, a significant portion of Schlumberger’s expenses is incurred in foreign currencies. Therefore, when the US dollar weakens in relation to the foreign currencies of the countries in which Schlumberger conducts business, the US dollar —reported expenses will increase.</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 xml:space="preserve">Schlumberger is exposed to risks on future cash flows to the extent that local currency expenses exceed revenues denominated in local currency that are other than the functional currency. Schlumberger uses foreign currency forward contracts and foreign currency options to provide a hedge against a portion of these cash flow risks. These contracts are accounted for as cash flow hedges under the provisions of SFAS No. 133, </w:t>
      </w:r>
      <w:r>
        <w:rPr>
          <w:rFonts w:ascii="Arial" w:cs="Arial" w:eastAsia="Arial" w:hAnsi="Arial"/>
          <w:sz w:val="16"/>
          <w:szCs w:val="16"/>
          <w:i w:val="1"/>
          <w:iCs w:val="1"/>
          <w:color w:val="auto"/>
        </w:rPr>
        <w:t>Accounting for Derivative Instruments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Hedging Activities </w:t>
      </w:r>
      <w:r>
        <w:rPr>
          <w:rFonts w:ascii="Arial" w:cs="Arial" w:eastAsia="Arial" w:hAnsi="Arial"/>
          <w:sz w:val="16"/>
          <w:szCs w:val="16"/>
          <w:color w:val="auto"/>
        </w:rPr>
        <w:t>(SFAS No. 133), with the effective portion of changes in the fair value of the hedge recorded on the</w:t>
      </w:r>
      <w:r>
        <w:rPr>
          <w:rFonts w:ascii="Arial" w:cs="Arial" w:eastAsia="Arial" w:hAnsi="Arial"/>
          <w:sz w:val="16"/>
          <w:szCs w:val="16"/>
          <w:i w:val="1"/>
          <w:iCs w:val="1"/>
          <w:color w:val="auto"/>
        </w:rPr>
        <w:t xml:space="preserve"> Consolidated Balance Sheet </w:t>
      </w:r>
      <w:r>
        <w:rPr>
          <w:rFonts w:ascii="Arial" w:cs="Arial" w:eastAsia="Arial" w:hAnsi="Arial"/>
          <w:sz w:val="16"/>
          <w:szCs w:val="16"/>
          <w:color w:val="auto"/>
        </w:rPr>
        <w:t>and in</w:t>
      </w:r>
      <w:r>
        <w:rPr>
          <w:rFonts w:ascii="Arial" w:cs="Arial" w:eastAsia="Arial" w:hAnsi="Arial"/>
          <w:sz w:val="16"/>
          <w:szCs w:val="16"/>
          <w:i w:val="1"/>
          <w:iCs w:val="1"/>
          <w:color w:val="auto"/>
        </w:rPr>
        <w:t xml:space="preserve"> Other Comprehensive Income (Loss). </w:t>
      </w:r>
      <w:r>
        <w:rPr>
          <w:rFonts w:ascii="Arial" w:cs="Arial" w:eastAsia="Arial" w:hAnsi="Arial"/>
          <w:sz w:val="16"/>
          <w:szCs w:val="16"/>
          <w:color w:val="auto"/>
        </w:rPr>
        <w:t>Amounts recorded in</w:t>
      </w:r>
      <w:r>
        <w:rPr>
          <w:rFonts w:ascii="Arial" w:cs="Arial" w:eastAsia="Arial" w:hAnsi="Arial"/>
          <w:sz w:val="16"/>
          <w:szCs w:val="16"/>
          <w:i w:val="1"/>
          <w:iCs w:val="1"/>
          <w:color w:val="auto"/>
        </w:rPr>
        <w:t xml:space="preserve"> Other Comprehensive Income (Loss) </w:t>
      </w:r>
      <w:r>
        <w:rPr>
          <w:rFonts w:ascii="Arial" w:cs="Arial" w:eastAsia="Arial" w:hAnsi="Arial"/>
          <w:sz w:val="16"/>
          <w:szCs w:val="16"/>
          <w:color w:val="auto"/>
        </w:rPr>
        <w:t>are reclassified into earnings in the same period or periods that the</w:t>
      </w:r>
      <w:r>
        <w:rPr>
          <w:rFonts w:ascii="Arial" w:cs="Arial" w:eastAsia="Arial" w:hAnsi="Arial"/>
          <w:sz w:val="16"/>
          <w:szCs w:val="16"/>
          <w:i w:val="1"/>
          <w:iCs w:val="1"/>
          <w:color w:val="auto"/>
        </w:rPr>
        <w:t xml:space="preserve"> </w:t>
      </w:r>
      <w:r>
        <w:rPr>
          <w:rFonts w:ascii="Arial" w:cs="Arial" w:eastAsia="Arial" w:hAnsi="Arial"/>
          <w:sz w:val="16"/>
          <w:szCs w:val="16"/>
          <w:color w:val="auto"/>
        </w:rPr>
        <w:t>hedged item is recognized in earnings. The ineffective portion of changes in the fair value of the hedged item is recorded directly to earnings.</w:t>
      </w:r>
    </w:p>
    <w:p>
      <w:pPr>
        <w:spacing w:after="0" w:line="12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 xml:space="preserve">At March 31, 2009, Schlumberger recognized a cumulative net $91 million loss in </w:t>
      </w:r>
      <w:r>
        <w:rPr>
          <w:rFonts w:ascii="Arial" w:cs="Arial" w:eastAsia="Arial" w:hAnsi="Arial"/>
          <w:sz w:val="18"/>
          <w:szCs w:val="18"/>
          <w:i w:val="1"/>
          <w:iCs w:val="1"/>
          <w:color w:val="auto"/>
        </w:rPr>
        <w:t>Equity</w:t>
      </w:r>
      <w:r>
        <w:rPr>
          <w:rFonts w:ascii="Arial" w:cs="Arial" w:eastAsia="Arial" w:hAnsi="Arial"/>
          <w:sz w:val="18"/>
          <w:szCs w:val="18"/>
          <w:color w:val="auto"/>
        </w:rPr>
        <w:t xml:space="preserve"> relating to revaluation of foreign currency forward contracts and foreign currency options designated as cash flow hedges at March 31, 2009.</w:t>
      </w:r>
    </w:p>
    <w:p>
      <w:pPr>
        <w:spacing w:after="0" w:line="132"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 xml:space="preserve">Schlumberger is also exposed to changes in the fair value of assets and liabilities which are denominated in currencies other than the functional currency. Schlumberger uses foreign currency forward contracts and foreign currency options to hedge this exposure as it relates to certain currencies. These contracts are accounted for as fair value hedges under the provisions of SFAS No. 133, with the fair value of the contracts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along with the change in fair value of the hedged item.</w:t>
      </w:r>
    </w:p>
    <w:p>
      <w:pPr>
        <w:spacing w:after="0" w:line="11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At March 31, 2009, contracts were outstanding for the US dollar equivalent of $4.9 billion in various foreign currencies. These contracts expire on various dates during the next twelve months.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Commodity Price Risk</w:t>
      </w:r>
    </w:p>
    <w:p>
      <w:pPr>
        <w:spacing w:after="0" w:line="90"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Schlumberger is exposed to the impact of market fluctuations in the price of commodities, such as copper and lead. Schlumberger has entered into forward contracts on these commodities to manage the price risk associated with forecasted purchases. The objective of these contracts is to reduce the variability of cash flows associated with the forecasted purchase of those commodities. These contracts do not qualify for hedge accounting treatment under the provisions of SFAS No. 133 and therefore, changes in the fair value of the forward contracts are recorded directly to earnings.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ind w:right="420"/>
        <w:spacing w:after="0" w:line="256"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generally does not involve derivatives and instead primarily uses a mix of variable and fixed rate debt combined with its investment portfolio to mitigate the exposure to changes in interest rates. At March 31, 2009, Schlumberger had fixed rate debt aggregating approximately $3.5 billion and variable rate debt aggregating approximately $2.7 billion.</w:t>
      </w:r>
    </w:p>
    <w:p>
      <w:pPr>
        <w:spacing w:after="0" w:line="14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Schlumberger’s exposure to interest rate risk associated with its debt is also partially mitigated by its investment portfolio. Both </w:t>
      </w:r>
      <w:r>
        <w:rPr>
          <w:rFonts w:ascii="Arial" w:cs="Arial" w:eastAsia="Arial" w:hAnsi="Arial"/>
          <w:sz w:val="16"/>
          <w:szCs w:val="16"/>
          <w:i w:val="1"/>
          <w:iCs w:val="1"/>
          <w:color w:val="auto"/>
        </w:rPr>
        <w:t>Short-term investments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Fixed</w:t>
      </w:r>
      <w:r>
        <w:rPr>
          <w:rFonts w:ascii="Arial" w:cs="Arial" w:eastAsia="Arial" w:hAnsi="Arial"/>
          <w:sz w:val="16"/>
          <w:szCs w:val="16"/>
          <w:color w:val="auto"/>
        </w:rPr>
        <w:t xml:space="preserve"> </w:t>
      </w:r>
      <w:r>
        <w:rPr>
          <w:rFonts w:ascii="Arial" w:cs="Arial" w:eastAsia="Arial" w:hAnsi="Arial"/>
          <w:sz w:val="16"/>
          <w:szCs w:val="16"/>
          <w:i w:val="1"/>
          <w:iCs w:val="1"/>
          <w:color w:val="auto"/>
        </w:rPr>
        <w:t>income investments</w:t>
      </w:r>
      <w:r>
        <w:rPr>
          <w:rFonts w:ascii="Arial" w:cs="Arial" w:eastAsia="Arial" w:hAnsi="Arial"/>
          <w:sz w:val="16"/>
          <w:szCs w:val="16"/>
          <w:color w:val="auto"/>
        </w:rPr>
        <w:t>,</w:t>
      </w:r>
      <w:r>
        <w:rPr>
          <w:rFonts w:ascii="Arial" w:cs="Arial" w:eastAsia="Arial" w:hAnsi="Arial"/>
          <w:sz w:val="16"/>
          <w:szCs w:val="16"/>
          <w:i w:val="1"/>
          <w:iCs w:val="1"/>
          <w:color w:val="auto"/>
        </w:rPr>
        <w:t xml:space="preserve"> held to maturity</w:t>
      </w:r>
      <w:r>
        <w:rPr>
          <w:rFonts w:ascii="Arial" w:cs="Arial" w:eastAsia="Arial" w:hAnsi="Arial"/>
          <w:sz w:val="16"/>
          <w:szCs w:val="16"/>
          <w:color w:val="auto"/>
        </w:rPr>
        <w:t>, which totaled approximately $4.4 billion at March 31, 2009, are comprised primarily of money market funds, eurodollar</w:t>
      </w:r>
      <w:r>
        <w:rPr>
          <w:rFonts w:ascii="Arial" w:cs="Arial" w:eastAsia="Arial" w:hAnsi="Arial"/>
          <w:sz w:val="16"/>
          <w:szCs w:val="16"/>
          <w:i w:val="1"/>
          <w:iCs w:val="1"/>
          <w:color w:val="auto"/>
        </w:rPr>
        <w:t xml:space="preserve"> </w:t>
      </w:r>
      <w:r>
        <w:rPr>
          <w:rFonts w:ascii="Arial" w:cs="Arial" w:eastAsia="Arial" w:hAnsi="Arial"/>
          <w:sz w:val="16"/>
          <w:szCs w:val="16"/>
          <w:color w:val="auto"/>
        </w:rPr>
        <w:t>time deposits, certificates of deposit, commercial paper, euro notes and Eurobonds, and are substantially all denominated in US dollars.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detail the effect of derivatives on the financial position and performance of Schlumberger: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Derivative Instruments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ind w:right="72"/>
              <w:spacing w:after="0"/>
              <w:rPr>
                <w:sz w:val="20"/>
                <w:szCs w:val="20"/>
                <w:color w:val="auto"/>
              </w:rPr>
            </w:pPr>
            <w:r>
              <w:rPr>
                <w:rFonts w:ascii="Arial" w:cs="Arial" w:eastAsia="Arial" w:hAnsi="Arial"/>
                <w:sz w:val="14"/>
                <w:szCs w:val="14"/>
                <w:b w:val="1"/>
                <w:bCs w:val="1"/>
                <w:color w:val="auto"/>
                <w:w w:val="89"/>
              </w:rPr>
              <w:t>Fair Value</w:t>
            </w: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2"/>
              <w:spacing w:after="0" w:line="129" w:lineRule="exact"/>
              <w:rPr>
                <w:sz w:val="20"/>
                <w:szCs w:val="20"/>
                <w:color w:val="auto"/>
              </w:rPr>
            </w:pPr>
            <w:r>
              <w:rPr>
                <w:rFonts w:ascii="Arial" w:cs="Arial" w:eastAsia="Arial" w:hAnsi="Arial"/>
                <w:sz w:val="14"/>
                <w:szCs w:val="14"/>
                <w:b w:val="1"/>
                <w:bCs w:val="1"/>
                <w:color w:val="auto"/>
                <w:w w:val="83"/>
              </w:rPr>
              <w:t>Asset</w:t>
            </w:r>
          </w:p>
        </w:tc>
        <w:tc>
          <w:tcPr>
            <w:tcW w:w="700" w:type="dxa"/>
            <w:vAlign w:val="bottom"/>
          </w:tcPr>
          <w:p>
            <w:pPr>
              <w:spacing w:after="0"/>
              <w:rPr>
                <w:sz w:val="11"/>
                <w:szCs w:val="11"/>
                <w:color w:val="auto"/>
              </w:rPr>
            </w:pPr>
          </w:p>
        </w:tc>
        <w:tc>
          <w:tcPr>
            <w:tcW w:w="68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94"/>
              </w:rPr>
              <w:t>Liability</w:t>
            </w: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jc w:val="center"/>
              <w:ind w:right="22"/>
              <w:spacing w:after="0" w:line="129" w:lineRule="exact"/>
              <w:rPr>
                <w:sz w:val="20"/>
                <w:szCs w:val="20"/>
                <w:color w:val="auto"/>
              </w:rPr>
            </w:pPr>
            <w:r>
              <w:rPr>
                <w:rFonts w:ascii="Arial" w:cs="Arial" w:eastAsia="Arial" w:hAnsi="Arial"/>
                <w:sz w:val="14"/>
                <w:szCs w:val="14"/>
                <w:b w:val="1"/>
                <w:bCs w:val="1"/>
                <w:color w:val="auto"/>
                <w:w w:val="83"/>
              </w:rPr>
              <w:t>Asset</w:t>
            </w:r>
          </w:p>
        </w:tc>
        <w:tc>
          <w:tcPr>
            <w:tcW w:w="700" w:type="dxa"/>
            <w:vAlign w:val="bottom"/>
          </w:tcPr>
          <w:p>
            <w:pPr>
              <w:spacing w:after="0"/>
              <w:rPr>
                <w:sz w:val="11"/>
                <w:szCs w:val="11"/>
                <w:color w:val="auto"/>
              </w:rPr>
            </w:pPr>
          </w:p>
        </w:tc>
        <w:tc>
          <w:tcPr>
            <w:tcW w:w="6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Liability</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Derivatives</w:t>
            </w:r>
          </w:p>
        </w:tc>
        <w:tc>
          <w:tcPr>
            <w:tcW w:w="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8"/>
              </w:rPr>
              <w:t>Derivatives</w:t>
            </w:r>
          </w:p>
        </w:tc>
        <w:tc>
          <w:tcPr>
            <w:tcW w:w="660" w:type="dxa"/>
            <w:vAlign w:val="bottom"/>
          </w:tcPr>
          <w:p>
            <w:pPr>
              <w:spacing w:after="0"/>
              <w:rPr>
                <w:sz w:val="14"/>
                <w:szCs w:val="14"/>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w w:val="82"/>
              </w:rPr>
              <w:t>Derivatives</w:t>
            </w:r>
          </w:p>
        </w:tc>
        <w:tc>
          <w:tcPr>
            <w:tcW w:w="70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4"/>
                <w:szCs w:val="14"/>
                <w:b w:val="1"/>
                <w:bCs w:val="1"/>
                <w:color w:val="auto"/>
                <w:w w:val="88"/>
              </w:rPr>
              <w:t>Derivatives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2"/>
              <w:spacing w:after="0" w:line="129" w:lineRule="exact"/>
              <w:rPr>
                <w:sz w:val="20"/>
                <w:szCs w:val="20"/>
                <w:color w:val="auto"/>
              </w:rPr>
            </w:pPr>
            <w:r>
              <w:rPr>
                <w:rFonts w:ascii="Arial" w:cs="Arial" w:eastAsia="Arial" w:hAnsi="Arial"/>
                <w:sz w:val="14"/>
                <w:szCs w:val="14"/>
                <w:b w:val="1"/>
                <w:bCs w:val="1"/>
                <w:color w:val="auto"/>
                <w:w w:val="91"/>
              </w:rPr>
              <w:t>Mar. 31</w:t>
            </w: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22"/>
              <w:spacing w:after="0" w:line="129" w:lineRule="exact"/>
              <w:rPr>
                <w:sz w:val="20"/>
                <w:szCs w:val="20"/>
                <w:color w:val="auto"/>
              </w:rPr>
            </w:pPr>
            <w:r>
              <w:rPr>
                <w:rFonts w:ascii="Arial" w:cs="Arial" w:eastAsia="Arial" w:hAnsi="Arial"/>
                <w:sz w:val="14"/>
                <w:szCs w:val="14"/>
                <w:b w:val="1"/>
                <w:bCs w:val="1"/>
                <w:color w:val="auto"/>
                <w:w w:val="95"/>
              </w:rPr>
              <w:t>Mar. 31</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42"/>
              <w:spacing w:after="0" w:line="129" w:lineRule="exact"/>
              <w:rPr>
                <w:sz w:val="20"/>
                <w:szCs w:val="20"/>
                <w:color w:val="auto"/>
              </w:rPr>
            </w:pPr>
            <w:r>
              <w:rPr>
                <w:rFonts w:ascii="Arial" w:cs="Arial" w:eastAsia="Arial" w:hAnsi="Arial"/>
                <w:sz w:val="14"/>
                <w:szCs w:val="14"/>
                <w:b w:val="1"/>
                <w:bCs w:val="1"/>
                <w:color w:val="auto"/>
                <w:w w:val="85"/>
              </w:rPr>
              <w:t>Dec. 31</w:t>
            </w:r>
          </w:p>
        </w:tc>
        <w:tc>
          <w:tcPr>
            <w:tcW w:w="7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Dec.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9"/>
              </w:rPr>
              <w:t>2009</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3"/>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9"/>
              </w:rPr>
              <w:t>2008</w:t>
            </w:r>
          </w:p>
        </w:tc>
        <w:tc>
          <w:tcPr>
            <w:tcW w:w="7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2"/>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Derivatives designated as hedging instruments under SFAS No. 133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920" w:type="dxa"/>
            <w:vAlign w:val="bottom"/>
            <w:gridSpan w:val="2"/>
          </w:tcPr>
          <w:p>
            <w:pPr>
              <w:ind w:left="820"/>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Derivatives not designated as hedging instruments under SFAS No. 133</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Commodity contracts</w:t>
            </w:r>
          </w:p>
        </w:tc>
        <w:tc>
          <w:tcPr>
            <w:tcW w:w="8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w:t>
            </w:r>
          </w:p>
        </w:tc>
        <w:tc>
          <w:tcPr>
            <w:tcW w:w="780" w:type="dxa"/>
            <w:vAlign w:val="bottom"/>
            <w:gridSpan w:val="2"/>
          </w:tcPr>
          <w:p>
            <w:pPr>
              <w:ind w:left="660"/>
              <w:spacing w:after="0"/>
              <w:rPr>
                <w:sz w:val="20"/>
                <w:szCs w:val="20"/>
                <w:color w:val="auto"/>
              </w:rPr>
            </w:pPr>
            <w:r>
              <w:rPr>
                <w:rFonts w:ascii="Arial" w:cs="Arial" w:eastAsia="Arial" w:hAnsi="Arial"/>
                <w:sz w:val="18"/>
                <w:szCs w:val="18"/>
                <w:color w:val="auto"/>
                <w:w w:val="99"/>
              </w:rPr>
              <w:t>$</w:t>
            </w:r>
          </w:p>
        </w:tc>
        <w:tc>
          <w:tcPr>
            <w:tcW w:w="540" w:type="dxa"/>
            <w:vAlign w:val="bottom"/>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derivatives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w:t>
            </w:r>
          </w:p>
        </w:tc>
        <w:tc>
          <w:tcPr>
            <w:tcW w:w="7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 xml:space="preserve">The fair value of all outstanding derivatives are determined using a model with inputs that are observable in the market or can be derived from or corroborated by observable data, and are included in </w:t>
      </w:r>
      <w:r>
        <w:rPr>
          <w:rFonts w:ascii="Arial" w:cs="Arial" w:eastAsia="Arial" w:hAnsi="Arial"/>
          <w:sz w:val="18"/>
          <w:szCs w:val="18"/>
          <w:i w:val="1"/>
          <w:iCs w:val="1"/>
          <w:color w:val="auto"/>
        </w:rPr>
        <w:t>Accounts payable and accrued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Derivative Instruments on the Consolidated Statement of Income</w:t>
      </w:r>
    </w:p>
    <w:p>
      <w:pPr>
        <w:sectPr>
          <w:pgSz w:w="11900" w:h="16838" w:orient="portrait"/>
          <w:cols w:equalWidth="0" w:num="1">
            <w:col w:w="11420"/>
          </w:cols>
          <w:pgMar w:left="240" w:top="459" w:right="239" w:bottom="1440" w:gutter="0" w:footer="0" w:header="0"/>
        </w:sectPr>
      </w:pPr>
    </w:p>
    <w:p>
      <w:pPr>
        <w:spacing w:after="0" w:line="356" w:lineRule="exact"/>
        <w:rPr>
          <w:sz w:val="20"/>
          <w:szCs w:val="20"/>
          <w:color w:val="auto"/>
        </w:rPr>
      </w:pPr>
    </w:p>
    <w:p>
      <w:pPr>
        <w:ind w:left="460" w:right="480"/>
        <w:spacing w:after="0" w:line="241" w:lineRule="auto"/>
        <w:rPr>
          <w:sz w:val="20"/>
          <w:szCs w:val="20"/>
          <w:color w:val="auto"/>
        </w:rPr>
      </w:pPr>
      <w:r>
        <w:rPr>
          <w:rFonts w:ascii="Arial" w:cs="Arial" w:eastAsia="Arial" w:hAnsi="Arial"/>
          <w:sz w:val="14"/>
          <w:szCs w:val="14"/>
          <w:b w:val="1"/>
          <w:bCs w:val="1"/>
          <w:color w:val="auto"/>
        </w:rPr>
        <w:t>Derivatives in SFAS No. 133 Fair Value Hedging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18954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200" w:lineRule="exact"/>
        <w:rPr>
          <w:sz w:val="20"/>
          <w:szCs w:val="20"/>
          <w:color w:val="auto"/>
        </w:rPr>
      </w:pPr>
    </w:p>
    <w:p>
      <w:pPr>
        <w:spacing w:after="0" w:line="372"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Derivatives in SFAS No. 133</w:t>
      </w:r>
    </w:p>
    <w:p>
      <w:pPr>
        <w:ind w:left="460"/>
        <w:spacing w:after="0" w:line="223" w:lineRule="auto"/>
        <w:rPr>
          <w:sz w:val="20"/>
          <w:szCs w:val="20"/>
          <w:color w:val="auto"/>
        </w:rPr>
      </w:pPr>
      <w:r>
        <w:rPr>
          <w:rFonts w:ascii="Arial" w:cs="Arial" w:eastAsia="Arial" w:hAnsi="Arial"/>
          <w:sz w:val="14"/>
          <w:szCs w:val="14"/>
          <w:b w:val="1"/>
          <w:bCs w:val="1"/>
          <w:color w:val="auto"/>
        </w:rPr>
        <w:t>Cash Flow Hedging</w:t>
      </w:r>
    </w:p>
    <w:p>
      <w:pPr>
        <w:ind w:left="460"/>
        <w:spacing w:after="0"/>
        <w:rPr>
          <w:sz w:val="20"/>
          <w:szCs w:val="20"/>
          <w:color w:val="auto"/>
        </w:rPr>
      </w:pPr>
      <w:r>
        <w:rPr>
          <w:rFonts w:ascii="Arial" w:cs="Arial" w:eastAsia="Arial" w:hAnsi="Arial"/>
          <w:sz w:val="14"/>
          <w:szCs w:val="14"/>
          <w:b w:val="1"/>
          <w:bCs w:val="1"/>
          <w:color w:val="auto"/>
        </w:rPr>
        <w:t>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10979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915" cy="8890"/>
                    </a:xfrm>
                    <a:prstGeom prst="rect">
                      <a:avLst/>
                    </a:prstGeom>
                    <a:noFill/>
                  </pic:spPr>
                </pic:pic>
              </a:graphicData>
            </a:graphic>
          </wp:anchor>
        </w:drawing>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60"/>
        <w:spacing w:after="0" w:line="241" w:lineRule="auto"/>
        <w:rPr>
          <w:sz w:val="20"/>
          <w:szCs w:val="20"/>
          <w:color w:val="auto"/>
        </w:rPr>
      </w:pPr>
      <w:r>
        <w:rPr>
          <w:rFonts w:ascii="Arial" w:cs="Arial" w:eastAsia="Arial" w:hAnsi="Arial"/>
          <w:sz w:val="14"/>
          <w:szCs w:val="14"/>
          <w:b w:val="1"/>
          <w:bCs w:val="1"/>
          <w:color w:val="auto"/>
        </w:rPr>
        <w:t>Derivatives not designated as hedging instruments under SFAS 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-7620</wp:posOffset>
            </wp:positionV>
            <wp:extent cx="220408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Foreign exchange contracts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Commodity contracts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Gain (Loss)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86"/>
              </w:rPr>
              <w:t>Location of Gain (Loss) recognized</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First Quarter</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tcPr>
          <w:p>
            <w:pPr>
              <w:ind w:left="20"/>
              <w:spacing w:after="0" w:line="128" w:lineRule="exact"/>
              <w:rPr>
                <w:sz w:val="20"/>
                <w:szCs w:val="20"/>
                <w:color w:val="auto"/>
              </w:rPr>
            </w:pPr>
            <w:r>
              <w:rPr>
                <w:rFonts w:ascii="Arial" w:cs="Arial" w:eastAsia="Arial" w:hAnsi="Arial"/>
                <w:sz w:val="14"/>
                <w:szCs w:val="14"/>
                <w:b w:val="1"/>
                <w:bCs w:val="1"/>
                <w:color w:val="auto"/>
                <w:w w:val="86"/>
              </w:rPr>
              <w:t>(Stated 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gridSpan w:val="3"/>
          </w:tcPr>
          <w:p>
            <w:pPr>
              <w:spacing w:after="0"/>
              <w:rPr>
                <w:sz w:val="20"/>
                <w:szCs w:val="20"/>
                <w:color w:val="auto"/>
              </w:rPr>
            </w:pPr>
            <w:r>
              <w:rPr>
                <w:rFonts w:ascii="Arial" w:cs="Arial" w:eastAsia="Arial" w:hAnsi="Arial"/>
                <w:sz w:val="18"/>
                <w:szCs w:val="18"/>
                <w:color w:val="auto"/>
              </w:rPr>
              <w:t>Cost of goods sold and services</w:t>
            </w:r>
          </w:p>
        </w:tc>
        <w:tc>
          <w:tcPr>
            <w:tcW w:w="860" w:type="dxa"/>
            <w:vAlign w:val="bottom"/>
            <w:gridSpan w:val="2"/>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Gain (Loss)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Gain or (Loss)</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reclassified from</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0" w:type="dxa"/>
            <w:vAlign w:val="bottom"/>
          </w:tcPr>
          <w:p>
            <w:pPr>
              <w:spacing w:after="0"/>
              <w:rPr>
                <w:sz w:val="1"/>
                <w:szCs w:val="1"/>
                <w:color w:val="auto"/>
              </w:rPr>
            </w:pPr>
          </w:p>
        </w:tc>
      </w:tr>
      <w:tr>
        <w:trPr>
          <w:trHeight w:val="161"/>
        </w:trPr>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9"/>
              </w:rPr>
              <w:t>OCI on Derivatives</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5"/>
              </w:rPr>
              <w:t>Location of Gain (Loss) reclassified</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9"/>
              </w:rPr>
              <w:t>OCI into Income</w:t>
            </w:r>
          </w:p>
        </w:tc>
        <w:tc>
          <w:tcPr>
            <w:tcW w:w="0" w:type="dxa"/>
            <w:vAlign w:val="bottom"/>
          </w:tcPr>
          <w:p>
            <w:pPr>
              <w:spacing w:after="0"/>
              <w:rPr>
                <w:sz w:val="1"/>
                <w:szCs w:val="1"/>
                <w:color w:val="auto"/>
              </w:rPr>
            </w:pPr>
          </w:p>
        </w:tc>
      </w:tr>
      <w:tr>
        <w:trPr>
          <w:trHeight w:val="142"/>
        </w:trPr>
        <w:tc>
          <w:tcPr>
            <w:tcW w:w="11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First Quarter 2009</w:t>
            </w: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89"/>
              </w:rPr>
              <w:t>from Accumulated OCI into Income</w:t>
            </w: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First Quarter 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tcBorders>
              <w:top w:val="single" w:sz="8" w:color="auto"/>
            </w:tcBorders>
            <w:gridSpan w:val="2"/>
          </w:tcPr>
          <w:p>
            <w:pPr>
              <w:jc w:val="center"/>
              <w:spacing w:after="0" w:line="128" w:lineRule="exact"/>
              <w:rPr>
                <w:sz w:val="20"/>
                <w:szCs w:val="20"/>
                <w:color w:val="auto"/>
              </w:rPr>
            </w:pPr>
            <w:r>
              <w:rPr>
                <w:rFonts w:ascii="Arial" w:cs="Arial" w:eastAsia="Arial" w:hAnsi="Arial"/>
                <w:sz w:val="14"/>
                <w:szCs w:val="14"/>
                <w:b w:val="1"/>
                <w:bCs w:val="1"/>
                <w:color w:val="auto"/>
                <w:w w:val="86"/>
              </w:rPr>
              <w:t>(Stated 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w:t>
            </w:r>
          </w:p>
        </w:tc>
        <w:tc>
          <w:tcPr>
            <w:tcW w:w="560" w:type="dxa"/>
            <w:vAlign w:val="bottom"/>
          </w:tcPr>
          <w:p>
            <w:pPr>
              <w:spacing w:after="0"/>
              <w:rPr>
                <w:sz w:val="19"/>
                <w:szCs w:val="19"/>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Cost of goods sold and services</w:t>
            </w:r>
          </w:p>
        </w:tc>
        <w:tc>
          <w:tcPr>
            <w:tcW w:w="1000" w:type="dxa"/>
            <w:vAlign w:val="bottom"/>
            <w:gridSpan w:val="3"/>
          </w:tcPr>
          <w:p>
            <w:pPr>
              <w:ind w:left="8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(64)</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960" w:type="dxa"/>
            <w:vAlign w:val="bottom"/>
            <w:gridSpan w:val="3"/>
            <w:vMerge w:val="restart"/>
          </w:tcPr>
          <w:p>
            <w:pPr>
              <w:ind w:left="40"/>
              <w:spacing w:after="0"/>
              <w:rPr>
                <w:sz w:val="20"/>
                <w:szCs w:val="20"/>
                <w:color w:val="auto"/>
              </w:rPr>
            </w:pPr>
            <w:r>
              <w:rPr>
                <w:rFonts w:ascii="Arial" w:cs="Arial" w:eastAsia="Arial" w:hAnsi="Arial"/>
                <w:sz w:val="18"/>
                <w:szCs w:val="18"/>
                <w:color w:val="auto"/>
              </w:rPr>
              <w:t>Research &amp; engineering</w:t>
            </w: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3"/>
            <w:vMerge w:val="continue"/>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Gain (Loss)</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recognized in</w:t>
            </w:r>
          </w:p>
        </w:tc>
        <w:tc>
          <w:tcPr>
            <w:tcW w:w="0" w:type="dxa"/>
            <w:vAlign w:val="bottom"/>
          </w:tcPr>
          <w:p>
            <w:pPr>
              <w:spacing w:after="0"/>
              <w:rPr>
                <w:sz w:val="1"/>
                <w:szCs w:val="1"/>
                <w:color w:val="auto"/>
              </w:rPr>
            </w:pPr>
          </w:p>
        </w:tc>
      </w:tr>
      <w:tr>
        <w:trPr>
          <w:trHeight w:val="149"/>
        </w:trPr>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Income on</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Gain (Loss) recognized in Income</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Derivatives</w:t>
            </w:r>
          </w:p>
        </w:tc>
        <w:tc>
          <w:tcPr>
            <w:tcW w:w="0" w:type="dxa"/>
            <w:vAlign w:val="bottom"/>
          </w:tcPr>
          <w:p>
            <w:pPr>
              <w:spacing w:after="0"/>
              <w:rPr>
                <w:sz w:val="1"/>
                <w:szCs w:val="1"/>
                <w:color w:val="auto"/>
              </w:rPr>
            </w:pPr>
          </w:p>
        </w:tc>
      </w:tr>
      <w:tr>
        <w:trPr>
          <w:trHeight w:val="142"/>
        </w:trPr>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92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5"/>
              </w:rPr>
              <w:t>on Derivatives</w:t>
            </w:r>
          </w:p>
        </w:tc>
        <w:tc>
          <w:tcPr>
            <w:tcW w:w="20" w:type="dxa"/>
            <w:vAlign w:val="bottom"/>
            <w:tcBorders>
              <w:bottom w:val="single" w:sz="8" w:color="auto"/>
            </w:tcBorders>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90"/>
              </w:rPr>
              <w:t>First Quarter 2009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2"/>
          </w:tcPr>
          <w:p>
            <w:pPr>
              <w:jc w:val="center"/>
              <w:spacing w:after="0" w:line="128" w:lineRule="exact"/>
              <w:rPr>
                <w:sz w:val="20"/>
                <w:szCs w:val="20"/>
                <w:color w:val="auto"/>
              </w:rPr>
            </w:pPr>
            <w:r>
              <w:rPr>
                <w:rFonts w:ascii="Arial" w:cs="Arial" w:eastAsia="Arial" w:hAnsi="Arial"/>
                <w:sz w:val="14"/>
                <w:szCs w:val="14"/>
                <w:b w:val="1"/>
                <w:bCs w:val="1"/>
                <w:color w:val="auto"/>
                <w:w w:val="86"/>
              </w:rPr>
              <w:t>(Stated in millions)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Cost of goods sold and services</w:t>
            </w:r>
          </w:p>
        </w:tc>
        <w:tc>
          <w:tcPr>
            <w:tcW w:w="1000" w:type="dxa"/>
            <w:vAlign w:val="bottom"/>
            <w:gridSpan w:val="3"/>
          </w:tcPr>
          <w:p>
            <w:pPr>
              <w:ind w:left="86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960" w:type="dxa"/>
            <w:vAlign w:val="bottom"/>
            <w:gridSpan w:val="3"/>
          </w:tcPr>
          <w:p>
            <w:pPr>
              <w:ind w:left="40"/>
              <w:spacing w:after="0"/>
              <w:rPr>
                <w:sz w:val="20"/>
                <w:szCs w:val="20"/>
                <w:color w:val="auto"/>
              </w:rPr>
            </w:pPr>
            <w:r>
              <w:rPr>
                <w:rFonts w:ascii="Arial" w:cs="Arial" w:eastAsia="Arial" w:hAnsi="Arial"/>
                <w:sz w:val="18"/>
                <w:szCs w:val="18"/>
                <w:color w:val="auto"/>
              </w:rPr>
              <w:t>Cost of goods sold and services</w:t>
            </w: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vMerge w:val="restart"/>
          </w:tcPr>
          <w:p>
            <w:pPr>
              <w:jc w:val="right"/>
              <w:ind w:right="72"/>
              <w:spacing w:after="0"/>
              <w:rPr>
                <w:sz w:val="20"/>
                <w:szCs w:val="20"/>
                <w:color w:val="auto"/>
              </w:rPr>
            </w:pPr>
            <w:r>
              <w:rPr>
                <w:rFonts w:ascii="Arial" w:cs="Arial" w:eastAsia="Arial" w:hAnsi="Arial"/>
                <w:sz w:val="18"/>
                <w:szCs w:val="18"/>
                <w:color w:val="auto"/>
              </w:rPr>
              <w:t>12</w:t>
            </w:r>
          </w:p>
        </w:tc>
        <w:tc>
          <w:tcPr>
            <w:tcW w:w="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-2785110</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-1901825</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-1576070</wp:posOffset>
            </wp:positionV>
            <wp:extent cx="666369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-692785</wp:posOffset>
            </wp:positionV>
            <wp:extent cx="666369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663690" cy="137160"/>
                    </a:xfrm>
                    <a:prstGeom prst="rect">
                      <a:avLst/>
                    </a:prstGeom>
                    <a:noFill/>
                  </pic:spPr>
                </pic:pic>
              </a:graphicData>
            </a:graphic>
          </wp:anchor>
        </w:drawing>
        <w:drawing>
          <wp:anchor simplePos="0" relativeHeight="251657728" behindDoc="1" locked="0" layoutInCell="0" allowOverlap="1">
            <wp:simplePos x="0" y="0"/>
            <wp:positionH relativeFrom="column">
              <wp:posOffset>-2242820</wp:posOffset>
            </wp:positionH>
            <wp:positionV relativeFrom="paragraph">
              <wp:posOffset>-401320</wp:posOffset>
            </wp:positionV>
            <wp:extent cx="666369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ectPr>
          <w:pgSz w:w="11900" w:h="16838" w:orient="portrait"/>
          <w:cols w:equalWidth="0" w:num="2">
            <w:col w:w="3740" w:space="260"/>
            <w:col w:w="7420"/>
          </w:cols>
          <w:pgMar w:left="240" w:top="459" w:right="23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Schlumberger has three types of stock-based compensation programs: stock options, restricted stock and a discounted stock purchase plan (“DSPP”).</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summarizes stock-based compensation expense recognized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First Quarter</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3"/>
          </w:tcPr>
          <w:p>
            <w:pPr>
              <w:jc w:val="right"/>
              <w:ind w:right="21"/>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10"/>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gridSpan w:val="5"/>
            <w:shd w:val="clear" w:color="auto" w:fill="CCEEFF"/>
          </w:tcPr>
          <w:p>
            <w:pPr>
              <w:jc w:val="right"/>
              <w:ind w:right="192"/>
              <w:spacing w:after="0"/>
              <w:rPr>
                <w:sz w:val="20"/>
                <w:szCs w:val="20"/>
                <w:color w:val="auto"/>
              </w:rPr>
            </w:pPr>
            <w:r>
              <w:rPr>
                <w:rFonts w:ascii="Arial" w:cs="Arial" w:eastAsia="Arial" w:hAnsi="Arial"/>
                <w:sz w:val="18"/>
                <w:szCs w:val="18"/>
                <w:b w:val="1"/>
                <w:bCs w:val="1"/>
                <w:color w:val="auto"/>
              </w:rPr>
              <w:t>30</w:t>
            </w: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Restricted stock</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5"/>
          </w:tcPr>
          <w:p>
            <w:pPr>
              <w:jc w:val="right"/>
              <w:ind w:right="192"/>
              <w:spacing w:after="0"/>
              <w:rPr>
                <w:sz w:val="20"/>
                <w:szCs w:val="20"/>
                <w:color w:val="auto"/>
              </w:rPr>
            </w:pPr>
            <w:r>
              <w:rPr>
                <w:rFonts w:ascii="Arial" w:cs="Arial" w:eastAsia="Arial" w:hAnsi="Arial"/>
                <w:sz w:val="18"/>
                <w:szCs w:val="18"/>
                <w:b w:val="1"/>
                <w:bCs w:val="1"/>
                <w:color w:val="auto"/>
              </w:rPr>
              <w:t>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DSPP</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8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47</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10.   Income Tax</w:t>
            </w: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87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720" w:type="dxa"/>
            <w:vAlign w:val="bottom"/>
            <w:gridSpan w:val="2"/>
          </w:tcPr>
          <w:p>
            <w:pPr>
              <w:spacing w:after="0"/>
              <w:rPr>
                <w:sz w:val="20"/>
                <w:szCs w:val="20"/>
                <w:color w:val="auto"/>
              </w:rPr>
            </w:pPr>
            <w:r>
              <w:rPr>
                <w:rFonts w:ascii="Arial" w:cs="Arial" w:eastAsia="Arial" w:hAnsi="Arial"/>
                <w:sz w:val="18"/>
                <w:szCs w:val="18"/>
                <w:i w:val="1"/>
                <w:iCs w:val="1"/>
                <w:color w:val="auto"/>
                <w:w w:val="94"/>
              </w:rPr>
              <w:t xml:space="preserve">Income from continuing operations before taxes </w:t>
            </w:r>
            <w:r>
              <w:rPr>
                <w:rFonts w:ascii="Arial" w:cs="Arial" w:eastAsia="Arial" w:hAnsi="Arial"/>
                <w:sz w:val="18"/>
                <w:szCs w:val="18"/>
                <w:color w:val="auto"/>
                <w:w w:val="94"/>
              </w:rPr>
              <w:t>which were subject to US and non-US income taxes was as follows:</w:t>
            </w: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7"/>
          </w:tcPr>
          <w:p>
            <w:pPr>
              <w:jc w:val="right"/>
              <w:ind w:right="360"/>
              <w:spacing w:after="0"/>
              <w:rPr>
                <w:sz w:val="20"/>
                <w:szCs w:val="20"/>
                <w:color w:val="auto"/>
              </w:rPr>
            </w:pPr>
            <w:r>
              <w:rPr>
                <w:rFonts w:ascii="Arial" w:cs="Arial" w:eastAsia="Arial" w:hAnsi="Arial"/>
                <w:sz w:val="14"/>
                <w:szCs w:val="14"/>
                <w:b w:val="1"/>
                <w:bCs w:val="1"/>
                <w:color w:val="auto"/>
                <w:w w:val="99"/>
              </w:rPr>
              <w:t>First Quarter</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3"/>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2009</w:t>
            </w: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w w:val="79"/>
              </w:rPr>
              <w:t>(Stated</w:t>
            </w:r>
          </w:p>
        </w:tc>
        <w:tc>
          <w:tcPr>
            <w:tcW w:w="960" w:type="dxa"/>
            <w:vAlign w:val="bottom"/>
            <w:gridSpan w:val="5"/>
          </w:tcPr>
          <w:p>
            <w:pPr>
              <w:jc w:val="right"/>
              <w:ind w:right="95"/>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103</w:t>
            </w:r>
          </w:p>
        </w:tc>
        <w:tc>
          <w:tcPr>
            <w:tcW w:w="3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Outside United States</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ind w:right="132"/>
              <w:spacing w:after="0"/>
              <w:rPr>
                <w:sz w:val="20"/>
                <w:szCs w:val="20"/>
                <w:color w:val="auto"/>
              </w:rPr>
            </w:pPr>
            <w:r>
              <w:rPr>
                <w:rFonts w:ascii="Arial" w:cs="Arial" w:eastAsia="Arial" w:hAnsi="Arial"/>
                <w:sz w:val="18"/>
                <w:szCs w:val="18"/>
                <w:b w:val="1"/>
                <w:bCs w:val="1"/>
                <w:color w:val="auto"/>
                <w:w w:val="84"/>
              </w:rPr>
              <w:t>1,089</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8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4"/>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84"/>
              </w:rPr>
              <w:t>1,192</w:t>
            </w:r>
          </w:p>
        </w:tc>
        <w:tc>
          <w:tcPr>
            <w:tcW w:w="760" w:type="dxa"/>
            <w:vAlign w:val="bottom"/>
            <w:tcBorders>
              <w:right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$ 1,615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20" w:type="dxa"/>
            <w:vAlign w:val="bottom"/>
            <w:gridSpan w:val="2"/>
            <w:vMerge w:val="restart"/>
          </w:tcPr>
          <w:p>
            <w:pPr>
              <w:spacing w:after="0"/>
              <w:rPr>
                <w:sz w:val="20"/>
                <w:szCs w:val="20"/>
                <w:color w:val="auto"/>
              </w:rPr>
            </w:pPr>
            <w:r>
              <w:rPr>
                <w:rFonts w:ascii="Arial" w:cs="Arial" w:eastAsia="Arial" w:hAnsi="Arial"/>
                <w:sz w:val="18"/>
                <w:szCs w:val="18"/>
                <w:color w:val="auto"/>
              </w:rPr>
              <w:t>The components of net deferred tax assets were as follows:</w:t>
            </w: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720" w:type="dxa"/>
            <w:vAlign w:val="bottom"/>
            <w:gridSpan w:val="2"/>
            <w:vMerge w:val="continue"/>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gridSpan w:val="8"/>
          </w:tcPr>
          <w:p>
            <w:pPr>
              <w:jc w:val="right"/>
              <w:ind w:right="412"/>
              <w:spacing w:after="0"/>
              <w:rPr>
                <w:sz w:val="20"/>
                <w:szCs w:val="20"/>
                <w:color w:val="auto"/>
              </w:rPr>
            </w:pPr>
            <w:r>
              <w:rPr>
                <w:rFonts w:ascii="Arial" w:cs="Arial" w:eastAsia="Arial" w:hAnsi="Arial"/>
                <w:sz w:val="14"/>
                <w:szCs w:val="14"/>
                <w:b w:val="1"/>
                <w:bCs w:val="1"/>
                <w:color w:val="auto"/>
                <w:w w:val="95"/>
              </w:rPr>
              <w:t>Mar. 31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gridSpan w:val="3"/>
          </w:tcPr>
          <w:p>
            <w:pPr>
              <w:spacing w:after="0"/>
              <w:rPr>
                <w:sz w:val="20"/>
                <w:szCs w:val="20"/>
                <w:color w:val="auto"/>
              </w:rPr>
            </w:pPr>
            <w:r>
              <w:rPr>
                <w:rFonts w:ascii="Arial" w:cs="Arial" w:eastAsia="Arial" w:hAnsi="Arial"/>
                <w:sz w:val="14"/>
                <w:szCs w:val="14"/>
                <w:b w:val="1"/>
                <w:bCs w:val="1"/>
                <w:color w:val="auto"/>
              </w:rPr>
              <w:t>Dec.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Borders>
              <w:top w:val="single" w:sz="8" w:color="auto"/>
              <w:bottom w:val="single" w:sz="8" w:color="auto"/>
            </w:tcBorders>
            <w:gridSpan w:val="5"/>
          </w:tcPr>
          <w:p>
            <w:pPr>
              <w:jc w:val="right"/>
              <w:ind w:right="4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Borders>
              <w:top w:val="single" w:sz="8" w:color="auto"/>
              <w:bottom w:val="single" w:sz="8" w:color="auto"/>
            </w:tcBorders>
            <w:gridSpan w:val="3"/>
          </w:tcPr>
          <w:p>
            <w:pPr>
              <w:jc w:val="right"/>
              <w:ind w:right="95"/>
              <w:spacing w:after="0" w:line="142" w:lineRule="exact"/>
              <w:rPr>
                <w:sz w:val="20"/>
                <w:szCs w:val="20"/>
                <w:color w:val="auto"/>
              </w:rPr>
            </w:pPr>
            <w:r>
              <w:rPr>
                <w:rFonts w:ascii="Arial" w:cs="Arial" w:eastAsia="Arial" w:hAnsi="Arial"/>
                <w:sz w:val="14"/>
                <w:szCs w:val="14"/>
                <w:b w:val="1"/>
                <w:bCs w:val="1"/>
                <w:color w:val="auto"/>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10"/>
          </w:tcPr>
          <w:p>
            <w:pPr>
              <w:jc w:val="right"/>
              <w:ind w:right="360"/>
              <w:spacing w:after="0" w:line="142" w:lineRule="exact"/>
              <w:rPr>
                <w:sz w:val="20"/>
                <w:szCs w:val="20"/>
                <w:color w:val="auto"/>
              </w:rPr>
            </w:pPr>
            <w:r>
              <w:rPr>
                <w:rFonts w:ascii="Arial" w:cs="Arial" w:eastAsia="Arial" w:hAnsi="Arial"/>
                <w:sz w:val="14"/>
                <w:szCs w:val="14"/>
                <w:b w:val="1"/>
                <w:bCs w:val="1"/>
                <w:color w:val="auto"/>
                <w:w w:val="89"/>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Postretirement benefits, net</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481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Multiclient seismic data</w:t>
            </w: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5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5"/>
            <w:shd w:val="clear" w:color="auto" w:fill="CCEEFF"/>
          </w:tcPr>
          <w:p>
            <w:pPr>
              <w:jc w:val="right"/>
              <w:ind w:right="132"/>
              <w:spacing w:after="0"/>
              <w:rPr>
                <w:sz w:val="20"/>
                <w:szCs w:val="20"/>
                <w:color w:val="auto"/>
              </w:rPr>
            </w:pPr>
            <w:r>
              <w:rPr>
                <w:rFonts w:ascii="Arial" w:cs="Arial" w:eastAsia="Arial" w:hAnsi="Arial"/>
                <w:sz w:val="18"/>
                <w:szCs w:val="18"/>
                <w:b w:val="1"/>
                <w:bCs w:val="1"/>
                <w:color w:val="auto"/>
                <w:w w:val="99"/>
              </w:rPr>
              <w:t>(111)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(106)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Other, net</w:t>
            </w:r>
          </w:p>
        </w:tc>
        <w:tc>
          <w:tcPr>
            <w:tcW w:w="52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161</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661</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4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above deferred tax assets at March 31, 2009 and December 31, 2008 are net of valuation allowances relating to net operating losses in certain countries of $186 million and $197 million, respectively. The deferred tax assets are also net of valuation allowances relating to a capital loss carryforward of $139 million at March 31, 2009 ($140 million at December 31, 2008) of which $123 million expires in 2009 and $16 million expires in 2010, and a foreign tax credit carryforward of $49 million at March 31, 2009 ($49 million at December 31, 2008) of which $3 million expires in 2009, and $46 million expires in years 2010 through 2012.</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components of consolidated </w:t>
      </w:r>
      <w:r>
        <w:rPr>
          <w:rFonts w:ascii="Arial" w:cs="Arial" w:eastAsia="Arial" w:hAnsi="Arial"/>
          <w:sz w:val="18"/>
          <w:szCs w:val="18"/>
          <w:i w:val="1"/>
          <w:iCs w:val="1"/>
          <w:color w:val="auto"/>
        </w:rPr>
        <w:t>Taxes on income</w:t>
      </w:r>
      <w:r>
        <w:rPr>
          <w:rFonts w:ascii="Arial" w:cs="Arial" w:eastAsia="Arial" w:hAnsi="Arial"/>
          <w:sz w:val="18"/>
          <w:szCs w:val="18"/>
          <w:color w:val="auto"/>
        </w:rPr>
        <w:t xml:space="preserve">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8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8"/>
          </w:tcPr>
          <w:p>
            <w:pPr>
              <w:jc w:val="center"/>
              <w:ind w:right="220"/>
              <w:spacing w:after="0"/>
              <w:rPr>
                <w:sz w:val="20"/>
                <w:szCs w:val="20"/>
                <w:color w:val="auto"/>
              </w:rPr>
            </w:pPr>
            <w:r>
              <w:rPr>
                <w:rFonts w:ascii="Arial" w:cs="Arial" w:eastAsia="Arial" w:hAnsi="Arial"/>
                <w:sz w:val="14"/>
                <w:szCs w:val="14"/>
                <w:b w:val="1"/>
                <w:bCs w:val="1"/>
                <w:color w:val="auto"/>
                <w:w w:val="91"/>
              </w:rPr>
              <w:t>First Quarter</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2"/>
              <w:spacing w:after="0" w:line="142" w:lineRule="exact"/>
              <w:rPr>
                <w:sz w:val="20"/>
                <w:szCs w:val="20"/>
                <w:color w:val="auto"/>
              </w:rPr>
            </w:pPr>
            <w:r>
              <w:rPr>
                <w:rFonts w:ascii="Arial" w:cs="Arial" w:eastAsia="Arial" w:hAnsi="Arial"/>
                <w:sz w:val="14"/>
                <w:szCs w:val="14"/>
                <w:b w:val="1"/>
                <w:bCs w:val="1"/>
                <w:color w:val="auto"/>
                <w:w w:val="83"/>
              </w:rPr>
              <w:t>2009</w:t>
            </w:r>
          </w:p>
        </w:tc>
        <w:tc>
          <w:tcPr>
            <w:tcW w:w="2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3"/>
              </w:rPr>
              <w:t>2008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8"/>
          </w:tcPr>
          <w:p>
            <w:pPr>
              <w:jc w:val="center"/>
              <w:ind w:right="22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States—State</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210</w:t>
            </w: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174</w:t>
            </w: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420" w:type="dxa"/>
            <w:vAlign w:val="bottom"/>
            <w:gridSpan w:val="2"/>
          </w:tcPr>
          <w:p>
            <w:pPr>
              <w:ind w:left="460"/>
              <w:spacing w:after="0"/>
              <w:rPr>
                <w:sz w:val="20"/>
                <w:szCs w:val="20"/>
                <w:color w:val="auto"/>
              </w:rPr>
            </w:pPr>
            <w:r>
              <w:rPr>
                <w:rFonts w:ascii="Arial" w:cs="Arial" w:eastAsia="Arial" w:hAnsi="Arial"/>
                <w:sz w:val="18"/>
                <w:szCs w:val="18"/>
                <w:color w:val="auto"/>
              </w:rPr>
              <w:t>Deferred:</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United States—Federal</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360" w:type="dxa"/>
            <w:vAlign w:val="bottom"/>
            <w:shd w:val="clear" w:color="auto" w:fill="CCEEFF"/>
          </w:tcPr>
          <w:p>
            <w:pPr>
              <w:spacing w:after="0"/>
              <w:rPr>
                <w:sz w:val="18"/>
                <w:szCs w:val="18"/>
                <w:color w:val="auto"/>
              </w:rPr>
            </w:pPr>
          </w:p>
        </w:tc>
        <w:tc>
          <w:tcPr>
            <w:tcW w:w="3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United States—State</w:t>
            </w:r>
          </w:p>
        </w:tc>
        <w:tc>
          <w:tcPr>
            <w:tcW w:w="100" w:type="dxa"/>
            <w:vAlign w:val="bottom"/>
          </w:tcPr>
          <w:p>
            <w:pPr>
              <w:spacing w:after="0"/>
              <w:rPr>
                <w:sz w:val="18"/>
                <w:szCs w:val="18"/>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4</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Outside United States</w:t>
            </w: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8960" w:type="dxa"/>
            <w:vAlign w:val="bottom"/>
          </w:tcPr>
          <w:p>
            <w:pPr>
              <w:ind w:left="440"/>
              <w:spacing w:after="0"/>
              <w:rPr>
                <w:sz w:val="20"/>
                <w:szCs w:val="20"/>
                <w:color w:val="auto"/>
              </w:rPr>
            </w:pPr>
            <w:r>
              <w:rPr>
                <w:rFonts w:ascii="Arial" w:cs="Arial" w:eastAsia="Arial" w:hAnsi="Arial"/>
                <w:sz w:val="18"/>
                <w:szCs w:val="18"/>
                <w:color w:val="auto"/>
              </w:rPr>
              <w:t>Valuation allowance</w:t>
            </w:r>
          </w:p>
        </w:tc>
        <w:tc>
          <w:tcPr>
            <w:tcW w:w="100" w:type="dxa"/>
            <w:vAlign w:val="bottom"/>
          </w:tcPr>
          <w:p>
            <w:pPr>
              <w:spacing w:after="0"/>
              <w:rPr>
                <w:sz w:val="19"/>
                <w:szCs w:val="19"/>
                <w:color w:val="auto"/>
              </w:rPr>
            </w:pPr>
          </w:p>
        </w:tc>
        <w:tc>
          <w:tcPr>
            <w:tcW w:w="7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78</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420" w:type="dxa"/>
            <w:vAlign w:val="bottom"/>
            <w:gridSpan w:val="2"/>
          </w:tcPr>
          <w:p>
            <w:pPr>
              <w:ind w:left="460"/>
              <w:spacing w:after="0"/>
              <w:rPr>
                <w:sz w:val="20"/>
                <w:szCs w:val="20"/>
                <w:color w:val="auto"/>
              </w:rPr>
            </w:pPr>
            <w:r>
              <w:rPr>
                <w:rFonts w:ascii="Arial" w:cs="Arial" w:eastAsia="Arial" w:hAnsi="Arial"/>
                <w:sz w:val="18"/>
                <w:szCs w:val="18"/>
                <w:color w:val="auto"/>
              </w:rPr>
              <w:t>Consolidated taxes on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3"/>
          </w:tcPr>
          <w:p>
            <w:pPr>
              <w:jc w:val="right"/>
              <w:spacing w:after="0"/>
              <w:rPr>
                <w:sz w:val="20"/>
                <w:szCs w:val="20"/>
                <w:color w:val="auto"/>
              </w:rPr>
            </w:pPr>
            <w:r>
              <w:rPr>
                <w:rFonts w:ascii="Arial" w:cs="Arial" w:eastAsia="Arial" w:hAnsi="Arial"/>
                <w:sz w:val="18"/>
                <w:szCs w:val="18"/>
                <w:b w:val="1"/>
                <w:bCs w:val="1"/>
                <w:color w:val="auto"/>
              </w:rPr>
              <w:t>252</w:t>
            </w:r>
          </w:p>
        </w:tc>
        <w:tc>
          <w:tcPr>
            <w:tcW w:w="36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3"/>
          </w:tcPr>
          <w:p>
            <w:pPr>
              <w:jc w:val="right"/>
              <w:ind w:right="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spacing w:after="0"/>
              <w:rPr>
                <w:sz w:val="20"/>
                <w:szCs w:val="20"/>
                <w:color w:val="auto"/>
              </w:rPr>
            </w:pPr>
            <w:r>
              <w:rPr>
                <w:rFonts w:ascii="Arial" w:cs="Arial" w:eastAsia="Arial" w:hAnsi="Arial"/>
                <w:sz w:val="18"/>
                <w:szCs w:val="18"/>
                <w:color w:val="auto"/>
              </w:rPr>
              <w:t>A reconciliation of the US statutory federal tax rate of 35% to the consolidated effective income tax rate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4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8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8"/>
          </w:tcPr>
          <w:p>
            <w:pPr>
              <w:jc w:val="center"/>
              <w:ind w:right="180"/>
              <w:spacing w:after="0"/>
              <w:rPr>
                <w:sz w:val="20"/>
                <w:szCs w:val="20"/>
                <w:color w:val="auto"/>
              </w:rPr>
            </w:pPr>
            <w:r>
              <w:rPr>
                <w:rFonts w:ascii="Arial" w:cs="Arial" w:eastAsia="Arial" w:hAnsi="Arial"/>
                <w:sz w:val="14"/>
                <w:szCs w:val="14"/>
                <w:b w:val="1"/>
                <w:bCs w:val="1"/>
                <w:color w:val="auto"/>
                <w:w w:val="91"/>
              </w:rPr>
              <w:t>First Quarter</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8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top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w w:val="76"/>
              </w:rPr>
              <w:t>2009</w:t>
            </w: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0" w:type="dxa"/>
            <w:vAlign w:val="bottom"/>
            <w:vMerge w:val="restart"/>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US federal statutory rate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35%</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US state income taxes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46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Non-US income taxed at different rates</w:t>
            </w:r>
          </w:p>
        </w:tc>
        <w:tc>
          <w:tcPr>
            <w:tcW w:w="100" w:type="dxa"/>
            <w:vAlign w:val="bottom"/>
            <w:shd w:val="clear" w:color="auto" w:fill="CCEEFF"/>
          </w:tcPr>
          <w:p>
            <w:pPr>
              <w:spacing w:after="0"/>
              <w:rPr>
                <w:sz w:val="18"/>
                <w:szCs w:val="18"/>
                <w:color w:val="auto"/>
              </w:rPr>
            </w:pPr>
          </w:p>
        </w:tc>
        <w:tc>
          <w:tcPr>
            <w:tcW w:w="74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w:t>
            </w: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Effect of equity method investment</w:t>
            </w:r>
          </w:p>
        </w:tc>
        <w:tc>
          <w:tcPr>
            <w:tcW w:w="100" w:type="dxa"/>
            <w:vAlign w:val="bottom"/>
          </w:tcPr>
          <w:p>
            <w:pPr>
              <w:spacing w:after="0"/>
              <w:rPr>
                <w:sz w:val="18"/>
                <w:szCs w:val="18"/>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8"/>
                <w:szCs w:val="18"/>
                <w:b w:val="1"/>
                <w:bCs w:val="1"/>
                <w:color w:val="auto"/>
                <w:w w:val="88"/>
              </w:rPr>
              <w:t>—</w:t>
            </w:r>
          </w:p>
        </w:tc>
        <w:tc>
          <w:tcPr>
            <w:tcW w:w="3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420" w:type="dxa"/>
            <w:vAlign w:val="bottom"/>
            <w:gridSpan w:val="2"/>
            <w:vMerge w:val="restart"/>
          </w:tcPr>
          <w:p>
            <w:pPr>
              <w:ind w:left="460"/>
              <w:spacing w:after="0"/>
              <w:rPr>
                <w:sz w:val="20"/>
                <w:szCs w:val="20"/>
                <w:color w:val="auto"/>
              </w:rPr>
            </w:pPr>
            <w:r>
              <w:rPr>
                <w:rFonts w:ascii="Arial" w:cs="Arial" w:eastAsia="Arial" w:hAnsi="Arial"/>
                <w:sz w:val="18"/>
                <w:szCs w:val="18"/>
                <w:color w:val="auto"/>
              </w:rPr>
              <w:t>Effective income tax rate</w:t>
            </w:r>
          </w:p>
        </w:tc>
        <w:tc>
          <w:tcPr>
            <w:tcW w:w="10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4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July 2007, Schlumberger received an inquiry from the United States Department of Justice (“DOJ”) related to the DOJ’s investigation of whether certain freight forwarding and customs clearance services of Panalpina, Inc., and other companies provided to oil and oilfield service companies, including Schlumberger, violated the Foreign Corrupt Practices Act. Schlumberger is cooperating with the DOJ and is conducting its own investigation with respect to these services.</w:t>
      </w:r>
    </w:p>
    <w:p>
      <w:pPr>
        <w:spacing w:after="0" w:line="143"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Schlumberger and its subsidiaries are party to various legal proceedings from time to time. A liability is accrued when a loss is both probable and can be reasonably estimated. At this time the ultimate disposition of these proceedings is not determinable and therefore, it is not possible to estimate the amount of loss or range of possible losses that might result from an adverse judgment or settlement in any of these matters. However, in the opinion of management, any liability that might ensue would not be material in relation to Schlumberger’s consolidated liquidity, financial position or future results of operations.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Schlumberger operates two business segments: Oilfield Services and WesternGeco.</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First Quarter 2009</w:t>
            </w:r>
          </w:p>
        </w:tc>
        <w:tc>
          <w:tcPr>
            <w:tcW w:w="18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First Quarter 2008</w:t>
            </w:r>
          </w:p>
        </w:tc>
        <w:tc>
          <w:tcPr>
            <w:tcW w:w="0" w:type="dxa"/>
            <w:vAlign w:val="bottom"/>
          </w:tcPr>
          <w:p>
            <w:pPr>
              <w:spacing w:after="0"/>
              <w:rPr>
                <w:sz w:val="1"/>
                <w:szCs w:val="1"/>
                <w:color w:val="auto"/>
              </w:rPr>
            </w:pPr>
          </w:p>
        </w:tc>
      </w:tr>
      <w:tr>
        <w:trPr>
          <w:trHeight w:val="129"/>
        </w:trPr>
        <w:tc>
          <w:tcPr>
            <w:tcW w:w="1160" w:type="dxa"/>
            <w:vAlign w:val="bottom"/>
          </w:tcPr>
          <w:p>
            <w:pPr>
              <w:spacing w:after="0"/>
              <w:rPr>
                <w:sz w:val="11"/>
                <w:szCs w:val="11"/>
                <w:color w:val="auto"/>
              </w:rPr>
            </w:pPr>
          </w:p>
        </w:tc>
        <w:tc>
          <w:tcPr>
            <w:tcW w:w="6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w w:val="89"/>
              </w:rPr>
              <w:t>Income</w:t>
            </w:r>
          </w:p>
        </w:tc>
        <w:tc>
          <w:tcPr>
            <w:tcW w:w="600" w:type="dxa"/>
            <w:vAlign w:val="bottom"/>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54"/>
              <w:spacing w:after="0" w:line="129" w:lineRule="exact"/>
              <w:rPr>
                <w:sz w:val="20"/>
                <w:szCs w:val="20"/>
                <w:color w:val="auto"/>
              </w:rPr>
            </w:pPr>
            <w:r>
              <w:rPr>
                <w:rFonts w:ascii="Arial" w:cs="Arial" w:eastAsia="Arial" w:hAnsi="Arial"/>
                <w:sz w:val="14"/>
                <w:szCs w:val="14"/>
                <w:b w:val="1"/>
                <w:bCs w:val="1"/>
                <w:color w:val="auto"/>
                <w:w w:val="89"/>
              </w:rPr>
              <w:t>Income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78"/>
              </w:rPr>
              <w:t>Revenue</w:t>
            </w: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before taxes</w:t>
            </w:r>
          </w:p>
        </w:tc>
        <w:tc>
          <w:tcPr>
            <w:tcW w:w="500" w:type="dxa"/>
            <w:vAlign w:val="bottom"/>
          </w:tcPr>
          <w:p>
            <w:pPr>
              <w:jc w:val="right"/>
              <w:spacing w:after="0"/>
              <w:rPr>
                <w:sz w:val="20"/>
                <w:szCs w:val="20"/>
                <w:color w:val="auto"/>
              </w:rPr>
            </w:pPr>
            <w:r>
              <w:rPr>
                <w:rFonts w:ascii="Arial" w:cs="Arial" w:eastAsia="Arial" w:hAnsi="Arial"/>
                <w:sz w:val="14"/>
                <w:szCs w:val="14"/>
                <w:b w:val="1"/>
                <w:bCs w:val="1"/>
                <w:color w:val="auto"/>
                <w:w w:val="82"/>
              </w:rPr>
              <w:t>Revenue</w:t>
            </w:r>
          </w:p>
        </w:tc>
        <w:tc>
          <w:tcPr>
            <w:tcW w:w="54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w w:val="89"/>
              </w:rPr>
              <w:t>before taxes</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16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3"/>
          </w:tcPr>
          <w:p>
            <w:pPr>
              <w:jc w:val="right"/>
              <w:ind w:right="155"/>
              <w:spacing w:after="0" w:line="142" w:lineRule="exact"/>
              <w:rPr>
                <w:sz w:val="20"/>
                <w:szCs w:val="20"/>
                <w:color w:val="auto"/>
              </w:rPr>
            </w:pPr>
            <w:r>
              <w:rPr>
                <w:rFonts w:ascii="Arial" w:cs="Arial" w:eastAsia="Arial" w:hAnsi="Arial"/>
                <w:sz w:val="14"/>
                <w:szCs w:val="14"/>
                <w:b w:val="1"/>
                <w:bCs w:val="1"/>
                <w:color w:val="auto"/>
              </w:rPr>
              <w:t>(Stated in millions)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North America</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7"/>
              </w:rPr>
              <w:t>$1,191</w:t>
            </w:r>
          </w:p>
        </w:tc>
        <w:tc>
          <w:tcPr>
            <w:tcW w:w="620" w:type="dxa"/>
            <w:vAlign w:val="bottom"/>
            <w:gridSpan w:val="2"/>
          </w:tcPr>
          <w:p>
            <w:pPr>
              <w:ind w:left="500"/>
              <w:spacing w:after="0"/>
              <w:rPr>
                <w:sz w:val="20"/>
                <w:szCs w:val="20"/>
                <w:color w:val="auto"/>
              </w:rPr>
            </w:pPr>
            <w:r>
              <w:rPr>
                <w:rFonts w:ascii="Arial" w:cs="Arial" w:eastAsia="Arial" w:hAnsi="Arial"/>
                <w:sz w:val="18"/>
                <w:szCs w:val="18"/>
                <w:b w:val="1"/>
                <w:bCs w:val="1"/>
                <w:color w:val="auto"/>
                <w:w w:val="99"/>
              </w:rPr>
              <w:t>$</w:t>
            </w: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163</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$1,419</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Latin America</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1,029</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203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Europe/CIS/Africa</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1,803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467</w:t>
            </w:r>
          </w:p>
        </w:tc>
        <w:tc>
          <w:tcPr>
            <w:tcW w:w="500" w:type="dxa"/>
            <w:vAlign w:val="bottom"/>
          </w:tcPr>
          <w:p>
            <w:pPr>
              <w:jc w:val="right"/>
              <w:spacing w:after="0"/>
              <w:rPr>
                <w:sz w:val="20"/>
                <w:szCs w:val="20"/>
                <w:color w:val="auto"/>
              </w:rPr>
            </w:pPr>
            <w:r>
              <w:rPr>
                <w:rFonts w:ascii="Arial" w:cs="Arial" w:eastAsia="Arial" w:hAnsi="Arial"/>
                <w:sz w:val="18"/>
                <w:szCs w:val="18"/>
                <w:color w:val="auto"/>
              </w:rPr>
              <w:t>1,898</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Middle East &amp; Asia</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1,375</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456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ind w:left="440"/>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41</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(34)</w:t>
            </w:r>
          </w:p>
        </w:tc>
        <w:tc>
          <w:tcPr>
            <w:tcW w:w="500" w:type="dxa"/>
            <w:vAlign w:val="bottom"/>
          </w:tcPr>
          <w:p>
            <w:pPr>
              <w:jc w:val="right"/>
              <w:spacing w:after="0"/>
              <w:rPr>
                <w:sz w:val="20"/>
                <w:szCs w:val="20"/>
                <w:color w:val="auto"/>
              </w:rPr>
            </w:pPr>
            <w:r>
              <w:rPr>
                <w:rFonts w:ascii="Arial" w:cs="Arial" w:eastAsia="Arial" w:hAnsi="Arial"/>
                <w:sz w:val="18"/>
                <w:szCs w:val="18"/>
                <w:color w:val="auto"/>
              </w:rPr>
              <w:t>47</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614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16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b w:val="1"/>
                <w:bCs w:val="1"/>
                <w:color w:val="auto"/>
              </w:rPr>
              <w:t>1,255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rPr>
                <w:sz w:val="20"/>
                <w:szCs w:val="20"/>
                <w:color w:val="auto"/>
              </w:rPr>
            </w:pPr>
            <w:r>
              <w:rPr>
                <w:rFonts w:ascii="Arial" w:cs="Arial" w:eastAsia="Arial" w:hAnsi="Arial"/>
                <w:sz w:val="18"/>
                <w:szCs w:val="18"/>
                <w:b w:val="1"/>
                <w:bCs w:val="1"/>
                <w:color w:val="auto"/>
              </w:rPr>
              <w:t>WesternGeco</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551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55</w:t>
            </w:r>
          </w:p>
        </w:tc>
        <w:tc>
          <w:tcPr>
            <w:tcW w:w="500" w:type="dxa"/>
            <w:vAlign w:val="bottom"/>
          </w:tcPr>
          <w:p>
            <w:pPr>
              <w:jc w:val="right"/>
              <w:spacing w:after="0"/>
              <w:rPr>
                <w:sz w:val="20"/>
                <w:szCs w:val="20"/>
                <w:color w:val="auto"/>
              </w:rPr>
            </w:pPr>
            <w:r>
              <w:rPr>
                <w:rFonts w:ascii="Arial" w:cs="Arial" w:eastAsia="Arial" w:hAnsi="Arial"/>
                <w:sz w:val="18"/>
                <w:szCs w:val="18"/>
                <w:color w:val="auto"/>
              </w:rPr>
              <w:t>676</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Elims &amp; Other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7300" w:type="dxa"/>
            <w:vAlign w:val="bottom"/>
            <w:gridSpan w:val="2"/>
          </w:tcPr>
          <w:p>
            <w:pPr>
              <w:spacing w:after="0" w:line="217" w:lineRule="exact"/>
              <w:rPr>
                <w:sz w:val="20"/>
                <w:szCs w:val="20"/>
                <w:color w:val="auto"/>
              </w:rPr>
            </w:pPr>
            <w:r>
              <w:rPr>
                <w:rFonts w:ascii="Arial" w:cs="Arial" w:eastAsia="Arial" w:hAnsi="Arial"/>
                <w:sz w:val="18"/>
                <w:szCs w:val="18"/>
                <w:b w:val="1"/>
                <w:bCs w:val="1"/>
                <w:color w:val="auto"/>
              </w:rPr>
              <w:t xml:space="preserve">Interest Income </w:t>
            </w:r>
            <w:r>
              <w:rPr>
                <w:rFonts w:ascii="Arial" w:cs="Arial" w:eastAsia="Arial" w:hAnsi="Arial"/>
                <w:sz w:val="22"/>
                <w:szCs w:val="22"/>
                <w:b w:val="1"/>
                <w:bCs w:val="1"/>
                <w:color w:val="auto"/>
                <w:vertAlign w:val="superscript"/>
              </w:rPr>
              <w:t>(1)</w:t>
            </w:r>
          </w:p>
        </w:tc>
        <w:tc>
          <w:tcPr>
            <w:tcW w:w="2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14</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22"/>
                <w:szCs w:val="22"/>
                <w:b w:val="1"/>
                <w:bCs w:val="1"/>
                <w:color w:val="auto"/>
                <w:vertAlign w:val="superscript"/>
              </w:rPr>
              <w:t>(2)</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(41)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0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160" w:type="dxa"/>
            <w:vAlign w:val="bottom"/>
          </w:tcPr>
          <w:p>
            <w:pPr>
              <w:spacing w:after="0"/>
              <w:rPr>
                <w:sz w:val="19"/>
                <w:szCs w:val="19"/>
                <w:color w:val="auto"/>
              </w:rPr>
            </w:pPr>
          </w:p>
        </w:tc>
        <w:tc>
          <w:tcPr>
            <w:tcW w:w="614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6,000</w:t>
            </w:r>
          </w:p>
        </w:tc>
        <w:tc>
          <w:tcPr>
            <w:tcW w:w="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1,192</w:t>
            </w:r>
          </w:p>
        </w:tc>
        <w:tc>
          <w:tcPr>
            <w:tcW w:w="60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6,290</w:t>
            </w:r>
          </w:p>
        </w:tc>
        <w:tc>
          <w:tcPr>
            <w:tcW w:w="640" w:type="dxa"/>
            <w:vAlign w:val="bottom"/>
            <w:gridSpan w:val="2"/>
          </w:tcPr>
          <w:p>
            <w:pPr>
              <w:ind w:left="54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1160" w:type="dxa"/>
            <w:vAlign w:val="bottom"/>
            <w:tcBorders>
              <w:bottom w:val="single" w:sz="8" w:color="auto"/>
            </w:tcBorders>
          </w:tcPr>
          <w:p>
            <w:pPr>
              <w:spacing w:after="0"/>
              <w:rPr>
                <w:sz w:val="8"/>
                <w:szCs w:val="8"/>
                <w:color w:val="auto"/>
              </w:rPr>
            </w:pPr>
          </w:p>
        </w:tc>
        <w:tc>
          <w:tcPr>
            <w:tcW w:w="61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interest income included in the segment results ($4 million in 2009; $1 million in 2008).</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interest expense included in the segment results ($14 million in 2009; $8 million in 2008).</w:t>
      </w:r>
    </w:p>
    <w:p>
      <w:pPr>
        <w:spacing w:after="0" w:line="280"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Other Postretirement Benefits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9"/>
              </w:rPr>
              <w:t>First Quarter</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2009</w:t>
            </w: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3"/>
              </w:rPr>
              <w:t>2008</w:t>
            </w: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Borders>
              <w:bottom w:val="single" w:sz="8" w:color="auto"/>
            </w:tcBorders>
          </w:tcPr>
          <w:p>
            <w:pPr>
              <w:jc w:val="right"/>
              <w:ind w:right="2"/>
              <w:spacing w:after="0" w:line="142" w:lineRule="exact"/>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Int’l</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gridSpan w:val="3"/>
          </w:tcPr>
          <w:p>
            <w:pPr>
              <w:ind w:left="20"/>
              <w:spacing w:after="0"/>
              <w:rPr>
                <w:sz w:val="20"/>
                <w:szCs w:val="20"/>
                <w:color w:val="auto"/>
              </w:rPr>
            </w:pPr>
            <w:r>
              <w:rPr>
                <w:rFonts w:ascii="Arial" w:cs="Arial" w:eastAsia="Arial" w:hAnsi="Arial"/>
                <w:sz w:val="12"/>
                <w:szCs w:val="12"/>
                <w:b w:val="1"/>
                <w:bCs w:val="1"/>
                <w:color w:val="auto"/>
                <w:w w:val="78"/>
              </w:rPr>
              <w:t>(Stated</w:t>
            </w:r>
          </w:p>
        </w:tc>
        <w:tc>
          <w:tcPr>
            <w:tcW w:w="74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w w:val="97"/>
              </w:rPr>
              <w:t>in millions)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1"/>
              </w:rPr>
              <w:t>$ 16</w:t>
            </w:r>
          </w:p>
        </w:tc>
        <w:tc>
          <w:tcPr>
            <w:tcW w:w="42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w w:val="79"/>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shd w:val="clear" w:color="auto" w:fill="CCEEFF"/>
          </w:tcPr>
          <w:p>
            <w:pPr>
              <w:spacing w:after="0"/>
              <w:rPr>
                <w:sz w:val="18"/>
                <w:szCs w:val="18"/>
                <w:color w:val="auto"/>
              </w:rPr>
            </w:pPr>
          </w:p>
        </w:tc>
        <w:tc>
          <w:tcPr>
            <w:tcW w:w="6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$ 15</w:t>
            </w:r>
          </w:p>
        </w:tc>
        <w:tc>
          <w:tcPr>
            <w:tcW w:w="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cost on projected benefit obligation</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1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(40)</w:t>
            </w:r>
          </w:p>
        </w:tc>
        <w:tc>
          <w:tcPr>
            <w:tcW w:w="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18"/>
                <w:szCs w:val="18"/>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8"/>
              <w:spacing w:after="0"/>
              <w:rPr>
                <w:sz w:val="20"/>
                <w:szCs w:val="20"/>
                <w:color w:val="auto"/>
              </w:rPr>
            </w:pPr>
            <w:r>
              <w:rPr>
                <w:rFonts w:ascii="Arial" w:cs="Arial" w:eastAsia="Arial" w:hAnsi="Arial"/>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Net pension cost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w w:val="91"/>
              </w:rPr>
              <w:t>$ 23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rPr>
              <w:t>$ 15</w:t>
            </w:r>
          </w:p>
        </w:tc>
        <w:tc>
          <w:tcPr>
            <w:tcW w:w="420" w:type="dxa"/>
            <w:vAlign w:val="bottom"/>
            <w:gridSpan w:val="3"/>
          </w:tcPr>
          <w:p>
            <w:pPr>
              <w:ind w:left="32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spacing w:after="0"/>
              <w:rPr>
                <w:sz w:val="20"/>
                <w:szCs w:val="20"/>
                <w:color w:val="auto"/>
              </w:rPr>
            </w:pPr>
            <w:r>
              <w:rPr>
                <w:rFonts w:ascii="Arial" w:cs="Arial" w:eastAsia="Arial" w:hAnsi="Arial"/>
                <w:sz w:val="18"/>
                <w:szCs w:val="18"/>
                <w:color w:val="auto"/>
              </w:rPr>
              <w:t>During the first quarter of 2009, Schlumberger made contributions of $273 million to its defined benefit plans.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8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780" w:type="dxa"/>
            <w:vAlign w:val="bottom"/>
          </w:tcPr>
          <w:p>
            <w:pPr>
              <w:spacing w:after="0"/>
              <w:rPr>
                <w:sz w:val="20"/>
                <w:szCs w:val="20"/>
                <w:color w:val="auto"/>
              </w:rPr>
            </w:pPr>
            <w:r>
              <w:rPr>
                <w:rFonts w:ascii="Arial" w:cs="Arial" w:eastAsia="Arial" w:hAnsi="Arial"/>
                <w:sz w:val="18"/>
                <w:szCs w:val="18"/>
                <w:color w:val="auto"/>
              </w:rPr>
              <w:t>Net postretirement benefit cost for the Schlumberger US plans included the following components: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7"/>
          </w:tcPr>
          <w:p>
            <w:pPr>
              <w:jc w:val="right"/>
              <w:ind w:right="52"/>
              <w:spacing w:after="0"/>
              <w:rPr>
                <w:sz w:val="20"/>
                <w:szCs w:val="20"/>
                <w:color w:val="auto"/>
              </w:rPr>
            </w:pPr>
            <w:r>
              <w:rPr>
                <w:rFonts w:ascii="Arial" w:cs="Arial" w:eastAsia="Arial" w:hAnsi="Arial"/>
                <w:sz w:val="14"/>
                <w:szCs w:val="14"/>
                <w:b w:val="1"/>
                <w:bCs w:val="1"/>
                <w:color w:val="auto"/>
              </w:rPr>
              <w:t>First Quarter</w:t>
            </w: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Borders>
              <w:bottom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9"/>
          </w:tcPr>
          <w:p>
            <w:pPr>
              <w:jc w:val="right"/>
              <w:ind w:right="300"/>
              <w:spacing w:after="0" w:line="142" w:lineRule="exact"/>
              <w:rPr>
                <w:sz w:val="20"/>
                <w:szCs w:val="20"/>
                <w:color w:val="auto"/>
              </w:rPr>
            </w:pPr>
            <w:r>
              <w:rPr>
                <w:rFonts w:ascii="Arial" w:cs="Arial" w:eastAsia="Arial" w:hAnsi="Arial"/>
                <w:sz w:val="14"/>
                <w:szCs w:val="14"/>
                <w:b w:val="1"/>
                <w:bCs w:val="1"/>
                <w:color w:val="auto"/>
                <w:w w:val="89"/>
              </w:rPr>
              <w:t>(Stated in millions)</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Service cost—benefits earned during period</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Interest cost on accumulated postretirement benefit obligation</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42"/>
              <w:spacing w:after="0"/>
              <w:rPr>
                <w:sz w:val="20"/>
                <w:szCs w:val="20"/>
                <w:color w:val="auto"/>
              </w:rPr>
            </w:pPr>
            <w:r>
              <w:rPr>
                <w:rFonts w:ascii="Arial" w:cs="Arial" w:eastAsia="Arial" w:hAnsi="Arial"/>
                <w:sz w:val="18"/>
                <w:szCs w:val="18"/>
                <w:b w:val="1"/>
                <w:bCs w:val="1"/>
                <w:color w:val="auto"/>
              </w:rPr>
              <w:t>(1)</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242"/>
              <w:spacing w:after="0"/>
              <w:rPr>
                <w:sz w:val="20"/>
                <w:szCs w:val="20"/>
                <w:color w:val="auto"/>
              </w:rPr>
            </w:pPr>
            <w:r>
              <w:rPr>
                <w:rFonts w:ascii="Arial" w:cs="Arial" w:eastAsia="Arial" w:hAnsi="Arial"/>
                <w:sz w:val="18"/>
                <w:szCs w:val="18"/>
                <w:b w:val="1"/>
                <w:bCs w:val="1"/>
                <w:color w:val="auto"/>
              </w:rPr>
              <w:t>(7)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net loss</w:t>
            </w: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80" w:type="dxa"/>
            <w:vAlign w:val="bottom"/>
          </w:tcPr>
          <w:p>
            <w:pPr>
              <w:spacing w:after="0"/>
              <w:rPr>
                <w:sz w:val="20"/>
                <w:szCs w:val="20"/>
                <w:color w:val="auto"/>
              </w:rPr>
            </w:pPr>
            <w:r>
              <w:rPr>
                <w:rFonts w:ascii="Arial" w:cs="Arial" w:eastAsia="Arial" w:hAnsi="Arial"/>
                <w:sz w:val="18"/>
                <w:szCs w:val="18"/>
                <w:color w:val="auto"/>
              </w:rPr>
              <w:t>Net postretirement benefit cost</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80" w:type="dxa"/>
            <w:vAlign w:val="bottom"/>
            <w:vMerge w:val="restart"/>
          </w:tcPr>
          <w:p>
            <w:pPr>
              <w:ind w:left="562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7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SCHLUMBERGER LIMITED AND SUBSIDIARIES</w:t>
      </w:r>
    </w:p>
    <w:p>
      <w:pPr>
        <w:spacing w:after="0" w:line="9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During the first quarter of 2008, Schlumberger recorded an after-tax gain of $38 million relating to a previously disposed of business that was accounted for as a discontinued operation.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80"/>
          </w:cols>
          <w:pgMar w:left="240" w:top="459" w:right="3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REVIEW</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2009 Compared to Fourth Quarter 2008</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First Quarter</w:t>
            </w:r>
          </w:p>
        </w:tc>
        <w:tc>
          <w:tcPr>
            <w:tcW w:w="70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w w:val="91"/>
              </w:rPr>
              <w:t>Fourth Quarter</w:t>
            </w: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61"/>
        </w:trPr>
        <w:tc>
          <w:tcPr>
            <w:tcW w:w="474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6"/>
              <w:spacing w:after="0"/>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36"/>
              <w:spacing w:after="0"/>
              <w:rPr>
                <w:sz w:val="20"/>
                <w:szCs w:val="20"/>
                <w:color w:val="auto"/>
              </w:rPr>
            </w:pPr>
            <w:r>
              <w:rPr>
                <w:rFonts w:ascii="Arial" w:cs="Arial" w:eastAsia="Arial" w:hAnsi="Arial"/>
                <w:sz w:val="14"/>
                <w:szCs w:val="14"/>
                <w:b w:val="1"/>
                <w:bCs w:val="1"/>
                <w:color w:val="auto"/>
              </w:rPr>
              <w:t>2008</w:t>
            </w:r>
          </w:p>
        </w:tc>
        <w:tc>
          <w:tcPr>
            <w:tcW w:w="700" w:type="dxa"/>
            <w:vAlign w:val="bottom"/>
          </w:tcPr>
          <w:p>
            <w:pPr>
              <w:spacing w:after="0"/>
              <w:rPr>
                <w:sz w:val="14"/>
                <w:szCs w:val="14"/>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 chg</w:t>
            </w:r>
          </w:p>
        </w:tc>
      </w:tr>
      <w:tr>
        <w:trPr>
          <w:trHeight w:val="20"/>
        </w:trPr>
        <w:tc>
          <w:tcPr>
            <w:tcW w:w="4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42"/>
        </w:trPr>
        <w:tc>
          <w:tcPr>
            <w:tcW w:w="47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3"/>
          </w:tcPr>
          <w:p>
            <w:pPr>
              <w:jc w:val="right"/>
              <w:ind w:right="36"/>
              <w:spacing w:after="0" w:line="142" w:lineRule="exact"/>
              <w:rPr>
                <w:sz w:val="20"/>
                <w:szCs w:val="20"/>
                <w:color w:val="auto"/>
              </w:rPr>
            </w:pPr>
            <w:r>
              <w:rPr>
                <w:rFonts w:ascii="Arial" w:cs="Arial" w:eastAsia="Arial" w:hAnsi="Arial"/>
                <w:sz w:val="14"/>
                <w:szCs w:val="14"/>
                <w:b w:val="1"/>
                <w:bCs w:val="1"/>
                <w:color w:val="auto"/>
              </w:rPr>
              <w:t>(Stated in millions)</w:t>
            </w:r>
          </w:p>
        </w:tc>
        <w:tc>
          <w:tcPr>
            <w:tcW w:w="7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2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Revenue</w:t>
            </w:r>
          </w:p>
        </w:tc>
        <w:tc>
          <w:tcPr>
            <w:tcW w:w="3140" w:type="dxa"/>
            <w:vAlign w:val="bottom"/>
            <w:gridSpan w:val="2"/>
          </w:tcPr>
          <w:p>
            <w:pPr>
              <w:ind w:left="29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5,439</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6,256</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1,599</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322"/>
        </w:trPr>
        <w:tc>
          <w:tcPr>
            <w:tcW w:w="474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2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8"/>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140" w:type="dxa"/>
            <w:vAlign w:val="bottom"/>
            <w:gridSpan w:val="2"/>
            <w:shd w:val="clear" w:color="auto" w:fill="CCEEFF"/>
          </w:tcPr>
          <w:p>
            <w:pPr>
              <w:ind w:left="2960"/>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9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28"/>
        </w:trPr>
        <w:tc>
          <w:tcPr>
            <w:tcW w:w="474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3140" w:type="dxa"/>
            <w:vAlign w:val="bottom"/>
            <w:gridSpan w:val="2"/>
          </w:tcPr>
          <w:p>
            <w:pPr>
              <w:ind w:left="296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92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88</w:t>
            </w:r>
          </w:p>
        </w:tc>
        <w:tc>
          <w:tcPr>
            <w:tcW w:w="1300" w:type="dxa"/>
            <w:vAlign w:val="bottom"/>
            <w:gridSpan w:val="3"/>
          </w:tcPr>
          <w:p>
            <w:pPr>
              <w:jc w:val="right"/>
              <w:ind w:right="20"/>
              <w:spacing w:after="0"/>
              <w:rPr>
                <w:sz w:val="20"/>
                <w:szCs w:val="20"/>
                <w:color w:val="auto"/>
              </w:rPr>
            </w:pPr>
            <w:r>
              <w:rPr>
                <w:rFonts w:ascii="Arial" w:cs="Arial" w:eastAsia="Arial" w:hAnsi="Arial"/>
                <w:sz w:val="18"/>
                <w:szCs w:val="18"/>
                <w:color w:val="auto"/>
              </w:rPr>
              <w:t>(38)%</w:t>
            </w:r>
          </w:p>
        </w:tc>
      </w:tr>
    </w:tbl>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amortization of certain intangible assets, interest on postretirement medical benefits, stock-based compensation costs, and interest income and interest expense not allocated to the segments.</w:t>
      </w:r>
    </w:p>
    <w:p>
      <w:pPr>
        <w:spacing w:after="0" w:line="14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Revenue for the first quarter of 2009 was $6.00 billion versus $6.87 billion in the fourth quarter of 2008. Income from continuing operations attributable to Schlumberger for the first quarter of 2009 was $938 million compared to $1.15 billion in the fourth quarter of 2008. The fourth quarter 2008 results included after tax and noncontrolling interest charges of $93.0 million, primarily related to work-force reductions and certain assets write-offs.</w:t>
      </w:r>
    </w:p>
    <w:p>
      <w:pPr>
        <w:spacing w:after="0" w:line="10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rate of decline in revenue at Oilfield Services accelerated considerably compared to the fourth quarter, largely due to the precipitous drop in the North American natural gas rig count. Outside North America, low activity in Russia and the fall of many local currencies against the US dollar remained the principal causes of weakness. At WesternGeco, the rate of sequential revenue decline slowed to 8% as continuing weak North American Multiclient revenue was partially offset by improved Marine revenues.</w:t>
      </w:r>
    </w:p>
    <w:p>
      <w:pPr>
        <w:spacing w:after="0" w:line="143"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The headcount reductions announced last quarter have largely been completed. In order to better match the cost base to the lower activity and pricing levels, there will likely be a further similar reduction over the coming months.</w:t>
      </w:r>
    </w:p>
    <w:p>
      <w:pPr>
        <w:spacing w:after="0" w:line="132"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Management’s visibility on 2009 has not materially changed from the end of the fourth quarter. A significant recovery in North American gas drilling is not expected before 2010. Overseas, while activity declines will be limited, customers are actively seeking and are obtaining price relief to improve the economics of current projects. At the same time, exploration expenditures are being deferred in favor of projects that produce immediate cash flow. However, management is encouraged to see offshore deepwater activity resisting fairly well to the current budget cuts.</w:t>
      </w:r>
    </w:p>
    <w:p>
      <w:pPr>
        <w:spacing w:after="0" w:line="113"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As indicated last quarter, management remains convinced that in the longer term any demand recovery for oil will need to be accompanied by increased investment to offset a decline in the ageing production base.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First-quarter 2009 revenue of $5.44 billion decreased 13% sequentially. North America revenue dropped significantly due to reduced activity and pricing pressure in the US Land, US Gulf of Mexico and Canada GeoMarkets*. In Europe/CIS/Africa, revenue fell primarily as a result of weaker activity in the Russia, North</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Africa and Caspian GeoMarkets, as well as from the weakening of the US dollar versus local currencies. Middle East &amp; Asia revenue declined due to reduced activity in the Arabian, Brunei/Malaysia/Philippines and East Mediterranean GeoMarkets. Latin America revenue decreased mostly on lower activity in Venezuela/Trinidad &amp; Tobago and reduced product sales in Peru/Colombia/Ecuador, partially offset by stronger Integrated Project Management (IPM) results in Mexico/Central America and increased offshore services in Brazil. Among the Technologies, Well Services, Wireline, Schlumberger Information Solutions (SIS) and Artificial Lift led the declines in revenue.</w:t>
      </w:r>
    </w:p>
    <w:p>
      <w:pPr>
        <w:spacing w:after="0" w:line="14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Sequentially first-quarter pretax operating income of $1.26 billion was down 21%. Pretax operating margin decreased 248 basis points (bps) to 23.1% primarily due to the drop in activity and pricing pressure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Revenue of $1.19 billion was down 23% compared to the fourth-quarter of 2008. Pretax operating income of $163 million decreased 53% versus the fourth-quarter of 2008.</w:t>
      </w:r>
    </w:p>
    <w:p>
      <w:pPr>
        <w:spacing w:after="0" w:line="13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US Land GeoMarket recorded a significant decrease in revenue as low natural gas prices and a lack of available credit for some customers resulted in a rapid and deep reduction in activity coupled with heavy pricing pressure. US Gulf of Mexico GeoMarket revenue was down due to weak shelf drilling activity and associated pricing erosion, while Canada GeoMarket revenue decreased on unusually low winter drilling activity and early spring break-up. These decreases, however, were partially offset by seasonally high exploration-related activity in the Alaska GeoMarket.</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Pretax operating margin decreased sequentially by 858 bps to 13.7% on the precipitous activity decline and consequent pricing pressure in the US Land and US Gulf of Mexico GeoMarkets.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 of $1.03 billion was 7% lower than the previous quarter. Pretax operating income of $203 million increased 1% compared to the fourth- quarter of 2008.</w:t>
      </w:r>
    </w:p>
    <w:p>
      <w:pPr>
        <w:spacing w:after="0" w:line="194"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Sequentially, the Venezuela/Trinidad &amp; Tobago GeoMarket revenue decreased as a result of lower activity-related demand for Drilling &amp; Measurements, Well Services and Wireline technologies, coupled with reduced IPM activity. In the Peru/Colombia/Ecuador GeoMarket, revenue fell following the year-end sales in the prior quarter of SIS software and Artificial Lift products, while the Argentina/Bolivia/Chile GeoMarket decreased on lower activity-related demand for Wireline, Drilling &amp; Measurements and Well Services technologies. Area revenue was also reduced by 2% due to the weakening of local currencies against the US dollar. These decreases were partially offset by increased revenue in the Mexico/Central America GeoMarket due to efficiency gains on IPM projects, and in the Brazil GeoMarket as the result of robust demand for high technology Drilling &amp; Measurements and Wireline services for offshore operations, as well as for Completion systems products.</w:t>
      </w:r>
    </w:p>
    <w:p>
      <w:pPr>
        <w:spacing w:after="0" w:line="118"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Pretax operating margin improved sequentially by 168 bps to 19.7% primarily due to the positive impact of the efficiency gains in Mexico/Central America, and to a favorable mix of higher-margin exploration activity offshore Brazil. These increases were partially offset by reduced gain share from an IPM project in Peru/Colombia/Ecuador.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 of $1.80 billion decreased 12% compared to the fourth-quarter of 2008. Pretax operating income of $467 million decreased 12% sequentially.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Sequentially, the weakening of local currencies against the US dollar, primarily in Russia and the North Sea, reduced Area revenue by 5%. In addition, Russia experienced a sharp drop in revenue as the result of seasonal weather-related slowdowns, further reductions in customer activity, and heavy pricing pressure. Revenue for the North Africa GeoMarket was down due to lower demand for Well Services technologies and SIS products while the Caspian GeoMarket experienced reduced demand for Well Services, Drilling &amp; Measurements and Wireline services as customer activity slowed. Weaker Framo revenue also contributed to the Area decline. These decreases were partially offset by improved activity in the Nigeria &amp; Gulf of Guinea GeoMarket that resulted in increased demand for Wireline services.</w:t>
      </w:r>
    </w:p>
    <w:p>
      <w:pPr>
        <w:spacing w:after="0" w:line="144"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Pretax operating margin was essentially flat at 25.9% as the impact of lower activity in North Africa, a less favorable revenue mix in West &amp; South Africa, and weaker Framo sales and services were largely offset by increased higher-margin activity in the North Sea and Nigeria &amp; Gulf of Guinea GeoMarkets.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Revenue of $1.38 billion was 6% lower sequentially. Pretax operating income of $456 million decreased 7% compared to the fourth-quarter of 2008.</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Sequentially, Area revenue decreased primarily due to reduced customer activity in the Arabian, Brunei/Malaysia/Philippines, East Mediterranean and Thailand/Vietnam GeoMarkets, while seasonal weather-related slowdowns affected the China/Japan/Korea GeoMarket. These declines in activity mainly affected demand for Well Testing, Wireline and Drilling &amp; Measurements services.</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Pretax operating margin was sequentially steady at 33.1% as the positive impact from a more favorable mix of higher-margin services in the Australia/Papua New Guinea/New Zealand, India, Gulf and Qatar GeoMarkets offset the impact of the lower overall activity in the Area.</w:t>
      </w:r>
    </w:p>
    <w:p>
      <w:pPr>
        <w:spacing w:after="0" w:line="20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First-quarter revenue of $551 million decreased 8% versus the fourth-quarter of 2008. Pretax operating income of $55 million was down 38% sequentially.</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Sequentially, Multiclient revenue decreased sharply, primarily in North America, as customers further curtailed discretionary spending. Data Processing recorded a sequential decrease across all areas except Latin America, while Land was down due to the completion of projects in the Middle East. These decreases were partially offset by an increase in Marine revenue with the start of several new proprietary contracts.</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Total backlog decreased $319 million to $1.5 billion at the end of the quarter, partly due to delayed contract awards pending the results of licensing rounds in several countries.</w:t>
      </w:r>
    </w:p>
    <w:p>
      <w:pPr>
        <w:spacing w:after="0" w:line="132"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Pretax operating margin decreased 483 bps to 9.9% primarily due to the lower Multiclient and Data Processing revenues, which were partially offset by improvements from Land as the result of efficient shutdowns following contract completions.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2009 Compared to First Quarter 2008</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First Quarter</w:t>
            </w:r>
          </w:p>
        </w:tc>
        <w:tc>
          <w:tcPr>
            <w:tcW w:w="3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2009</w:t>
            </w:r>
          </w:p>
        </w:tc>
        <w:tc>
          <w:tcPr>
            <w:tcW w:w="440" w:type="dxa"/>
            <w:vAlign w:val="bottom"/>
            <w:vMerge w:val="restart"/>
          </w:tcPr>
          <w:p>
            <w:pPr>
              <w:ind w:left="80"/>
              <w:spacing w:after="0"/>
              <w:rPr>
                <w:sz w:val="20"/>
                <w:szCs w:val="20"/>
                <w:color w:val="auto"/>
              </w:rPr>
            </w:pPr>
            <w:r>
              <w:rPr>
                <w:rFonts w:ascii="Arial" w:cs="Arial" w:eastAsia="Arial" w:hAnsi="Arial"/>
                <w:sz w:val="14"/>
                <w:szCs w:val="14"/>
                <w:b w:val="1"/>
                <w:bCs w:val="1"/>
                <w:color w:val="auto"/>
                <w:w w:val="71"/>
              </w:rPr>
              <w:t>(Stated</w:t>
            </w: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2008</w:t>
            </w:r>
          </w:p>
        </w:tc>
        <w:tc>
          <w:tcPr>
            <w:tcW w:w="420" w:type="dxa"/>
            <w:vAlign w:val="bottom"/>
          </w:tcPr>
          <w:p>
            <w:pPr>
              <w:spacing w:after="0"/>
              <w:rPr>
                <w:sz w:val="12"/>
                <w:szCs w:val="12"/>
                <w:color w:val="auto"/>
              </w:rPr>
            </w:pPr>
          </w:p>
        </w:tc>
        <w:tc>
          <w:tcPr>
            <w:tcW w:w="3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7"/>
              </w:rPr>
              <w:t>% chg</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92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in millions)</w:t>
            </w: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Oilfield Services</w:t>
            </w:r>
          </w:p>
        </w:tc>
        <w:tc>
          <w:tcPr>
            <w:tcW w:w="3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Revenue</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5,439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w w:val="84"/>
              </w:rPr>
              <w:t>5,605</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1,255</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4"/>
              </w:rPr>
              <w:t>1,502</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22"/>
        </w:trPr>
        <w:tc>
          <w:tcPr>
            <w:tcW w:w="5360" w:type="dxa"/>
            <w:vAlign w:val="bottom"/>
          </w:tcPr>
          <w:p>
            <w:pPr>
              <w:spacing w:after="0"/>
              <w:rPr>
                <w:sz w:val="20"/>
                <w:szCs w:val="20"/>
                <w:color w:val="auto"/>
              </w:rPr>
            </w:pPr>
            <w:r>
              <w:rPr>
                <w:rFonts w:ascii="Arial" w:cs="Arial" w:eastAsia="Arial" w:hAnsi="Arial"/>
                <w:sz w:val="18"/>
                <w:szCs w:val="18"/>
                <w:b w:val="1"/>
                <w:bCs w:val="1"/>
                <w:color w:val="auto"/>
              </w:rPr>
              <w:t>WesternGeco</w:t>
            </w: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551</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676</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8"/>
        </w:trPr>
        <w:tc>
          <w:tcPr>
            <w:tcW w:w="5360" w:type="dxa"/>
            <w:vAlign w:val="bottom"/>
          </w:tcPr>
          <w:p>
            <w:pPr>
              <w:spacing w:after="0"/>
              <w:rPr>
                <w:sz w:val="20"/>
                <w:szCs w:val="20"/>
                <w:color w:val="auto"/>
              </w:rPr>
            </w:pPr>
            <w:r>
              <w:rPr>
                <w:rFonts w:ascii="Arial" w:cs="Arial" w:eastAsia="Arial" w:hAnsi="Arial"/>
                <w:sz w:val="18"/>
                <w:szCs w:val="18"/>
                <w:color w:val="auto"/>
              </w:rPr>
              <w:t>Pretax Operating Income</w:t>
            </w:r>
          </w:p>
        </w:tc>
        <w:tc>
          <w:tcPr>
            <w:tcW w:w="3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196</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Pretax operating income represents the segments’ income before taxes and noncontrolling interests. The pretax operating income excludes such items as corporate expenses, amortization of certain intangible assets, interest on postretirement medical benefits, stock-based compensation costs, and interest income and interest expense not allocated to the segments.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First-quarter 2009 revenue was $6.00 billion versus $6.29 billion in the first quarter of 2008.</w:t>
      </w:r>
    </w:p>
    <w:p>
      <w:pPr>
        <w:spacing w:after="0" w:line="17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Income from continuing operations attributable to Schlumberger was $938 million in the first quarter of 2009 as compared to $1.30 billion in the first quarter of 2008.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OILFIELD SERVICES</w:t>
      </w:r>
    </w:p>
    <w:p>
      <w:pPr>
        <w:spacing w:after="0" w:line="17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First-quarter 2009 revenue of $5.44 billion was 3% lower compared to the same period last year. The weakening of local currencies against the US dollar reduced Oilfield Services first-quarter 2009 revenue by approximately 5%. In addition, revenue was down significantly in North America as the result of weaker activity and pricing pressure in US Land, US Gulf of Mexico and Canada while Europe/CIS/Africa revenue was lower primarily due to reduced activity in Russia. These decreases were partially offset by an increase in Latin America revenue due to increased IPM project work in Mexico/Central America and higher offshore activity in Brazil partially offset weaker activity in Venezuela/Trinidad &amp; Tobago. Middle East &amp; Asia revenue was also higher due to growth in several Middle East GeoMarkets.</w:t>
      </w:r>
    </w:p>
    <w:p>
      <w:pPr>
        <w:spacing w:after="0" w:line="14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First-quarter pretax operating income of $1.26 billion was 16% lower year-on year. Pretax operating margin declined 371 bps to 23.1% mostly as a result of the drop in activity and pricing pressure in North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9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First-quarter 2009 revenue of $1.19 billion was 16% lower year-on-year. US Land revenue dropped significantly as low natural gas prices and a lack of available credit for some customers resulted in a sharp decrease in activity coupled with heavy pricing pressure. Canada revenue was down due to the weakening of the Canadian dollar against the US dollar as well as low winter drilling activity and an early spring breakup. The US Gulf of Mexico revenue decreased on weak shelf drilling activity and consequent pricing pressure.</w:t>
      </w:r>
    </w:p>
    <w:p>
      <w:pPr>
        <w:spacing w:after="0" w:line="14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Year-on-year, pretax operating margin decreased 11.9 percentage points to 13.7% primarily due to the impact of the lower activity in US Land, Canada and US Gulf and associated pricing erosion.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96"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First-quarter 2009 revenue of $1.03 billion was 12% above the same period last year primarily as result of increased IPM project activity in Mexico/Central America and growth in offshore activity in Brazil. These increases were partially offset by the impact of the weakening of local currencies against the US dollar as well as lower demand for SIS, Drilling &amp; Measurements and Wireline services and reduced IPM activity in Venezuela/Trinidad &amp; Tobago.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Year-on-year, pretax operating margin was steady at 19.7% as the impact of the lower activity in Venezuela/Trinidad &amp; Tobago was offset by a favorable mix of higher-margin exploration activity in Brazil.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First-quarter 2009 revenue of $1.80 billion was 5% lower year-on-year primarily due to the weakening of local currencies against the US dollar, particularly in the North Sea, Continental Europe and Russia. Additionally, Russia experienced a significant reduction in activity from lower customer spending and pricing pressure. However, these decreases were partially offset by higher revenue in Libya due to strong demand for Well Testing and Drilling &amp; Measurements services in offshore activities and for Artificial Lift systems; growth in West &amp; South Africa from higher Completion systems sales and strong exploration-related activity which resulted in strong demand for Wireline and Testing technologies; and increased revenue in Continental Europe due to demand for Drilling &amp; Measurements services and SIS products.</w:t>
      </w:r>
    </w:p>
    <w:p>
      <w:pPr>
        <w:spacing w:after="0" w:line="144"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Year-on-year, pretax operating margin decreased only 41 bps to 25.9% as a more favorable revenue mix in Continental Europe and the North Sea offset the impact of the significantly lower activity in Russia.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96"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First-quarter 2009 revenue of $1.38 billion was 4% higher than the same period last year on strong demand for Well Services and Well Testing technologies coupled with strong sales of Completion and Artificial Lift systems in the GeoMarkets in the Middle East.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174 bps to 33.1% primarily due to a less favorable revenue mix across most of the Area.</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WESTERNGECO</w:t>
      </w:r>
    </w:p>
    <w:p>
      <w:pPr>
        <w:spacing w:after="0" w:line="177"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First-quarter 2009 revenue of $551 million decreased 18% year-on-year. Multiclient revenue was down significantly, mostly in North America, as customers reduced discretionary spending. Land revenue was lower primarily due to the completion of projects in Latin America. Marine revenue decreased on reduced vessel utilization.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Year-on-year, pretax operating margin decreased 19.1 percentage points to 9.9% primarily due to the impact of the lower Multiclient and Marine revenue.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&amp;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Interest &amp; other income consisted of the following for the first quarters of 2009 and 2008:</w:t>
      </w:r>
    </w:p>
    <w:p>
      <w:pPr>
        <w:spacing w:after="0" w:line="207" w:lineRule="exact"/>
        <w:rPr>
          <w:sz w:val="20"/>
          <w:szCs w:val="20"/>
          <w:color w:val="auto"/>
        </w:rPr>
      </w:pPr>
    </w:p>
    <w:p>
      <w:pPr>
        <w:jc w:val="center"/>
        <w:ind w:left="9840"/>
        <w:spacing w:after="0"/>
        <w:rPr>
          <w:sz w:val="20"/>
          <w:szCs w:val="20"/>
          <w:color w:val="auto"/>
        </w:rPr>
      </w:pPr>
      <w:r>
        <w:rPr>
          <w:rFonts w:ascii="Arial" w:cs="Arial" w:eastAsia="Arial" w:hAnsi="Arial"/>
          <w:sz w:val="14"/>
          <w:szCs w:val="14"/>
          <w:b w:val="1"/>
          <w:bCs w:val="1"/>
          <w:color w:val="auto"/>
        </w:rPr>
        <w:t>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0</wp:posOffset>
            </wp:positionV>
            <wp:extent cx="10033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ind w:left="9960"/>
        <w:spacing w:after="0"/>
        <w:tabs>
          <w:tab w:leader="none" w:pos="11000" w:val="left"/>
        </w:tabs>
        <w:rPr>
          <w:sz w:val="20"/>
          <w:szCs w:val="20"/>
          <w:color w:val="auto"/>
        </w:rPr>
      </w:pPr>
      <w:r>
        <w:rPr>
          <w:rFonts w:ascii="Arial" w:cs="Arial" w:eastAsia="Arial" w:hAnsi="Arial"/>
          <w:sz w:val="14"/>
          <w:szCs w:val="14"/>
          <w:b w:val="1"/>
          <w:bCs w:val="1"/>
          <w:color w:val="auto"/>
        </w:rPr>
        <w:t>2009</w:t>
      </w:r>
      <w:r>
        <w:rPr>
          <w:sz w:val="20"/>
          <w:szCs w:val="20"/>
          <w:color w:val="auto"/>
        </w:rPr>
        <w:tab/>
      </w:r>
      <w:r>
        <w:rPr>
          <w:rFonts w:ascii="Arial" w:cs="Arial" w:eastAsia="Arial" w:hAnsi="Arial"/>
          <w:sz w:val="14"/>
          <w:szCs w:val="14"/>
          <w:b w:val="1"/>
          <w:bCs w:val="1"/>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-6985</wp:posOffset>
            </wp:positionV>
            <wp:extent cx="3175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7500" cy="8890"/>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-6985</wp:posOffset>
            </wp:positionV>
            <wp:extent cx="33464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4645" cy="8890"/>
                    </a:xfrm>
                    <a:prstGeom prst="rect">
                      <a:avLst/>
                    </a:prstGeom>
                    <a:noFill/>
                  </pic:spPr>
                </pic:pic>
              </a:graphicData>
            </a:graphic>
          </wp:anchor>
        </w:drawing>
      </w:r>
    </w:p>
    <w:p>
      <w:pPr>
        <w:ind w:left="10080"/>
        <w:spacing w:after="0" w:line="223" w:lineRule="auto"/>
        <w:rPr>
          <w:sz w:val="20"/>
          <w:szCs w:val="20"/>
          <w:color w:val="auto"/>
        </w:rPr>
      </w:pPr>
      <w:r>
        <w:rPr>
          <w:rFonts w:ascii="Arial" w:cs="Arial" w:eastAsia="Arial" w:hAnsi="Arial"/>
          <w:sz w:val="14"/>
          <w:szCs w:val="14"/>
          <w:b w:val="1"/>
          <w:bCs w:val="1"/>
          <w:color w:val="auto"/>
        </w:rPr>
        <w:t>(Stated in millions)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18</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Equity in net earnings of affiliated companies</w:t>
            </w:r>
          </w:p>
        </w:tc>
        <w:tc>
          <w:tcPr>
            <w:tcW w:w="33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20" w:type="dxa"/>
            <w:vAlign w:val="bottom"/>
          </w:tcPr>
          <w:p>
            <w:pPr>
              <w:spacing w:after="0"/>
              <w:rPr>
                <w:sz w:val="19"/>
                <w:szCs w:val="19"/>
                <w:color w:val="auto"/>
              </w:rPr>
            </w:pPr>
          </w:p>
        </w:tc>
      </w:tr>
      <w:tr>
        <w:trPr>
          <w:trHeight w:val="216"/>
        </w:trPr>
        <w:tc>
          <w:tcPr>
            <w:tcW w:w="6520" w:type="dxa"/>
            <w:vAlign w:val="bottom"/>
            <w:shd w:val="clear" w:color="auto" w:fill="CCEEFF"/>
          </w:tcPr>
          <w:p>
            <w:pPr>
              <w:spacing w:after="0"/>
              <w:rPr>
                <w:sz w:val="18"/>
                <w:szCs w:val="18"/>
                <w:color w:val="auto"/>
              </w:rPr>
            </w:pPr>
          </w:p>
        </w:tc>
        <w:tc>
          <w:tcPr>
            <w:tcW w:w="3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77</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decrease in interest income is attributable to the significant decline in interest rates experienced during the first quarter of 2009 as compared to the first quarter of 2008.</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decrease in equity in net earnings of affiliated companies was primarily due to the results of the MI-SWACO drilling fluids joint venture that Schlumberger operates with Smith International, Inc.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Gross margin was 25.2% and 30.7% in the first quarter of 2009 and 2008, respectively. The decrease in gross margin was primarily driven by the drop in activity and pricing pressure in North America in Oilfield Services and the sharp decrease in Multiclient revenue at WesternGeco.</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As a percentage of Revenue, Research &amp; engineering, Marketing and General &amp; administrative expenses for the first quarter of 2009 and 2008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6"/>
          </w:tcPr>
          <w:p>
            <w:pPr>
              <w:jc w:val="right"/>
              <w:ind w:right="100"/>
              <w:spacing w:after="0"/>
              <w:rPr>
                <w:sz w:val="20"/>
                <w:szCs w:val="20"/>
                <w:color w:val="auto"/>
              </w:rPr>
            </w:pPr>
            <w:r>
              <w:rPr>
                <w:rFonts w:ascii="Arial" w:cs="Arial" w:eastAsia="Arial" w:hAnsi="Arial"/>
                <w:sz w:val="14"/>
                <w:szCs w:val="14"/>
                <w:b w:val="1"/>
                <w:bCs w:val="1"/>
                <w:color w:val="auto"/>
                <w:w w:val="99"/>
              </w:rPr>
              <w:t>First Quarter</w:t>
            </w: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9760" w:type="dxa"/>
            <w:vAlign w:val="bottom"/>
          </w:tcPr>
          <w:p>
            <w:pPr>
              <w:spacing w:after="0"/>
              <w:rPr>
                <w:sz w:val="12"/>
                <w:szCs w:val="12"/>
                <w:color w:val="auto"/>
              </w:rPr>
            </w:pPr>
          </w:p>
        </w:tc>
        <w:tc>
          <w:tcPr>
            <w:tcW w:w="40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2008</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0"/>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Research &amp; engineering</w:t>
            </w:r>
          </w:p>
        </w:tc>
        <w:tc>
          <w:tcPr>
            <w:tcW w:w="68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3.2%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w:t>
            </w:r>
          </w:p>
        </w:tc>
        <w:tc>
          <w:tcPr>
            <w:tcW w:w="20" w:type="dxa"/>
            <w:vAlign w:val="bottom"/>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Marketing</w:t>
            </w:r>
          </w:p>
        </w:tc>
        <w:tc>
          <w:tcPr>
            <w:tcW w:w="680" w:type="dxa"/>
            <w:vAlign w:val="bottom"/>
            <w:gridSpan w:val="5"/>
          </w:tcPr>
          <w:p>
            <w:pPr>
              <w:ind w:left="180"/>
              <w:spacing w:after="0"/>
              <w:rPr>
                <w:sz w:val="20"/>
                <w:szCs w:val="20"/>
                <w:color w:val="auto"/>
              </w:rPr>
            </w:pPr>
            <w:r>
              <w:rPr>
                <w:rFonts w:ascii="Arial" w:cs="Arial" w:eastAsia="Arial" w:hAnsi="Arial"/>
                <w:sz w:val="18"/>
                <w:szCs w:val="18"/>
                <w:b w:val="1"/>
                <w:bCs w:val="1"/>
                <w:color w:val="auto"/>
              </w:rPr>
              <w:t>0.4%</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7"/>
              </w:rPr>
              <w:t>0.4%</w:t>
            </w:r>
          </w:p>
        </w:tc>
        <w:tc>
          <w:tcPr>
            <w:tcW w:w="2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680" w:type="dxa"/>
            <w:vAlign w:val="bottom"/>
            <w:gridSpan w:val="5"/>
            <w:shd w:val="clear" w:color="auto" w:fill="CCEEFF"/>
          </w:tcPr>
          <w:p>
            <w:pPr>
              <w:ind w:left="180"/>
              <w:spacing w:after="0"/>
              <w:rPr>
                <w:sz w:val="20"/>
                <w:szCs w:val="20"/>
                <w:color w:val="auto"/>
              </w:rPr>
            </w:pPr>
            <w:r>
              <w:rPr>
                <w:rFonts w:ascii="Arial" w:cs="Arial" w:eastAsia="Arial" w:hAnsi="Arial"/>
                <w:sz w:val="18"/>
                <w:szCs w:val="18"/>
                <w:b w:val="1"/>
                <w:bCs w:val="1"/>
                <w:color w:val="auto"/>
              </w:rPr>
              <w:t>2.2%</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w:t>
            </w:r>
          </w:p>
        </w:tc>
        <w:tc>
          <w:tcPr>
            <w:tcW w:w="20" w:type="dxa"/>
            <w:vAlign w:val="bottom"/>
          </w:tcPr>
          <w:p>
            <w:pPr>
              <w:spacing w:after="0"/>
              <w:rPr>
                <w:sz w:val="18"/>
                <w:szCs w:val="18"/>
                <w:color w:val="auto"/>
              </w:rPr>
            </w:pPr>
          </w:p>
        </w:tc>
      </w:tr>
      <w:tr>
        <w:trPr>
          <w:trHeight w:val="376"/>
        </w:trPr>
        <w:tc>
          <w:tcPr>
            <w:tcW w:w="9760" w:type="dxa"/>
            <w:vAlign w:val="bottom"/>
          </w:tcPr>
          <w:p>
            <w:pPr>
              <w:spacing w:after="0"/>
              <w:rPr>
                <w:sz w:val="20"/>
                <w:szCs w:val="20"/>
                <w:color w:val="auto"/>
              </w:rPr>
            </w:pPr>
            <w:r>
              <w:rPr>
                <w:rFonts w:ascii="Arial" w:cs="Arial" w:eastAsia="Arial" w:hAnsi="Arial"/>
                <w:sz w:val="18"/>
                <w:szCs w:val="18"/>
                <w:color w:val="auto"/>
              </w:rPr>
              <w:t>Research and engineering expenditures, by business segment, for the first quarters of 2009 and 2008 were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9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8"/>
          </w:tcPr>
          <w:p>
            <w:pPr>
              <w:jc w:val="right"/>
              <w:ind w:right="360"/>
              <w:spacing w:after="0"/>
              <w:rPr>
                <w:sz w:val="20"/>
                <w:szCs w:val="20"/>
                <w:color w:val="auto"/>
              </w:rPr>
            </w:pPr>
            <w:r>
              <w:rPr>
                <w:rFonts w:ascii="Arial" w:cs="Arial" w:eastAsia="Arial" w:hAnsi="Arial"/>
                <w:sz w:val="14"/>
                <w:szCs w:val="14"/>
                <w:b w:val="1"/>
                <w:bCs w:val="1"/>
                <w:color w:val="auto"/>
              </w:rPr>
              <w:t>First Quarter</w:t>
            </w:r>
          </w:p>
        </w:tc>
      </w:tr>
      <w:tr>
        <w:trPr>
          <w:trHeight w:val="142"/>
        </w:trPr>
        <w:tc>
          <w:tcPr>
            <w:tcW w:w="9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w w:val="89"/>
              </w:rPr>
              <w:t>2008</w:t>
            </w:r>
          </w:p>
        </w:tc>
        <w:tc>
          <w:tcPr>
            <w:tcW w:w="20" w:type="dxa"/>
            <w:vAlign w:val="bottom"/>
          </w:tcPr>
          <w:p>
            <w:pPr>
              <w:spacing w:after="0"/>
              <w:rPr>
                <w:sz w:val="12"/>
                <w:szCs w:val="12"/>
                <w:color w:val="auto"/>
              </w:rPr>
            </w:pPr>
          </w:p>
        </w:tc>
      </w:tr>
      <w:tr>
        <w:trPr>
          <w:trHeight w:val="142"/>
        </w:trPr>
        <w:tc>
          <w:tcPr>
            <w:tcW w:w="9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9"/>
              </w:rPr>
              <w:t>(Stated</w:t>
            </w:r>
          </w:p>
        </w:tc>
        <w:tc>
          <w:tcPr>
            <w:tcW w:w="20" w:type="dxa"/>
            <w:vAlign w:val="bottom"/>
          </w:tcPr>
          <w:p>
            <w:pPr>
              <w:spacing w:after="0"/>
              <w:rPr>
                <w:sz w:val="12"/>
                <w:szCs w:val="12"/>
                <w:color w:val="auto"/>
              </w:rPr>
            </w:pPr>
          </w:p>
        </w:tc>
        <w:tc>
          <w:tcPr>
            <w:tcW w:w="960" w:type="dxa"/>
            <w:vAlign w:val="bottom"/>
            <w:gridSpan w:val="5"/>
          </w:tcPr>
          <w:p>
            <w:pPr>
              <w:jc w:val="right"/>
              <w:ind w:right="180"/>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Oilfield Services</w:t>
            </w:r>
          </w:p>
        </w:tc>
        <w:tc>
          <w:tcPr>
            <w:tcW w:w="280" w:type="dxa"/>
            <w:vAlign w:val="bottom"/>
            <w:gridSpan w:val="3"/>
            <w:shd w:val="clear" w:color="auto" w:fill="CCEEFF"/>
          </w:tcPr>
          <w:p>
            <w:pPr>
              <w:ind w:left="180"/>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158</w:t>
            </w:r>
          </w:p>
        </w:tc>
        <w:tc>
          <w:tcPr>
            <w:tcW w:w="4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tcPr>
          <w:p>
            <w:pPr>
              <w:spacing w:after="0"/>
              <w:rPr>
                <w:sz w:val="18"/>
                <w:szCs w:val="18"/>
                <w:color w:val="auto"/>
              </w:rPr>
            </w:pPr>
          </w:p>
        </w:tc>
      </w:tr>
      <w:tr>
        <w:trPr>
          <w:trHeight w:val="216"/>
        </w:trPr>
        <w:tc>
          <w:tcPr>
            <w:tcW w:w="9760" w:type="dxa"/>
            <w:vAlign w:val="bottom"/>
          </w:tcPr>
          <w:p>
            <w:pPr>
              <w:spacing w:after="0"/>
              <w:rPr>
                <w:sz w:val="20"/>
                <w:szCs w:val="20"/>
                <w:color w:val="auto"/>
              </w:rPr>
            </w:pPr>
            <w:r>
              <w:rPr>
                <w:rFonts w:ascii="Arial" w:cs="Arial" w:eastAsia="Arial" w:hAnsi="Arial"/>
                <w:sz w:val="18"/>
                <w:szCs w:val="18"/>
                <w:color w:val="auto"/>
              </w:rPr>
              <w:t>WesternGeco</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27</w:t>
            </w: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r>
      <w:tr>
        <w:trPr>
          <w:trHeight w:val="216"/>
        </w:trPr>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r>
      <w:tr>
        <w:trPr>
          <w:trHeight w:val="223"/>
        </w:trPr>
        <w:tc>
          <w:tcPr>
            <w:tcW w:w="9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b w:val="1"/>
                <w:bCs w:val="1"/>
                <w:color w:val="auto"/>
                <w:w w:val="71"/>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190</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440" w:type="dxa"/>
            <w:vAlign w:val="bottom"/>
            <w:gridSpan w:val="3"/>
          </w:tcPr>
          <w:p>
            <w:pPr>
              <w:jc w:val="right"/>
              <w:ind w:right="20"/>
              <w:spacing w:after="0"/>
              <w:rPr>
                <w:sz w:val="20"/>
                <w:szCs w:val="20"/>
                <w:color w:val="auto"/>
              </w:rPr>
            </w:pPr>
            <w:r>
              <w:rPr>
                <w:rFonts w:ascii="Arial" w:cs="Arial" w:eastAsia="Arial" w:hAnsi="Arial"/>
                <w:sz w:val="18"/>
                <w:szCs w:val="18"/>
                <w:color w:val="auto"/>
              </w:rPr>
              <w:t>191</w:t>
            </w:r>
          </w:p>
        </w:tc>
      </w:tr>
      <w:tr>
        <w:trPr>
          <w:trHeight w:val="20"/>
        </w:trPr>
        <w:tc>
          <w:tcPr>
            <w:tcW w:w="9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The effective tax rate for the first quarter of 2009 was 21.1% compared to 19.1% for the same period in 2008. This increase was primarily attributable to a reduction in Oilfield Services being more than offset by an increase in WesternGeco, both of which are attributable to the geographic mix of earnings.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96"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Details of Net Debt follow: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11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9"/>
              </w:rPr>
              <w:t>Mar. 31</w:t>
            </w: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9"/>
              </w:rPr>
              <w:t>Mar.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5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2009</w:t>
            </w:r>
          </w:p>
        </w:tc>
        <w:tc>
          <w:tcPr>
            <w:tcW w:w="580" w:type="dxa"/>
            <w:vAlign w:val="bottom"/>
          </w:tcPr>
          <w:p>
            <w:pPr>
              <w:spacing w:after="0"/>
              <w:rPr>
                <w:sz w:val="14"/>
                <w:szCs w:val="14"/>
                <w:color w:val="auto"/>
              </w:rPr>
            </w:pPr>
          </w:p>
        </w:tc>
        <w:tc>
          <w:tcPr>
            <w:tcW w:w="56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40" w:type="dxa"/>
            <w:vAlign w:val="bottom"/>
          </w:tcPr>
          <w:p>
            <w:pPr>
              <w:spacing w:after="0"/>
              <w:rPr>
                <w:sz w:val="12"/>
                <w:szCs w:val="12"/>
                <w:color w:val="auto"/>
              </w:rPr>
            </w:pPr>
          </w:p>
        </w:tc>
        <w:tc>
          <w:tcPr>
            <w:tcW w:w="1760" w:type="dxa"/>
            <w:vAlign w:val="bottom"/>
            <w:gridSpan w:val="4"/>
          </w:tcPr>
          <w:p>
            <w:pPr>
              <w:ind w:left="300"/>
              <w:spacing w:after="0" w:line="142" w:lineRule="exact"/>
              <w:rPr>
                <w:sz w:val="20"/>
                <w:szCs w:val="20"/>
                <w:color w:val="auto"/>
              </w:rPr>
            </w:pPr>
            <w:r>
              <w:rPr>
                <w:rFonts w:ascii="Arial" w:cs="Arial" w:eastAsia="Arial" w:hAnsi="Arial"/>
                <w:sz w:val="14"/>
                <w:szCs w:val="14"/>
                <w:b w:val="1"/>
                <w:bCs w:val="1"/>
                <w:color w:val="auto"/>
              </w:rPr>
              <w:t>(Stated in millions)</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w w:val="89"/>
              </w:rPr>
              <w:t>$(1,129)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Net income attributable to Schlumberger</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938</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line="217" w:lineRule="exact"/>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22"/>
                <w:szCs w:val="22"/>
                <w:color w:val="auto"/>
                <w:vertAlign w:val="superscript"/>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609</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Stock-based compensation expense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(904)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Capital expenditure</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(748)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Multiclient seismic data capitalized</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(48)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(251)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Proceeds from employee stock plans</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5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Business acquisitions</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Pension plan funding</w:t>
            </w:r>
          </w:p>
        </w:tc>
        <w:tc>
          <w:tcPr>
            <w:tcW w:w="11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(273)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114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Conversion of debentures</w:t>
            </w:r>
          </w:p>
        </w:tc>
        <w:tc>
          <w:tcPr>
            <w:tcW w:w="1140" w:type="dxa"/>
            <w:vAlign w:val="bottom"/>
            <w:gridSpan w:val="2"/>
          </w:tcPr>
          <w:p>
            <w:pPr>
              <w:ind w:left="300"/>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259</w:t>
            </w:r>
          </w:p>
        </w:tc>
        <w:tc>
          <w:tcPr>
            <w:tcW w:w="5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740" w:type="dxa"/>
            <w:vAlign w:val="bottom"/>
            <w:gridSpan w:val="2"/>
          </w:tcPr>
          <w:p>
            <w:pPr>
              <w:ind w:left="440"/>
              <w:spacing w:after="0"/>
              <w:rPr>
                <w:sz w:val="20"/>
                <w:szCs w:val="20"/>
                <w:color w:val="auto"/>
              </w:rPr>
            </w:pPr>
            <w:r>
              <w:rPr>
                <w:rFonts w:ascii="Arial" w:cs="Arial" w:eastAsia="Arial" w:hAnsi="Arial"/>
                <w:sz w:val="18"/>
                <w:szCs w:val="18"/>
                <w:color w:val="auto"/>
              </w:rPr>
              <w:t>Translation effect on Net Debt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5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80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(1,527)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(2,156)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8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(1)</w:t>
        <w:tab/>
        <w:t>Includes Multiclient seismic data costs.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72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9"/>
              </w:rPr>
              <w:t>Mar. 31</w:t>
            </w:r>
          </w:p>
        </w:tc>
        <w:tc>
          <w:tcPr>
            <w:tcW w:w="400" w:type="dxa"/>
            <w:vAlign w:val="bottom"/>
          </w:tcPr>
          <w:p>
            <w:pPr>
              <w:spacing w:after="0"/>
              <w:rPr>
                <w:sz w:val="14"/>
                <w:szCs w:val="14"/>
                <w:color w:val="auto"/>
              </w:rPr>
            </w:pPr>
          </w:p>
        </w:tc>
        <w:tc>
          <w:tcPr>
            <w:tcW w:w="112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1"/>
              </w:rPr>
              <w:t>Mar. 31</w:t>
            </w:r>
          </w:p>
        </w:tc>
        <w:tc>
          <w:tcPr>
            <w:tcW w:w="6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3"/>
              </w:rPr>
              <w:t>Dec. 31</w:t>
            </w:r>
          </w:p>
        </w:tc>
      </w:tr>
      <w:tr>
        <w:trPr>
          <w:trHeight w:val="161"/>
        </w:trPr>
        <w:tc>
          <w:tcPr>
            <w:tcW w:w="1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Components of Net Debt</w:t>
            </w:r>
          </w:p>
        </w:tc>
        <w:tc>
          <w:tcPr>
            <w:tcW w:w="40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89"/>
              </w:rPr>
              <w:t>2009</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9"/>
              </w:rPr>
              <w:t>2008</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6"/>
              </w:rPr>
              <w:t>2008</w:t>
            </w:r>
          </w:p>
        </w:tc>
        <w:tc>
          <w:tcPr>
            <w:tcW w:w="60" w:type="dxa"/>
            <w:vAlign w:val="bottom"/>
          </w:tcPr>
          <w:p>
            <w:pPr>
              <w:spacing w:after="0"/>
              <w:rPr>
                <w:sz w:val="14"/>
                <w:szCs w:val="14"/>
                <w:color w:val="auto"/>
              </w:rPr>
            </w:pPr>
          </w:p>
        </w:tc>
      </w:tr>
      <w:tr>
        <w:trPr>
          <w:trHeight w:val="142"/>
        </w:trPr>
        <w:tc>
          <w:tcPr>
            <w:tcW w:w="152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4"/>
          </w:tcPr>
          <w:p>
            <w:pPr>
              <w:jc w:val="center"/>
              <w:ind w:right="180"/>
              <w:spacing w:after="0" w:line="142" w:lineRule="exact"/>
              <w:rPr>
                <w:sz w:val="20"/>
                <w:szCs w:val="20"/>
                <w:color w:val="auto"/>
              </w:rPr>
            </w:pPr>
            <w:r>
              <w:rPr>
                <w:rFonts w:ascii="Arial" w:cs="Arial" w:eastAsia="Arial" w:hAnsi="Arial"/>
                <w:sz w:val="14"/>
                <w:szCs w:val="14"/>
                <w:b w:val="1"/>
                <w:bCs w:val="1"/>
                <w:color w:val="auto"/>
                <w:w w:val="87"/>
              </w:rPr>
              <w:t>(Stated 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Short-term investments</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7"/>
              </w:rPr>
              <w:t>3,994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3,008</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3,503</w:t>
            </w:r>
          </w:p>
        </w:tc>
        <w:tc>
          <w:tcPr>
            <w:tcW w:w="60" w:type="dxa"/>
            <w:vAlign w:val="bottom"/>
          </w:tcPr>
          <w:p>
            <w:pPr>
              <w:spacing w:after="0"/>
              <w:rPr>
                <w:sz w:val="18"/>
                <w:szCs w:val="18"/>
                <w:color w:val="auto"/>
              </w:rPr>
            </w:pP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income investments, held to maturity</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60" w:type="dxa"/>
            <w:vAlign w:val="bottom"/>
            <w:shd w:val="clear" w:color="auto" w:fill="CCEEFF"/>
          </w:tcPr>
          <w:p>
            <w:pPr>
              <w:spacing w:after="0"/>
              <w:rPr>
                <w:sz w:val="18"/>
                <w:szCs w:val="18"/>
                <w:color w:val="auto"/>
              </w:rPr>
            </w:pP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Bank loans and current portion of long-term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(1,591)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(1,273)</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(1,598)</w:t>
            </w:r>
          </w:p>
        </w:tc>
      </w:tr>
      <w:tr>
        <w:trPr>
          <w:trHeight w:val="216"/>
        </w:trPr>
        <w:tc>
          <w:tcPr>
            <w:tcW w:w="5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Convertible debentures</w:t>
            </w:r>
          </w:p>
        </w:tc>
        <w:tc>
          <w:tcPr>
            <w:tcW w:w="2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(321)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(722)</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(321)</w:t>
            </w:r>
          </w:p>
        </w:tc>
      </w:tr>
      <w:tr>
        <w:trPr>
          <w:trHeight w:val="216"/>
        </w:trPr>
        <w:tc>
          <w:tcPr>
            <w:tcW w:w="5540" w:type="dxa"/>
            <w:vAlign w:val="bottom"/>
            <w:gridSpan w:val="2"/>
          </w:tcPr>
          <w:p>
            <w:pPr>
              <w:spacing w:after="0"/>
              <w:rPr>
                <w:sz w:val="20"/>
                <w:szCs w:val="20"/>
                <w:color w:val="auto"/>
              </w:rPr>
            </w:pPr>
            <w:r>
              <w:rPr>
                <w:rFonts w:ascii="Arial" w:cs="Arial" w:eastAsia="Arial" w:hAnsi="Arial"/>
                <w:sz w:val="18"/>
                <w:szCs w:val="18"/>
                <w:color w:val="auto"/>
              </w:rPr>
              <w:t>Other long-term debt</w:t>
            </w: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(4,254)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500"/>
              <w:spacing w:after="0"/>
              <w:rPr>
                <w:sz w:val="20"/>
                <w:szCs w:val="20"/>
                <w:color w:val="auto"/>
              </w:rPr>
            </w:pPr>
            <w:r>
              <w:rPr>
                <w:rFonts w:ascii="Arial" w:cs="Arial" w:eastAsia="Arial" w:hAnsi="Arial"/>
                <w:sz w:val="18"/>
                <w:szCs w:val="18"/>
                <w:color w:val="auto"/>
                <w:w w:val="87"/>
              </w:rPr>
              <w:t>(3,738)</w:t>
            </w: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w w:val="87"/>
              </w:rPr>
              <w:t>(3,372)</w:t>
            </w:r>
          </w:p>
        </w:tc>
      </w:tr>
      <w:tr>
        <w:trPr>
          <w:trHeight w:val="27"/>
        </w:trPr>
        <w:tc>
          <w:tcPr>
            <w:tcW w:w="1520" w:type="dxa"/>
            <w:vAlign w:val="bottom"/>
          </w:tcPr>
          <w:p>
            <w:pPr>
              <w:spacing w:after="0"/>
              <w:rPr>
                <w:sz w:val="2"/>
                <w:szCs w:val="2"/>
                <w:color w:val="auto"/>
              </w:rPr>
            </w:pPr>
          </w:p>
        </w:tc>
        <w:tc>
          <w:tcPr>
            <w:tcW w:w="40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15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84"/>
              </w:rPr>
              <w:t>(1,527)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(2,156)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(1,129)</w:t>
            </w:r>
          </w:p>
        </w:tc>
      </w:tr>
      <w:tr>
        <w:trPr>
          <w:trHeight w:val="20"/>
        </w:trPr>
        <w:tc>
          <w:tcPr>
            <w:tcW w:w="15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three months of 2009 and 2008 included:</w:t>
      </w:r>
    </w:p>
    <w:p>
      <w:pPr>
        <w:spacing w:after="0" w:line="90" w:lineRule="exact"/>
        <w:rPr>
          <w:sz w:val="20"/>
          <w:szCs w:val="20"/>
          <w:color w:val="auto"/>
        </w:rPr>
      </w:pPr>
    </w:p>
    <w:p>
      <w:pPr>
        <w:jc w:val="both"/>
        <w:ind w:left="900" w:right="16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During the first quarter of 2009, Schlumberger entered into a €3.0 billion Euro Medium Term Note program which is guaranteed by Schlumberger Limited. This program provides for the issuance of various types of debt instruments such as fixed or floating rate notes in Euro, US dollar or other currencies.</w:t>
      </w:r>
    </w:p>
    <w:p>
      <w:pPr>
        <w:spacing w:after="0" w:line="59" w:lineRule="exact"/>
        <w:rPr>
          <w:sz w:val="20"/>
          <w:szCs w:val="20"/>
          <w:color w:val="auto"/>
        </w:rPr>
      </w:pPr>
    </w:p>
    <w:p>
      <w:pPr>
        <w:ind w:left="920"/>
        <w:spacing w:after="0" w:line="256" w:lineRule="auto"/>
        <w:rPr>
          <w:sz w:val="20"/>
          <w:szCs w:val="20"/>
          <w:color w:val="auto"/>
        </w:rPr>
      </w:pPr>
      <w:r>
        <w:rPr>
          <w:rFonts w:ascii="Arial" w:cs="Arial" w:eastAsia="Arial" w:hAnsi="Arial"/>
          <w:sz w:val="18"/>
          <w:szCs w:val="18"/>
          <w:color w:val="auto"/>
        </w:rPr>
        <w:t>In March 2009, Schlumberger issued €1.0 billion 4.50% Guaranteed Notes due 2014 under this program. Schlumberger entered into agreements to swap these Euro notes for US dollars on the date of issue until maturity, effectively making this a US dollar denominated debt on which Schlumberger will pay interest in US dollars at a rate of 4.95%. The proceeds from these notes will be used to refinance existing debt obligations and for general corporate purposes and will increase Schlumberger’s financial flexibility.</w:t>
      </w:r>
    </w:p>
    <w:p>
      <w:pPr>
        <w:spacing w:after="0" w:line="62" w:lineRule="exact"/>
        <w:rPr>
          <w:sz w:val="20"/>
          <w:szCs w:val="20"/>
          <w:color w:val="auto"/>
        </w:rPr>
      </w:pPr>
    </w:p>
    <w:p>
      <w:pPr>
        <w:ind w:left="900" w:right="100" w:hanging="325"/>
        <w:spacing w:after="0" w:line="314"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On April 20, 2006, the Board of Directors of Schlumberger approved a share repurchase program of up to 40 million shares of its common stock to be acquired in the open market before April 2010, subject to market conditions. This program was completed during the second quarter of 2008. On April 17, 2008, the Board of Directors of Schlumberger approved an $8 billion share repurchase program for shares of its common stock to be acquired in the open market before December 31, 2011, of which $934 million have been repurchased as of March 31, 2009. Given the current economic environment, Schlumberger has temporarily suspended the share repurchase program and did not repurchase any shares during the first quarter of 2009. The following table summarizes the activity under the April 20, 2006 share repurchase program during the first quarter of 2008:</w:t>
      </w:r>
    </w:p>
    <w:p>
      <w:pPr>
        <w:spacing w:after="0" w:line="12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4"/>
              </w:rPr>
              <w:t>Total cost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Total number</w:t>
            </w:r>
          </w:p>
        </w:tc>
        <w:tc>
          <w:tcPr>
            <w:tcW w:w="7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6"/>
              </w:rPr>
              <w:t>Average</w:t>
            </w:r>
          </w:p>
        </w:tc>
      </w:tr>
      <w:tr>
        <w:trPr>
          <w:trHeight w:val="149"/>
        </w:trPr>
        <w:tc>
          <w:tcPr>
            <w:tcW w:w="5900" w:type="dxa"/>
            <w:vAlign w:val="bottom"/>
          </w:tcPr>
          <w:p>
            <w:pPr>
              <w:spacing w:after="0"/>
              <w:rPr>
                <w:sz w:val="12"/>
                <w:szCs w:val="12"/>
                <w:color w:val="auto"/>
              </w:rPr>
            </w:pPr>
          </w:p>
        </w:tc>
        <w:tc>
          <w:tcPr>
            <w:tcW w:w="14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3"/>
              </w:rPr>
              <w:t>of shares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of shares</w:t>
            </w:r>
          </w:p>
        </w:tc>
        <w:tc>
          <w:tcPr>
            <w:tcW w:w="72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price paid</w:t>
            </w:r>
          </w:p>
        </w:tc>
      </w:tr>
      <w:tr>
        <w:trPr>
          <w:trHeight w:val="161"/>
        </w:trPr>
        <w:tc>
          <w:tcPr>
            <w:tcW w:w="5900" w:type="dxa"/>
            <w:vAlign w:val="bottom"/>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7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purchased</w:t>
            </w:r>
          </w:p>
        </w:tc>
        <w:tc>
          <w:tcPr>
            <w:tcW w:w="7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per share</w:t>
            </w:r>
          </w:p>
        </w:tc>
      </w:tr>
      <w:tr>
        <w:trPr>
          <w:trHeight w:val="142"/>
        </w:trPr>
        <w:tc>
          <w:tcPr>
            <w:tcW w:w="5900" w:type="dxa"/>
            <w:vAlign w:val="bottom"/>
          </w:tcPr>
          <w:p>
            <w:pPr>
              <w:spacing w:after="0"/>
              <w:rPr>
                <w:sz w:val="12"/>
                <w:szCs w:val="12"/>
                <w:color w:val="auto"/>
              </w:rPr>
            </w:pPr>
          </w:p>
        </w:tc>
        <w:tc>
          <w:tcPr>
            <w:tcW w:w="3680" w:type="dxa"/>
            <w:vAlign w:val="bottom"/>
            <w:gridSpan w:val="5"/>
          </w:tcPr>
          <w:p>
            <w:pPr>
              <w:ind w:left="460"/>
              <w:spacing w:after="0" w:line="142" w:lineRule="exact"/>
              <w:rPr>
                <w:sz w:val="20"/>
                <w:szCs w:val="20"/>
                <w:color w:val="auto"/>
              </w:rPr>
            </w:pPr>
            <w:r>
              <w:rPr>
                <w:rFonts w:ascii="Arial" w:cs="Arial" w:eastAsia="Arial" w:hAnsi="Arial"/>
                <w:sz w:val="14"/>
                <w:szCs w:val="14"/>
                <w:b w:val="1"/>
                <w:bCs w:val="1"/>
                <w:color w:val="auto"/>
                <w:w w:val="98"/>
              </w:rPr>
              <w:t>(Stated in thousands, except per share amounts)</w:t>
            </w: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of 2008</w:t>
            </w:r>
          </w:p>
        </w:tc>
        <w:tc>
          <w:tcPr>
            <w:tcW w:w="1480" w:type="dxa"/>
            <w:vAlign w:val="bottom"/>
            <w:gridSpan w:val="2"/>
            <w:shd w:val="clear" w:color="auto" w:fill="CCEEFF"/>
          </w:tcPr>
          <w:p>
            <w:pPr>
              <w:jc w:val="center"/>
              <w:ind w:right="720"/>
              <w:spacing w:after="0"/>
              <w:rPr>
                <w:sz w:val="20"/>
                <w:szCs w:val="20"/>
                <w:color w:val="auto"/>
              </w:rPr>
            </w:pPr>
            <w:r>
              <w:rPr>
                <w:rFonts w:ascii="Arial" w:cs="Arial" w:eastAsia="Arial" w:hAnsi="Arial"/>
                <w:sz w:val="18"/>
                <w:szCs w:val="18"/>
                <w:color w:val="auto"/>
                <w:w w:val="94"/>
              </w:rPr>
              <w:t>$ 564,302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6,953.0</w:t>
            </w:r>
          </w:p>
        </w:tc>
        <w:tc>
          <w:tcPr>
            <w:tcW w:w="1400" w:type="dxa"/>
            <w:vAlign w:val="bottom"/>
            <w:gridSpan w:val="2"/>
            <w:shd w:val="clear" w:color="auto" w:fill="CCEEFF"/>
          </w:tcPr>
          <w:p>
            <w:pPr>
              <w:jc w:val="center"/>
              <w:ind w:left="632"/>
              <w:spacing w:after="0"/>
              <w:rPr>
                <w:sz w:val="20"/>
                <w:szCs w:val="20"/>
                <w:color w:val="auto"/>
              </w:rPr>
            </w:pPr>
            <w:r>
              <w:rPr>
                <w:rFonts w:ascii="Arial" w:cs="Arial" w:eastAsia="Arial" w:hAnsi="Arial"/>
                <w:sz w:val="18"/>
                <w:szCs w:val="18"/>
                <w:color w:val="auto"/>
              </w:rPr>
              <w:t>$  81.16</w:t>
            </w:r>
          </w:p>
        </w:tc>
      </w:tr>
    </w:tbl>
    <w:p>
      <w:pPr>
        <w:spacing w:after="0" w:line="73" w:lineRule="exact"/>
        <w:rPr>
          <w:sz w:val="20"/>
          <w:szCs w:val="20"/>
          <w:color w:val="auto"/>
        </w:rPr>
      </w:pPr>
    </w:p>
    <w:p>
      <w:pPr>
        <w:ind w:left="900" w:right="1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Schlumberger contributed $273 million to its deferred benefit pension plans during the first quarter of 2009 compared to $24 million during the first quarter of 2008.</w:t>
      </w:r>
    </w:p>
    <w:p>
      <w:pPr>
        <w:spacing w:after="0" w:line="50" w:lineRule="exact"/>
        <w:rPr>
          <w:rFonts w:ascii="Arial" w:cs="Arial" w:eastAsia="Arial" w:hAnsi="Arial"/>
          <w:sz w:val="18"/>
          <w:szCs w:val="18"/>
          <w:color w:val="auto"/>
        </w:rPr>
      </w:pPr>
    </w:p>
    <w:p>
      <w:pPr>
        <w:ind w:left="900" w:right="20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flow provided by operations was $551 million in the first quarter of 2009 compared to $1.1 billion in the first quarter of 2008. This deterioration was primarily driven by the net income decrease experienced in the first quarter of 2009 as compared to the first quarter of 2008, and the significant pension plan contribution made in the first quarter of 2009.</w:t>
      </w:r>
    </w:p>
    <w:p>
      <w:pPr>
        <w:spacing w:after="0" w:line="59"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Capital expenditures were $748 million in the first quarter of 2009 compared to $752 million during the first quarter of 2008. Capital expenditures are expected to approach $2.6 billion for the full year 2009.</w:t>
      </w:r>
    </w:p>
    <w:p>
      <w:pPr>
        <w:spacing w:after="0" w:line="13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reduction in cash flows being experienced by our customers resulting from declines in commodity prices, together with the reduced availability of credit and increased costs of borrowing due to the tightening of the credit markets, could have significant adverse effects on the financial condition of some of our customers. This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could result in, among other things, delay in, or nonpayment of, amounts that are owed Schlumberger, which could have a material adverse effect on Schlumberger’s results of operations and cash flows. In particular, Schlumberger has experienced an increased delay in payment from one of its larger national oil company customers. Schlumberger operates in approximately 80 countries. As of March 31, 2009, only three of those countries individually accounted for greater than 5% of Schlumberger’s accounts receivable balance and no single country represented greater than 10%.</w:t>
      </w:r>
    </w:p>
    <w:p>
      <w:pPr>
        <w:spacing w:after="0" w:line="11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As of March 31, 2009, Schlumberger had approximately $4.6 billion of cash and investments on hand. Wholly-owned subsidiaries of Schlumberger had separate committed debt facility agreements aggregating $3.8 billion with commercial banks, of which $2.2 billion was available and unused as of March 31, 2009. Schlumberger believes that these amounts are sufficient to meet future business requirements for at least the next twelve months.</w:t>
      </w:r>
    </w:p>
    <w:p>
      <w:pPr>
        <w:spacing w:after="0" w:line="107"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Schlumberger’s total outstanding debt at March 31, 2009 was $6.2 billion and included approximately $0.7 billion of commercial paper borrowings. The total outstanding debt increased approximately $0.9 billion as compared to December 31, 2008. This increase was primarily attributable to the €1 billion of 4.5% Guaranteed Notes due 2014 that were issued during the first quarter, partially offset by the repayment of $0.4 billion of commercial paper borrowings.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96" w:lineRule="exact"/>
        <w:rPr>
          <w:sz w:val="20"/>
          <w:szCs w:val="20"/>
          <w:color w:val="auto"/>
        </w:rPr>
      </w:pPr>
    </w:p>
    <w:p>
      <w:pPr>
        <w:ind w:right="40"/>
        <w:spacing w:after="0" w:line="306" w:lineRule="auto"/>
        <w:rPr>
          <w:sz w:val="20"/>
          <w:szCs w:val="20"/>
          <w:color w:val="auto"/>
        </w:rPr>
      </w:pPr>
      <w:r>
        <w:rPr>
          <w:rFonts w:ascii="Arial" w:cs="Arial" w:eastAsia="Arial" w:hAnsi="Arial"/>
          <w:sz w:val="15"/>
          <w:szCs w:val="15"/>
          <w:color w:val="auto"/>
        </w:rPr>
        <w:t>This Report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Oilfield Services and WesternGeco (and for specified products or geographic areas within each segment); oil and natural gas demand and production growth; operating margins; capital expenditures by Schlumberger and the oil and gas industry; the business strategies of Schlumberger customers; the Schlumberger effective tax rate; and future results of operations. These statements are subject to risks and uncertainties, including, but not limited to, the current global economic downturn; changes in exploration and production spending by Schlumberger customers and changes in the level of oil and natural gas exploration and development; general economic and business conditions in key regions of the world; the financial condition of our suppliers and customers in light of current global economic conditions; pricing erosion; third-party service costs; operational and project modifications, delays or cancelations; exploitation of technology; seasonal factors and weather-related events; and other risks and uncertainties detailed in our first-quarter 2009 earnings release, our most recent Form 10-K, this Form 10-Q and other filings that we make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23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2008. Schlumberger’s exposure to market risk has not changed materially since December 31, 2008.</w:t>
      </w:r>
    </w:p>
    <w:p>
      <w:pPr>
        <w:spacing w:after="0" w:line="2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has been no change in Schlumberger’s internal control over financial reporting that occurred during the quarter to which this report relates that has materially affected, or is reasonably likely to materially affect, Schlumberger’s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 OTHER INFORMATION</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information with respect to Item 1 is set forth under Note 11 </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There have been no material changes from the risk factors as previously disclosed in Part 1, Item 1A, of the Schlumberger Annual Report on Form 10-K for the fiscal year ended December 31, 2008.</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Unregistered Sales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Repurchases of Equity Securities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2009 Annual General Meeting of Stockholders of Schlumberger Limited (The “Meeting”) was held on April 8, 2009.</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director nominees were elected.</w:t>
      </w:r>
    </w:p>
    <w:p>
      <w:pPr>
        <w:spacing w:after="0" w:line="90" w:lineRule="exact"/>
        <w:rPr>
          <w:rFonts w:ascii="Arial" w:cs="Arial" w:eastAsia="Arial" w:hAnsi="Arial"/>
          <w:sz w:val="18"/>
          <w:szCs w:val="18"/>
          <w:color w:val="auto"/>
        </w:rPr>
      </w:pPr>
    </w:p>
    <w:p>
      <w:pPr>
        <w:ind w:left="46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the Meeting, the stockholders of Schlumberger Limited also voted (i) to approve Schlumberger’s Consolidated Balance Sheet as at December 31, 2008, its Consolidated Statement of Income for the year ended December 31, 2008, and the declaration of dividends by the Board of Directors as reflected in the Company’s 2008 Annual Report to Stockholders; (ii) on a stockholder proposal regarding a stockholder advisory vote on compensation of the Company’s named executive officers; and (iii) to approve the appointment of PricewaterhouseCoopers LLP as the independent registered public accounting firm to audit the accounts of Schlumberger for 2009.</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votes cast were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540" w:type="dxa"/>
            <w:vAlign w:val="bottom"/>
            <w:gridSpan w:val="2"/>
          </w:tcPr>
          <w:p>
            <w:pPr>
              <w:ind w:left="460"/>
              <w:spacing w:after="0"/>
              <w:rPr>
                <w:sz w:val="20"/>
                <w:szCs w:val="20"/>
                <w:color w:val="auto"/>
              </w:rPr>
            </w:pPr>
            <w:r>
              <w:rPr>
                <w:rFonts w:ascii="Arial" w:cs="Arial" w:eastAsia="Arial" w:hAnsi="Arial"/>
                <w:sz w:val="14"/>
                <w:szCs w:val="14"/>
                <w:b w:val="1"/>
                <w:bCs w:val="1"/>
                <w:color w:val="auto"/>
              </w:rPr>
              <w:t>Votes</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78"/>
              </w:rPr>
              <w:t>Votes</w:t>
            </w:r>
          </w:p>
        </w:tc>
        <w:tc>
          <w:tcPr>
            <w:tcW w:w="0" w:type="dxa"/>
            <w:vAlign w:val="bottom"/>
          </w:tcPr>
          <w:p>
            <w:pPr>
              <w:spacing w:after="0"/>
              <w:rPr>
                <w:sz w:val="1"/>
                <w:szCs w:val="1"/>
                <w:color w:val="auto"/>
              </w:rPr>
            </w:pPr>
          </w:p>
        </w:tc>
      </w:tr>
      <w:tr>
        <w:trPr>
          <w:trHeight w:val="161"/>
        </w:trPr>
        <w:tc>
          <w:tcPr>
            <w:tcW w:w="3380" w:type="dxa"/>
            <w:vAlign w:val="bottom"/>
            <w:gridSpan w:val="3"/>
          </w:tcPr>
          <w:p>
            <w:pPr>
              <w:spacing w:after="0"/>
              <w:rPr>
                <w:sz w:val="20"/>
                <w:szCs w:val="20"/>
                <w:color w:val="auto"/>
              </w:rPr>
            </w:pPr>
            <w:r>
              <w:rPr>
                <w:rFonts w:ascii="Arial" w:cs="Arial" w:eastAsia="Arial" w:hAnsi="Arial"/>
                <w:sz w:val="14"/>
                <w:szCs w:val="14"/>
                <w:b w:val="1"/>
                <w:bCs w:val="1"/>
                <w:color w:val="auto"/>
              </w:rPr>
              <w:t>Director</w:t>
            </w:r>
          </w:p>
        </w:tc>
        <w:tc>
          <w:tcPr>
            <w:tcW w:w="4600" w:type="dxa"/>
            <w:vAlign w:val="bottom"/>
          </w:tcPr>
          <w:p>
            <w:pPr>
              <w:spacing w:after="0"/>
              <w:rPr>
                <w:sz w:val="14"/>
                <w:szCs w:val="14"/>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Received</w:t>
            </w:r>
          </w:p>
        </w:tc>
        <w:tc>
          <w:tcPr>
            <w:tcW w:w="10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Withheld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Phillipe Camus</w:t>
            </w:r>
          </w:p>
        </w:tc>
        <w:tc>
          <w:tcPr>
            <w:tcW w:w="6140" w:type="dxa"/>
            <w:vAlign w:val="bottom"/>
            <w:gridSpan w:val="3"/>
            <w:shd w:val="clear" w:color="auto" w:fill="CCEEFF"/>
          </w:tcPr>
          <w:p>
            <w:pPr>
              <w:ind w:left="4960"/>
              <w:spacing w:after="0"/>
              <w:rPr>
                <w:sz w:val="20"/>
                <w:szCs w:val="20"/>
                <w:color w:val="auto"/>
              </w:rPr>
            </w:pPr>
            <w:r>
              <w:rPr>
                <w:rFonts w:ascii="Arial" w:cs="Arial" w:eastAsia="Arial" w:hAnsi="Arial"/>
                <w:sz w:val="18"/>
                <w:szCs w:val="18"/>
                <w:color w:val="auto"/>
              </w:rPr>
              <w:t>932,411,619</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7,380,574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Jamie S. Gorelick</w:t>
            </w:r>
          </w:p>
        </w:tc>
        <w:tc>
          <w:tcPr>
            <w:tcW w:w="5820" w:type="dxa"/>
            <w:vAlign w:val="bottom"/>
            <w:gridSpan w:val="2"/>
          </w:tcPr>
          <w:p>
            <w:pPr>
              <w:ind w:left="4940"/>
              <w:spacing w:after="0"/>
              <w:rPr>
                <w:sz w:val="20"/>
                <w:szCs w:val="20"/>
                <w:color w:val="auto"/>
              </w:rPr>
            </w:pPr>
            <w:r>
              <w:rPr>
                <w:rFonts w:ascii="Arial" w:cs="Arial" w:eastAsia="Arial" w:hAnsi="Arial"/>
                <w:sz w:val="18"/>
                <w:szCs w:val="18"/>
                <w:color w:val="auto"/>
                <w:w w:val="85"/>
              </w:rPr>
              <w:t>935,995,792</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3,796,400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Gould</w:t>
            </w:r>
          </w:p>
        </w:tc>
        <w:tc>
          <w:tcPr>
            <w:tcW w:w="582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w w:val="85"/>
              </w:rPr>
              <w:t>931,005,001</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8,787,191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Tony Isaac</w:t>
            </w:r>
          </w:p>
        </w:tc>
        <w:tc>
          <w:tcPr>
            <w:tcW w:w="5820" w:type="dxa"/>
            <w:vAlign w:val="bottom"/>
            <w:gridSpan w:val="2"/>
          </w:tcPr>
          <w:p>
            <w:pPr>
              <w:ind w:left="4940"/>
              <w:spacing w:after="0"/>
              <w:rPr>
                <w:sz w:val="20"/>
                <w:szCs w:val="20"/>
                <w:color w:val="auto"/>
              </w:rPr>
            </w:pPr>
            <w:r>
              <w:rPr>
                <w:rFonts w:ascii="Arial" w:cs="Arial" w:eastAsia="Arial" w:hAnsi="Arial"/>
                <w:sz w:val="18"/>
                <w:szCs w:val="18"/>
                <w:color w:val="auto"/>
                <w:w w:val="85"/>
              </w:rPr>
              <w:t>936,628,466</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3,163,726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Nikolay Kudryavtsev</w:t>
            </w:r>
          </w:p>
        </w:tc>
        <w:tc>
          <w:tcPr>
            <w:tcW w:w="582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w w:val="85"/>
              </w:rPr>
              <w:t>936,613,968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3,178,225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Adrian Lajous</w:t>
            </w:r>
          </w:p>
        </w:tc>
        <w:tc>
          <w:tcPr>
            <w:tcW w:w="5820" w:type="dxa"/>
            <w:vAlign w:val="bottom"/>
            <w:gridSpan w:val="2"/>
          </w:tcPr>
          <w:p>
            <w:pPr>
              <w:ind w:left="4940"/>
              <w:spacing w:after="0"/>
              <w:rPr>
                <w:sz w:val="20"/>
                <w:szCs w:val="20"/>
                <w:color w:val="auto"/>
              </w:rPr>
            </w:pPr>
            <w:r>
              <w:rPr>
                <w:rFonts w:ascii="Arial" w:cs="Arial" w:eastAsia="Arial" w:hAnsi="Arial"/>
                <w:sz w:val="18"/>
                <w:szCs w:val="18"/>
                <w:color w:val="auto"/>
                <w:w w:val="85"/>
              </w:rPr>
              <w:t>935,902,298</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3,889,895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E. Marks</w:t>
            </w:r>
          </w:p>
        </w:tc>
        <w:tc>
          <w:tcPr>
            <w:tcW w:w="582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w w:val="85"/>
              </w:rPr>
              <w:t>936,157,468</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3,634,725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Leo Rafael Reif</w:t>
            </w:r>
          </w:p>
        </w:tc>
        <w:tc>
          <w:tcPr>
            <w:tcW w:w="5820" w:type="dxa"/>
            <w:vAlign w:val="bottom"/>
            <w:gridSpan w:val="2"/>
          </w:tcPr>
          <w:p>
            <w:pPr>
              <w:ind w:left="4940"/>
              <w:spacing w:after="0"/>
              <w:rPr>
                <w:sz w:val="20"/>
                <w:szCs w:val="20"/>
                <w:color w:val="auto"/>
              </w:rPr>
            </w:pPr>
            <w:r>
              <w:rPr>
                <w:rFonts w:ascii="Arial" w:cs="Arial" w:eastAsia="Arial" w:hAnsi="Arial"/>
                <w:sz w:val="18"/>
                <w:szCs w:val="18"/>
                <w:color w:val="auto"/>
                <w:w w:val="85"/>
              </w:rPr>
              <w:t>936,942,835</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2,849,357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Tore I. Sandvold</w:t>
            </w:r>
          </w:p>
        </w:tc>
        <w:tc>
          <w:tcPr>
            <w:tcW w:w="582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w w:val="85"/>
              </w:rPr>
              <w:t>934,108,477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5,683,716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tcPr>
          <w:p>
            <w:pPr>
              <w:spacing w:after="0"/>
              <w:rPr>
                <w:sz w:val="20"/>
                <w:szCs w:val="20"/>
                <w:color w:val="auto"/>
              </w:rPr>
            </w:pPr>
            <w:r>
              <w:rPr>
                <w:rFonts w:ascii="Arial" w:cs="Arial" w:eastAsia="Arial" w:hAnsi="Arial"/>
                <w:sz w:val="18"/>
                <w:szCs w:val="18"/>
                <w:color w:val="auto"/>
              </w:rPr>
              <w:t>Henri Seydoux</w:t>
            </w:r>
          </w:p>
        </w:tc>
        <w:tc>
          <w:tcPr>
            <w:tcW w:w="5820" w:type="dxa"/>
            <w:vAlign w:val="bottom"/>
            <w:gridSpan w:val="2"/>
          </w:tcPr>
          <w:p>
            <w:pPr>
              <w:ind w:left="4940"/>
              <w:spacing w:after="0"/>
              <w:rPr>
                <w:sz w:val="20"/>
                <w:szCs w:val="20"/>
                <w:color w:val="auto"/>
              </w:rPr>
            </w:pPr>
            <w:r>
              <w:rPr>
                <w:rFonts w:ascii="Arial" w:cs="Arial" w:eastAsia="Arial" w:hAnsi="Arial"/>
                <w:sz w:val="18"/>
                <w:szCs w:val="18"/>
                <w:color w:val="auto"/>
                <w:w w:val="85"/>
              </w:rPr>
              <w:t>934,997,919</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4,794,274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Linda Gillespie Stuntz</w:t>
            </w:r>
          </w:p>
        </w:tc>
        <w:tc>
          <w:tcPr>
            <w:tcW w:w="5820" w:type="dxa"/>
            <w:vAlign w:val="bottom"/>
            <w:gridSpan w:val="2"/>
            <w:shd w:val="clear" w:color="auto" w:fill="CCEEFF"/>
          </w:tcPr>
          <w:p>
            <w:pPr>
              <w:ind w:left="4940"/>
              <w:spacing w:after="0"/>
              <w:rPr>
                <w:sz w:val="20"/>
                <w:szCs w:val="20"/>
                <w:color w:val="auto"/>
              </w:rPr>
            </w:pPr>
            <w:r>
              <w:rPr>
                <w:rFonts w:ascii="Arial" w:cs="Arial" w:eastAsia="Arial" w:hAnsi="Arial"/>
                <w:sz w:val="18"/>
                <w:szCs w:val="18"/>
                <w:color w:val="auto"/>
                <w:w w:val="85"/>
              </w:rPr>
              <w:t>930,171,347</w:t>
            </w: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9,620,845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4600" w:type="dxa"/>
            <w:vAlign w:val="bottom"/>
          </w:tcPr>
          <w:p>
            <w:pPr>
              <w:jc w:val="right"/>
              <w:ind w:right="2552"/>
              <w:spacing w:after="0"/>
              <w:rPr>
                <w:sz w:val="20"/>
                <w:szCs w:val="20"/>
                <w:color w:val="auto"/>
              </w:rPr>
            </w:pPr>
            <w:r>
              <w:rPr>
                <w:rFonts w:ascii="Arial" w:cs="Arial" w:eastAsia="Arial" w:hAnsi="Arial"/>
                <w:sz w:val="18"/>
                <w:szCs w:val="18"/>
                <w:color w:val="auto"/>
              </w:rPr>
              <w:t>26</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Proposals and Vote Tabulations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800" w:type="dxa"/>
            <w:vAlign w:val="bottom"/>
            <w:tcBorders>
              <w:bottom w:val="single" w:sz="8" w:color="auto"/>
            </w:tcBorders>
            <w:gridSpan w:val="3"/>
          </w:tcPr>
          <w:p>
            <w:pPr>
              <w:ind w:left="1080"/>
              <w:spacing w:after="0"/>
              <w:rPr>
                <w:sz w:val="20"/>
                <w:szCs w:val="20"/>
                <w:color w:val="auto"/>
              </w:rPr>
            </w:pPr>
            <w:r>
              <w:rPr>
                <w:rFonts w:ascii="Arial" w:cs="Arial" w:eastAsia="Arial" w:hAnsi="Arial"/>
                <w:sz w:val="14"/>
                <w:szCs w:val="14"/>
                <w:b w:val="1"/>
                <w:bCs w:val="1"/>
                <w:color w:val="auto"/>
                <w:w w:val="96"/>
              </w:rPr>
              <w:t>Votes Cast</w:t>
            </w:r>
          </w:p>
        </w:tc>
        <w:tc>
          <w:tcPr>
            <w:tcW w:w="9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2"/>
              </w:rPr>
              <w:t>Broker</w:t>
            </w:r>
          </w:p>
        </w:tc>
        <w:tc>
          <w:tcPr>
            <w:tcW w:w="0" w:type="dxa"/>
            <w:vAlign w:val="bottom"/>
          </w:tcPr>
          <w:p>
            <w:pPr>
              <w:spacing w:after="0"/>
              <w:rPr>
                <w:sz w:val="1"/>
                <w:szCs w:val="1"/>
                <w:color w:val="auto"/>
              </w:rPr>
            </w:pPr>
          </w:p>
        </w:tc>
      </w:tr>
      <w:tr>
        <w:trPr>
          <w:trHeight w:val="129"/>
        </w:trPr>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5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For</w:t>
            </w: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Against</w:t>
            </w:r>
          </w:p>
        </w:tc>
        <w:tc>
          <w:tcPr>
            <w:tcW w:w="320" w:type="dxa"/>
            <w:vAlign w:val="bottom"/>
          </w:tcPr>
          <w:p>
            <w:pPr>
              <w:spacing w:after="0"/>
              <w:rPr>
                <w:sz w:val="14"/>
                <w:szCs w:val="14"/>
                <w:color w:val="auto"/>
              </w:rPr>
            </w:pPr>
          </w:p>
        </w:tc>
        <w:tc>
          <w:tcPr>
            <w:tcW w:w="11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Abstain</w:t>
            </w:r>
          </w:p>
        </w:tc>
        <w:tc>
          <w:tcPr>
            <w:tcW w:w="300" w:type="dxa"/>
            <w:vAlign w:val="bottom"/>
          </w:tcPr>
          <w:p>
            <w:pPr>
              <w:spacing w:after="0"/>
              <w:rPr>
                <w:sz w:val="14"/>
                <w:szCs w:val="14"/>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Non-votes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Statements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931,697,561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1,964,675</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6,131,622</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6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w w:val="99"/>
              </w:rPr>
              <w:t>Stockholder proposal on advisory vote on named executive</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580" w:type="dxa"/>
            <w:vAlign w:val="bottom"/>
          </w:tcPr>
          <w:p>
            <w:pPr>
              <w:ind w:left="80"/>
              <w:spacing w:after="0"/>
              <w:rPr>
                <w:sz w:val="20"/>
                <w:szCs w:val="20"/>
                <w:color w:val="auto"/>
              </w:rPr>
            </w:pPr>
            <w:r>
              <w:rPr>
                <w:rFonts w:ascii="Arial" w:cs="Arial" w:eastAsia="Arial" w:hAnsi="Arial"/>
                <w:sz w:val="18"/>
                <w:szCs w:val="18"/>
                <w:color w:val="auto"/>
              </w:rPr>
              <w:t>officer compensation</w:t>
            </w:r>
          </w:p>
        </w:tc>
        <w:tc>
          <w:tcPr>
            <w:tcW w:w="1540" w:type="dxa"/>
            <w:vAlign w:val="bottom"/>
            <w:gridSpan w:val="2"/>
          </w:tcPr>
          <w:p>
            <w:pPr>
              <w:jc w:val="right"/>
              <w:ind w:right="320"/>
              <w:spacing w:after="0"/>
              <w:rPr>
                <w:sz w:val="20"/>
                <w:szCs w:val="20"/>
                <w:color w:val="auto"/>
              </w:rPr>
            </w:pPr>
            <w:r>
              <w:rPr>
                <w:rFonts w:ascii="Arial" w:cs="Arial" w:eastAsia="Arial" w:hAnsi="Arial"/>
                <w:sz w:val="18"/>
                <w:szCs w:val="18"/>
                <w:color w:val="auto"/>
              </w:rPr>
              <w:t>317,924,951</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452,319,344</w:t>
            </w:r>
          </w:p>
        </w:tc>
        <w:tc>
          <w:tcPr>
            <w:tcW w:w="1740" w:type="dxa"/>
            <w:vAlign w:val="bottom"/>
            <w:gridSpan w:val="3"/>
          </w:tcPr>
          <w:p>
            <w:pPr>
              <w:jc w:val="right"/>
              <w:ind w:right="300"/>
              <w:spacing w:after="0"/>
              <w:rPr>
                <w:sz w:val="20"/>
                <w:szCs w:val="20"/>
                <w:color w:val="auto"/>
              </w:rPr>
            </w:pPr>
            <w:r>
              <w:rPr>
                <w:rFonts w:ascii="Arial" w:cs="Arial" w:eastAsia="Arial" w:hAnsi="Arial"/>
                <w:sz w:val="18"/>
                <w:szCs w:val="18"/>
                <w:color w:val="auto"/>
              </w:rPr>
              <w:t>45,180,863</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124,368,700</w:t>
            </w: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PricewaterhouseCoopers LLP</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936,595,385</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2,009,176</w:t>
            </w:r>
          </w:p>
        </w:tc>
        <w:tc>
          <w:tcPr>
            <w:tcW w:w="17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1,189,148</w:t>
            </w:r>
          </w:p>
        </w:tc>
        <w:tc>
          <w:tcPr>
            <w:tcW w:w="126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8"/>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4580" w:type="dxa"/>
            <w:vAlign w:val="bottom"/>
          </w:tcPr>
          <w:p>
            <w:pPr>
              <w:ind w:left="440"/>
              <w:spacing w:after="0"/>
              <w:rPr>
                <w:sz w:val="20"/>
                <w:szCs w:val="20"/>
                <w:color w:val="auto"/>
              </w:rPr>
            </w:pPr>
            <w:r>
              <w:rPr>
                <w:rFonts w:ascii="Arial" w:cs="Arial" w:eastAsia="Arial" w:hAnsi="Arial"/>
                <w:sz w:val="18"/>
                <w:szCs w:val="18"/>
                <w:b w:val="1"/>
                <w:bCs w:val="1"/>
                <w:color w:val="auto"/>
              </w:rPr>
              <w:t>Other Information.</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0" w:type="dxa"/>
            <w:vAlign w:val="bottom"/>
            <w:gridSpan w:val="2"/>
          </w:tcPr>
          <w:p>
            <w:pPr>
              <w:spacing w:after="0"/>
              <w:rPr>
                <w:sz w:val="20"/>
                <w:szCs w:val="20"/>
                <w:color w:val="auto"/>
              </w:rPr>
            </w:pPr>
            <w:r>
              <w:rPr>
                <w:rFonts w:ascii="Arial" w:cs="Arial" w:eastAsia="Arial" w:hAnsi="Arial"/>
                <w:sz w:val="18"/>
                <w:szCs w:val="18"/>
                <w:color w:val="auto"/>
              </w:rPr>
              <w:t>None.</w:t>
            </w:r>
          </w:p>
        </w:tc>
        <w:tc>
          <w:tcPr>
            <w:tcW w:w="4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4580" w:type="dxa"/>
            <w:vAlign w:val="bottom"/>
          </w:tcPr>
          <w:p>
            <w:pPr>
              <w:ind w:left="440"/>
              <w:spacing w:after="0"/>
              <w:rPr>
                <w:sz w:val="20"/>
                <w:szCs w:val="20"/>
                <w:color w:val="auto"/>
              </w:rPr>
            </w:pPr>
            <w:r>
              <w:rPr>
                <w:rFonts w:ascii="Arial" w:cs="Arial" w:eastAsia="Arial" w:hAnsi="Arial"/>
                <w:sz w:val="18"/>
                <w:szCs w:val="18"/>
                <w:b w:val="1"/>
                <w:bCs w:val="1"/>
                <w:color w:val="auto"/>
              </w:rPr>
              <w:t>Exhibits.</w:t>
            </w: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jc w:val="both"/>
        <w:ind w:right="320"/>
        <w:spacing w:after="0" w:line="268"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Schlumberger’s Quarterly Report on Form 10-Q for the fiscal quarter ended March 31, 2006).</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April 22, 2005).</w:t>
      </w:r>
    </w:p>
    <w:p>
      <w:pPr>
        <w:spacing w:after="0" w:line="132" w:lineRule="exact"/>
        <w:rPr>
          <w:sz w:val="20"/>
          <w:szCs w:val="20"/>
          <w:color w:val="auto"/>
        </w:rPr>
      </w:pPr>
    </w:p>
    <w:p>
      <w:pPr>
        <w:ind w:left="140" w:hanging="132"/>
        <w:spacing w:after="0"/>
        <w:tabs>
          <w:tab w:leader="none" w:pos="1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Exhibit 10.1—Employment Agreement dated March 3, 2009 and effective as of April 1, 2009, between Schlumberger Limited and Ellen Summer.</w:t>
      </w:r>
    </w:p>
    <w:p>
      <w:pPr>
        <w:spacing w:after="0" w:line="194" w:lineRule="exact"/>
        <w:rPr>
          <w:rFonts w:ascii="Arial" w:cs="Arial" w:eastAsia="Arial" w:hAnsi="Arial"/>
          <w:sz w:val="16"/>
          <w:szCs w:val="16"/>
          <w:color w:val="auto"/>
        </w:rPr>
      </w:pPr>
    </w:p>
    <w:p>
      <w:pPr>
        <w:ind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131" w:lineRule="exact"/>
        <w:rPr>
          <w:rFonts w:ascii="Arial" w:cs="Arial" w:eastAsia="Arial" w:hAnsi="Arial"/>
          <w:sz w:val="18"/>
          <w:szCs w:val="18"/>
          <w:color w:val="auto"/>
        </w:rPr>
      </w:pPr>
    </w:p>
    <w:p>
      <w:pPr>
        <w:ind w:right="60"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132" w:lineRule="exact"/>
        <w:rPr>
          <w:sz w:val="20"/>
          <w:szCs w:val="20"/>
          <w:color w:val="auto"/>
        </w:rPr>
      </w:pPr>
    </w:p>
    <w:p>
      <w:pPr>
        <w:ind w:right="6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131" w:lineRule="exact"/>
        <w:rPr>
          <w:rFonts w:ascii="Arial" w:cs="Arial" w:eastAsia="Arial" w:hAnsi="Arial"/>
          <w:sz w:val="18"/>
          <w:szCs w:val="18"/>
          <w:color w:val="auto"/>
        </w:rPr>
      </w:pPr>
    </w:p>
    <w:p>
      <w:pPr>
        <w:ind w:right="280" w:firstLine="8"/>
        <w:spacing w:after="0" w:line="268"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Exhibit 32.2—Certification Chief Financial Officer pursuant to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 Filed with this Form 10-Q.</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Furnished with this Form 10-Q.</w:t>
      </w:r>
    </w:p>
    <w:p>
      <w:pPr>
        <w:spacing w:after="0" w:line="15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00"/>
          </w:cols>
          <w:pgMar w:left="240" w:top="459"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7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CHLUMBERGER</w:t>
      </w:r>
      <w:r>
        <w:rPr>
          <w:rFonts w:ascii="Arial" w:cs="Arial" w:eastAsia="Arial" w:hAnsi="Arial"/>
          <w:sz w:val="18"/>
          <w:szCs w:val="18"/>
          <w:color w:val="auto"/>
        </w:rPr>
        <w:t xml:space="preserve"> L</w:t>
      </w:r>
      <w:r>
        <w:rPr>
          <w:rFonts w:ascii="Arial" w:cs="Arial" w:eastAsia="Arial" w:hAnsi="Arial"/>
          <w:sz w:val="14"/>
          <w:szCs w:val="14"/>
          <w:color w:val="auto"/>
        </w:rPr>
        <w:t>IMITED</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(Registrant)</w:t>
      </w:r>
    </w:p>
    <w:p>
      <w:pPr>
        <w:spacing w:after="0" w:line="219" w:lineRule="exact"/>
        <w:rPr>
          <w:sz w:val="20"/>
          <w:szCs w:val="20"/>
          <w:color w:val="auto"/>
        </w:rPr>
      </w:pPr>
    </w:p>
    <w:p>
      <w:pPr>
        <w:spacing w:after="0"/>
        <w:tabs>
          <w:tab w:leader="none" w:pos="6040" w:val="left"/>
          <w:tab w:leader="none" w:pos="6380" w:val="left"/>
        </w:tabs>
        <w:rPr>
          <w:sz w:val="20"/>
          <w:szCs w:val="20"/>
          <w:color w:val="auto"/>
        </w:rPr>
      </w:pPr>
      <w:r>
        <w:rPr>
          <w:rFonts w:ascii="Arial" w:cs="Arial" w:eastAsia="Arial" w:hAnsi="Arial"/>
          <w:sz w:val="18"/>
          <w:szCs w:val="18"/>
          <w:color w:val="auto"/>
        </w:rPr>
        <w:t>Date: April 29, 2009</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Howard Guild</w:t>
      </w:r>
    </w:p>
    <w:p>
      <w:pPr>
        <w:spacing w:after="0" w:line="1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-130175</wp:posOffset>
            </wp:positionV>
            <wp:extent cx="34734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Chief Accounting Officer and Duly Authorized Signatory</w:t>
      </w:r>
    </w:p>
    <w:p>
      <w:pPr>
        <w:spacing w:after="0" w:line="15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40"/>
          </w:cols>
          <w:pgMar w:left="240" w:top="459" w:right="7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7" w:lineRule="exact"/>
        <w:rPr>
          <w:sz w:val="20"/>
          <w:szCs w:val="20"/>
          <w:color w:val="auto"/>
        </w:rPr>
      </w:pPr>
    </w:p>
    <w:p>
      <w:pPr>
        <w:ind w:right="280" w:firstLine="913"/>
        <w:spacing w:after="0" w:line="332" w:lineRule="auto"/>
        <w:rPr>
          <w:sz w:val="20"/>
          <w:szCs w:val="20"/>
          <w:color w:val="auto"/>
        </w:rPr>
      </w:pPr>
      <w:r>
        <w:rPr>
          <w:rFonts w:ascii="Arial" w:cs="Arial" w:eastAsia="Arial" w:hAnsi="Arial"/>
          <w:sz w:val="16"/>
          <w:szCs w:val="16"/>
          <w:color w:val="auto"/>
        </w:rPr>
        <w:t>THIS EMPLOYMENT AGREEMENT (“Agreement”) is effective as of the 1st of April, 2009, by and between SCHLUMBERGER LIMITED, a Netherlands Antilles corporation (the “Company”), and Ellen Summer, an individual currently residing in New York, NY (“Executive”).</w:t>
      </w:r>
    </w:p>
    <w:p>
      <w:pPr>
        <w:spacing w:after="0" w:line="85" w:lineRule="exact"/>
        <w:rPr>
          <w:sz w:val="20"/>
          <w:szCs w:val="20"/>
          <w:color w:val="auto"/>
        </w:rPr>
      </w:pPr>
    </w:p>
    <w:p>
      <w:pPr>
        <w:jc w:val="both"/>
        <w:ind w:right="20" w:firstLine="921"/>
        <w:spacing w:after="0" w:line="256" w:lineRule="auto"/>
        <w:tabs>
          <w:tab w:leader="none" w:pos="1396"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Employment of Executive</w:t>
      </w:r>
      <w:r>
        <w:rPr>
          <w:rFonts w:ascii="Arial" w:cs="Arial" w:eastAsia="Arial" w:hAnsi="Arial"/>
          <w:sz w:val="18"/>
          <w:szCs w:val="18"/>
          <w:color w:val="auto"/>
        </w:rPr>
        <w:t>: In consideration of the mutual covenants and agreements herein contained, including Executive’s agreement to sign a release of claims as provided in Section 13, the Company and Executive wish to establish an Employment Agreement retaining Executive’s services as described herein, establishing certain incentive, tenure and performance criteria related to such employment and otherwise fixing Executive’s benefits, base salary and incentive compensation.</w:t>
      </w:r>
    </w:p>
    <w:p>
      <w:pPr>
        <w:spacing w:after="0" w:line="143" w:lineRule="exact"/>
        <w:rPr>
          <w:rFonts w:ascii="Arial" w:cs="Arial" w:eastAsia="Arial" w:hAnsi="Arial"/>
          <w:sz w:val="18"/>
          <w:szCs w:val="18"/>
          <w:color w:val="auto"/>
        </w:rPr>
      </w:pPr>
    </w:p>
    <w:p>
      <w:pPr>
        <w:ind w:firstLine="921"/>
        <w:spacing w:after="0" w:line="288" w:lineRule="auto"/>
        <w:tabs>
          <w:tab w:leader="none" w:pos="139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Term and Extent of Services</w:t>
      </w:r>
      <w:r>
        <w:rPr>
          <w:rFonts w:ascii="Arial" w:cs="Arial" w:eastAsia="Arial" w:hAnsi="Arial"/>
          <w:sz w:val="16"/>
          <w:szCs w:val="16"/>
          <w:color w:val="auto"/>
        </w:rPr>
        <w:t>: During the Term, as defined below, Executive shall be employed as Senior Legal Advisor reporting to Andrew Gould, Chairman &amp; CEO. The term hereof shall commence April 1st, 2009 (the “Effective Date”) and shall continue until the close of business on January 31st, 2012 (the “Term”). The initial term as referenced herein shall commence on the Effective Date and shall continue until December 31st, 2009 (the “Initial Term”). The Secondary Term shall commence January 1st, 2010 and shall continue until January 31st, 2012 (the “Secondary Term”). During the Initial Term, Executive agrees to devote up to 100% of her time to the business of the Company, as requested, and to perform to the best of her ability and with reasonable diligence the duties and responsibilities assigned to her by the appropriate management of the Company. During the Secondary Term, Executive agrees to devote up to 50% of her time to the business of the Company, as requested, and to perform to the best of her ability and with reasonable diligence the duties and responsibilities assigned to her by the appropriate management of the Company. At the expiration of the Term, Executive agrees to voluntarily terminate her employment with the Company and all affiliates.</w:t>
      </w:r>
    </w:p>
    <w:p>
      <w:pPr>
        <w:spacing w:after="0" w:line="120" w:lineRule="exact"/>
        <w:rPr>
          <w:sz w:val="20"/>
          <w:szCs w:val="20"/>
          <w:color w:val="auto"/>
        </w:rPr>
      </w:pPr>
    </w:p>
    <w:p>
      <w:pPr>
        <w:ind w:right="540"/>
        <w:spacing w:after="0" w:line="259" w:lineRule="auto"/>
        <w:rPr>
          <w:sz w:val="20"/>
          <w:szCs w:val="20"/>
          <w:color w:val="auto"/>
        </w:rPr>
      </w:pPr>
      <w:r>
        <w:rPr>
          <w:rFonts w:ascii="Arial" w:cs="Arial" w:eastAsia="Arial" w:hAnsi="Arial"/>
          <w:sz w:val="18"/>
          <w:szCs w:val="18"/>
          <w:color w:val="auto"/>
        </w:rPr>
        <w:t>Nothing herein shall prohibit Executive, during the Term, from being engaged as a consultant to organizations and businesses, except those described as Unauthorized Competitors in Section 5, provided that Executive’s work as a consultant does not affect her ability to perform the duties and responsibilities assigned to her under this Agreement.</w:t>
      </w:r>
    </w:p>
    <w:p>
      <w:pPr>
        <w:spacing w:after="0" w:line="140" w:lineRule="exact"/>
        <w:rPr>
          <w:sz w:val="20"/>
          <w:szCs w:val="20"/>
          <w:color w:val="auto"/>
        </w:rPr>
      </w:pPr>
    </w:p>
    <w:p>
      <w:pPr>
        <w:ind w:left="1400" w:hanging="479"/>
        <w:spacing w:after="0"/>
        <w:tabs>
          <w:tab w:leader="none" w:pos="14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Compensation and Benefits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right="120" w:hanging="440"/>
        <w:spacing w:after="0" w:line="259"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Salary</w:t>
      </w:r>
      <w:r>
        <w:rPr>
          <w:rFonts w:ascii="Arial" w:cs="Arial" w:eastAsia="Arial" w:hAnsi="Arial"/>
          <w:sz w:val="18"/>
          <w:szCs w:val="18"/>
          <w:color w:val="auto"/>
        </w:rPr>
        <w:t>: During the Initial Term, Executive’s base salary shall be US$50,000.00 per month. During the Secondary Term, Executive’s base salary shall be US$37,500.00 per month. During the Term, Executive’s base salary shall be payable semi-monthly in accordance with the Company’s normal payroll practices.</w:t>
      </w:r>
    </w:p>
    <w:p>
      <w:pPr>
        <w:spacing w:after="0" w:line="59" w:lineRule="exact"/>
        <w:rPr>
          <w:rFonts w:ascii="Arial" w:cs="Arial" w:eastAsia="Arial" w:hAnsi="Arial"/>
          <w:sz w:val="18"/>
          <w:szCs w:val="18"/>
          <w:color w:val="auto"/>
        </w:rPr>
      </w:pPr>
    </w:p>
    <w:p>
      <w:pPr>
        <w:ind w:left="1920" w:right="340" w:hanging="440"/>
        <w:spacing w:after="0" w:line="259" w:lineRule="auto"/>
        <w:tabs>
          <w:tab w:leader="none" w:pos="1920" w:val="left"/>
        </w:tabs>
        <w:numPr>
          <w:ilvl w:val="1"/>
          <w:numId w:val="21"/>
        </w:numPr>
        <w:rPr>
          <w:rFonts w:ascii="Arial" w:cs="Arial" w:eastAsia="Arial" w:hAnsi="Arial"/>
          <w:sz w:val="18"/>
          <w:szCs w:val="18"/>
          <w:color w:val="auto"/>
        </w:rPr>
      </w:pPr>
      <w:r>
        <w:rPr>
          <w:rFonts w:ascii="Arial" w:cs="Arial" w:eastAsia="Arial" w:hAnsi="Arial"/>
          <w:sz w:val="18"/>
          <w:szCs w:val="18"/>
          <w:u w:val="single" w:color="auto"/>
          <w:color w:val="auto"/>
        </w:rPr>
        <w:t>Welfare Benefits</w:t>
      </w:r>
      <w:r>
        <w:rPr>
          <w:rFonts w:ascii="Arial" w:cs="Arial" w:eastAsia="Arial" w:hAnsi="Arial"/>
          <w:sz w:val="18"/>
          <w:szCs w:val="18"/>
          <w:color w:val="auto"/>
        </w:rPr>
        <w:t>: During the Term, Executive shall be eligible to participate in the Company’s health, welfare and insurance plans (e.g., medical, dental, vision, life insurance, short- and long-term disability, etc.) on a basis comparable to that of other U.S. employees.</w:t>
      </w:r>
    </w:p>
    <w:p>
      <w:pPr>
        <w:spacing w:after="0" w:line="59" w:lineRule="exact"/>
        <w:rPr>
          <w:rFonts w:ascii="Arial" w:cs="Arial" w:eastAsia="Arial" w:hAnsi="Arial"/>
          <w:sz w:val="18"/>
          <w:szCs w:val="18"/>
          <w:color w:val="auto"/>
        </w:rPr>
      </w:pPr>
    </w:p>
    <w:p>
      <w:pPr>
        <w:ind w:left="1920" w:right="200" w:hanging="440"/>
        <w:spacing w:after="0" w:line="335" w:lineRule="auto"/>
        <w:tabs>
          <w:tab w:leader="none" w:pos="1920" w:val="left"/>
        </w:tabs>
        <w:numPr>
          <w:ilvl w:val="1"/>
          <w:numId w:val="21"/>
        </w:numPr>
        <w:rPr>
          <w:rFonts w:ascii="Arial" w:cs="Arial" w:eastAsia="Arial" w:hAnsi="Arial"/>
          <w:sz w:val="15"/>
          <w:szCs w:val="15"/>
          <w:color w:val="auto"/>
        </w:rPr>
      </w:pPr>
      <w:r>
        <w:rPr>
          <w:rFonts w:ascii="Arial" w:cs="Arial" w:eastAsia="Arial" w:hAnsi="Arial"/>
          <w:sz w:val="15"/>
          <w:szCs w:val="15"/>
          <w:u w:val="single" w:color="auto"/>
          <w:color w:val="auto"/>
        </w:rPr>
        <w:t>Pension and Profit Sharing</w:t>
      </w:r>
      <w:r>
        <w:rPr>
          <w:rFonts w:ascii="Arial" w:cs="Arial" w:eastAsia="Arial" w:hAnsi="Arial"/>
          <w:sz w:val="15"/>
          <w:szCs w:val="15"/>
          <w:color w:val="auto"/>
        </w:rPr>
        <w:t>: During the Term, or if Executive’s employment is terminated sooner pursuant to Section 4, until such termination, Executive shall continue to accrue benefits under the Company’s qualified and non-qualified pension and profit sharing plans based on an annual base salary of $600,000. Executive will also accrue benefits under the same plans, based on the Incentive</w:t>
      </w:r>
    </w:p>
    <w:p>
      <w:pPr>
        <w:sectPr>
          <w:pgSz w:w="11900" w:h="16838" w:orient="portrait"/>
          <w:cols w:equalWidth="0" w:num="1">
            <w:col w:w="11420"/>
          </w:cols>
          <w:pgMar w:left="240" w:top="125" w:right="239" w:bottom="1440" w:gutter="0" w:footer="0" w:header="0"/>
        </w:sectPr>
      </w:pPr>
    </w:p>
    <w:bookmarkStart w:id="29" w:name="page30"/>
    <w:bookmarkEnd w:id="29"/>
    <w:p>
      <w:pPr>
        <w:jc w:val="both"/>
        <w:ind w:left="1019" w:right="24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payment to be made to her on February 2010, as per section 3(d) below. Payments under the Company’s non-qualified pension and profit sharing plans will be made in accordance with the terms of the relevant plan upon separation from service with the Company.</w:t>
      </w:r>
    </w:p>
    <w:p>
      <w:pPr>
        <w:ind w:left="999" w:right="120" w:hanging="440"/>
        <w:spacing w:after="0" w:line="332" w:lineRule="auto"/>
        <w:tabs>
          <w:tab w:leader="none" w:pos="99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Incentive Plans</w:t>
      </w:r>
      <w:r>
        <w:rPr>
          <w:rFonts w:ascii="Arial" w:cs="Arial" w:eastAsia="Arial" w:hAnsi="Arial"/>
          <w:sz w:val="16"/>
          <w:szCs w:val="16"/>
          <w:color w:val="auto"/>
        </w:rPr>
        <w:t>: During the Initial Term, Executive will participate in the Company’s Performance Incentive Program at a range level of 60% of base pay. During the Secondary Term, Executive shall not participate in the Company’s Performance Incentive Plan.</w:t>
      </w:r>
    </w:p>
    <w:p>
      <w:pPr>
        <w:spacing w:after="0" w:line="4" w:lineRule="exact"/>
        <w:rPr>
          <w:rFonts w:ascii="Arial" w:cs="Arial" w:eastAsia="Arial" w:hAnsi="Arial"/>
          <w:sz w:val="16"/>
          <w:szCs w:val="16"/>
          <w:color w:val="auto"/>
        </w:rPr>
      </w:pPr>
    </w:p>
    <w:p>
      <w:pPr>
        <w:jc w:val="both"/>
        <w:ind w:left="1459" w:right="280" w:hanging="441"/>
        <w:spacing w:after="0" w:line="259" w:lineRule="auto"/>
        <w:tabs>
          <w:tab w:leader="none" w:pos="14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During the Term, or if Executive’s employment is terminated sooner pursuant to Section 4, until such termination, Executive will continue to vest in stock options previously granted to Executive under the Company’s stock option plans in accordance with the terms of those plans and any applicable agreements.</w:t>
      </w:r>
    </w:p>
    <w:p>
      <w:pPr>
        <w:spacing w:after="0" w:line="59" w:lineRule="exact"/>
        <w:rPr>
          <w:rFonts w:ascii="Arial" w:cs="Arial" w:eastAsia="Arial" w:hAnsi="Arial"/>
          <w:sz w:val="18"/>
          <w:szCs w:val="18"/>
          <w:color w:val="auto"/>
        </w:rPr>
      </w:pPr>
    </w:p>
    <w:p>
      <w:pPr>
        <w:ind w:left="1459" w:right="20" w:hanging="441"/>
        <w:spacing w:after="0" w:line="298" w:lineRule="auto"/>
        <w:tabs>
          <w:tab w:leader="none" w:pos="14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Upon termination of employment, except for a termination for Cause pursuant to Section 4 (c) or upon Executive’s employment with an Unauthorized Competitor as described in Section 5 (c) (i), Executive shall have the lesser of 5 years or the length of time left on the option term from the date of such termination to exercise any previously granted stock options, to the extent that such options were exercisable as of the date of such termination.</w:t>
      </w:r>
    </w:p>
    <w:p>
      <w:pPr>
        <w:spacing w:after="0" w:line="31" w:lineRule="exact"/>
        <w:rPr>
          <w:rFonts w:ascii="Arial" w:cs="Arial" w:eastAsia="Arial" w:hAnsi="Arial"/>
          <w:sz w:val="16"/>
          <w:szCs w:val="16"/>
          <w:color w:val="auto"/>
        </w:rPr>
      </w:pPr>
    </w:p>
    <w:p>
      <w:pPr>
        <w:ind w:left="999" w:right="180" w:hanging="440"/>
        <w:spacing w:after="0" w:line="332" w:lineRule="auto"/>
        <w:tabs>
          <w:tab w:leader="none" w:pos="99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Vacation</w:t>
      </w:r>
      <w:r>
        <w:rPr>
          <w:rFonts w:ascii="Arial" w:cs="Arial" w:eastAsia="Arial" w:hAnsi="Arial"/>
          <w:sz w:val="16"/>
          <w:szCs w:val="16"/>
          <w:color w:val="auto"/>
        </w:rPr>
        <w:t>: During the Term, Executive shall not be eligible to accrue vacation pay. Within 30 days after the Effective Date, Executive shall be paid a cash amount representing her accrued and unused vacation accumulated as of March 31st, 2009.</w:t>
      </w:r>
    </w:p>
    <w:p>
      <w:pPr>
        <w:spacing w:after="0" w:line="4" w:lineRule="exact"/>
        <w:rPr>
          <w:rFonts w:ascii="Arial" w:cs="Arial" w:eastAsia="Arial" w:hAnsi="Arial"/>
          <w:sz w:val="16"/>
          <w:szCs w:val="16"/>
          <w:color w:val="auto"/>
        </w:rPr>
      </w:pPr>
    </w:p>
    <w:p>
      <w:pPr>
        <w:ind w:left="999" w:right="60" w:hanging="440"/>
        <w:spacing w:after="0" w:line="298" w:lineRule="auto"/>
        <w:tabs>
          <w:tab w:leader="none" w:pos="999"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Expense Reimbursement:</w:t>
      </w:r>
      <w:r>
        <w:rPr>
          <w:rFonts w:ascii="Arial" w:cs="Arial" w:eastAsia="Arial" w:hAnsi="Arial"/>
          <w:sz w:val="16"/>
          <w:szCs w:val="16"/>
          <w:color w:val="auto"/>
        </w:rPr>
        <w:t xml:space="preserve"> Executive shall be reimbursed for any expenses incurred in the normal course of performing her duties, including any travel expenditures necessary to satisfactorily perform her duties. Executive shall submit all invoices for such incurred costs to the Company no later than 30 days prior to the end of the taxable year following the taxable year in which they were incurred. The Company shall reimburse Executive for such costs within 14 days of receipt of such invoices.</w:t>
      </w:r>
    </w:p>
    <w:p>
      <w:pPr>
        <w:spacing w:after="0" w:line="113" w:lineRule="exact"/>
        <w:rPr>
          <w:sz w:val="20"/>
          <w:szCs w:val="20"/>
          <w:color w:val="auto"/>
        </w:rPr>
      </w:pPr>
    </w:p>
    <w:p>
      <w:pPr>
        <w:ind w:left="-921" w:right="660" w:firstLine="921"/>
        <w:spacing w:after="0" w:line="268" w:lineRule="auto"/>
        <w:tabs>
          <w:tab w:leader="none" w:pos="475"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Should Executive’s employment terminate prior to the end of the Term, the following provisions of this Section 4 shall govern the rights of Executive under this Agreement:</w:t>
      </w:r>
    </w:p>
    <w:p>
      <w:pPr>
        <w:spacing w:after="0" w:line="50" w:lineRule="exact"/>
        <w:rPr>
          <w:rFonts w:ascii="Arial" w:cs="Arial" w:eastAsia="Arial" w:hAnsi="Arial"/>
          <w:sz w:val="18"/>
          <w:szCs w:val="18"/>
          <w:color w:val="auto"/>
        </w:rPr>
      </w:pPr>
    </w:p>
    <w:p>
      <w:pPr>
        <w:ind w:left="999" w:hanging="440"/>
        <w:spacing w:after="0" w:line="306" w:lineRule="auto"/>
        <w:tabs>
          <w:tab w:leader="none" w:pos="999"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In the event Executive’s employment terminates during the Term as a result of Executive’s death, Executive’s beneficiary or beneficiaries shall receive any base salary and benefits accrued but unpaid as of her death, plus any amounts payable on account of Executive’s death pursuant to any other plan or program of the Company.</w:t>
      </w:r>
    </w:p>
    <w:p>
      <w:pPr>
        <w:spacing w:after="0" w:line="25" w:lineRule="exact"/>
        <w:rPr>
          <w:rFonts w:ascii="Arial" w:cs="Arial" w:eastAsia="Arial" w:hAnsi="Arial"/>
          <w:sz w:val="16"/>
          <w:szCs w:val="16"/>
          <w:color w:val="auto"/>
        </w:rPr>
      </w:pPr>
    </w:p>
    <w:p>
      <w:pPr>
        <w:ind w:left="999" w:right="140" w:hanging="440"/>
        <w:spacing w:after="0" w:line="259" w:lineRule="auto"/>
        <w:tabs>
          <w:tab w:leader="none" w:pos="999"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In the event Executive’s employment terminates during the Term due to her disability within the meaning of any long-term disability plan maintained by the Company and covering Executive as of the date of Executive’s disability, Executive shall receive any base salary and benefits</w:t>
      </w:r>
    </w:p>
    <w:p>
      <w:pPr>
        <w:sectPr>
          <w:pgSz w:w="11900" w:h="16838" w:orient="portrait"/>
          <w:cols w:equalWidth="0" w:num="1">
            <w:col w:w="10499"/>
          </w:cols>
          <w:pgMar w:left="1161" w:top="280" w:right="239" w:bottom="1440" w:gutter="0" w:footer="0" w:header="0"/>
        </w:sectPr>
      </w:pPr>
    </w:p>
    <w:bookmarkStart w:id="30" w:name="page31"/>
    <w:bookmarkEnd w:id="30"/>
    <w:p>
      <w:pPr>
        <w:ind w:left="1940"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accrued but unpaid as of the date of her termination due to disability, plus any amounts payable on account of Executive’s disability pursuant to any other plan or program of the Company.</w:t>
      </w:r>
    </w:p>
    <w:p>
      <w:pPr>
        <w:spacing w:after="0" w:line="51" w:lineRule="exact"/>
        <w:rPr>
          <w:sz w:val="20"/>
          <w:szCs w:val="20"/>
          <w:color w:val="auto"/>
        </w:rPr>
      </w:pPr>
    </w:p>
    <w:p>
      <w:pPr>
        <w:ind w:left="1920" w:right="120" w:hanging="440"/>
        <w:spacing w:after="0" w:line="268" w:lineRule="auto"/>
        <w:tabs>
          <w:tab w:leader="none" w:pos="192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Termination by the Company for Cause</w:t>
      </w:r>
      <w:r>
        <w:rPr>
          <w:rFonts w:ascii="Arial" w:cs="Arial" w:eastAsia="Arial" w:hAnsi="Arial"/>
          <w:sz w:val="18"/>
          <w:szCs w:val="18"/>
          <w:color w:val="auto"/>
        </w:rPr>
        <w:t>: In the event the Company terminates Executive’s employment during the Term for Cause, as defined below, she shall be entitled to:</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Her base salary through the date of the termination of her employment for Cause; and</w:t>
      </w:r>
    </w:p>
    <w:p>
      <w:pPr>
        <w:spacing w:after="0" w:line="90" w:lineRule="exact"/>
        <w:rPr>
          <w:rFonts w:ascii="Arial" w:cs="Arial" w:eastAsia="Arial" w:hAnsi="Arial"/>
          <w:sz w:val="18"/>
          <w:szCs w:val="18"/>
          <w:color w:val="auto"/>
        </w:rPr>
      </w:pPr>
    </w:p>
    <w:p>
      <w:pPr>
        <w:ind w:left="2380" w:right="20" w:hanging="441"/>
        <w:spacing w:after="0" w:line="268" w:lineRule="auto"/>
        <w:tabs>
          <w:tab w:leader="none" w:pos="238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other amounts earned, accrued or owing as of the date of termination of employment under the applicable employee benefit plans or programs of the Company.</w:t>
      </w:r>
    </w:p>
    <w:p>
      <w:pPr>
        <w:spacing w:after="0" w:line="132"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“Cause” means Executive’s dishonesty, conviction of a felony, willful unauthorized disclosure of confidential information of the Company, or willful refusal to perform the duties of Executive’s position or positions with the Company.</w:t>
      </w:r>
    </w:p>
    <w:p>
      <w:pPr>
        <w:spacing w:after="0" w:line="51" w:lineRule="exact"/>
        <w:rPr>
          <w:sz w:val="20"/>
          <w:szCs w:val="20"/>
          <w:color w:val="auto"/>
        </w:rPr>
      </w:pPr>
    </w:p>
    <w:p>
      <w:pPr>
        <w:ind w:left="1920" w:hanging="440"/>
        <w:spacing w:after="0" w:line="255" w:lineRule="auto"/>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Voluntary Termination</w:t>
      </w:r>
      <w:r>
        <w:rPr>
          <w:rFonts w:ascii="Arial" w:cs="Arial" w:eastAsia="Arial" w:hAnsi="Arial"/>
          <w:sz w:val="18"/>
          <w:szCs w:val="18"/>
          <w:color w:val="auto"/>
        </w:rPr>
        <w:t>: Upon 15 days’ prior written notice to the Company (unless otherwise waived by the Company), Executive may voluntarily terminate her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as defined below, during the Term of this Agreement).</w:t>
      </w:r>
    </w:p>
    <w:p>
      <w:pPr>
        <w:spacing w:after="0" w:line="61" w:lineRule="exact"/>
        <w:rPr>
          <w:rFonts w:ascii="Arial" w:cs="Arial" w:eastAsia="Arial" w:hAnsi="Arial"/>
          <w:sz w:val="18"/>
          <w:szCs w:val="18"/>
          <w:color w:val="auto"/>
        </w:rPr>
      </w:pPr>
    </w:p>
    <w:p>
      <w:pPr>
        <w:ind w:left="1920" w:right="20"/>
        <w:spacing w:after="0" w:line="259" w:lineRule="auto"/>
        <w:rPr>
          <w:rFonts w:ascii="Arial" w:cs="Arial" w:eastAsia="Arial" w:hAnsi="Arial"/>
          <w:sz w:val="18"/>
          <w:szCs w:val="18"/>
          <w:color w:val="auto"/>
        </w:rPr>
      </w:pPr>
      <w:r>
        <w:rPr>
          <w:rFonts w:ascii="Arial" w:cs="Arial" w:eastAsia="Arial" w:hAnsi="Arial"/>
          <w:sz w:val="18"/>
          <w:szCs w:val="18"/>
          <w:color w:val="auto"/>
        </w:rPr>
        <w:t>In the event Executive voluntarily terminates her employment during the Term, and (I) does not become employed by an Unauthorized Competitor or (II) becomes employed by another Oil &amp; Gas related Company with consent of the Chief Executive Officer (which consent will not be unreasonably withheld), she shall be entitled to:</w:t>
      </w:r>
    </w:p>
    <w:p>
      <w:pPr>
        <w:spacing w:after="0" w:line="59" w:lineRule="exact"/>
        <w:rPr>
          <w:rFonts w:ascii="Arial" w:cs="Arial" w:eastAsia="Arial" w:hAnsi="Arial"/>
          <w:sz w:val="18"/>
          <w:szCs w:val="18"/>
          <w:color w:val="auto"/>
        </w:rPr>
      </w:pPr>
    </w:p>
    <w:p>
      <w:pPr>
        <w:ind w:left="2380" w:hanging="441"/>
        <w:spacing w:after="0"/>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her base salary through the date of the termination of her employment;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benefits for which she is eligible in accordance with applicable plans or programs of the Company;</w:t>
      </w:r>
    </w:p>
    <w:p>
      <w:pPr>
        <w:spacing w:after="0" w:line="90" w:lineRule="exact"/>
        <w:rPr>
          <w:rFonts w:ascii="Arial" w:cs="Arial" w:eastAsia="Arial" w:hAnsi="Arial"/>
          <w:sz w:val="18"/>
          <w:szCs w:val="18"/>
          <w:color w:val="auto"/>
        </w:rPr>
      </w:pPr>
    </w:p>
    <w:p>
      <w:pPr>
        <w:ind w:left="2380" w:right="20" w:hanging="441"/>
        <w:spacing w:after="0" w:line="259" w:lineRule="auto"/>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exercise any stock options granted under a stock option plan of the Company that vested during the Term of the Agreement (and prior to her termination date) for up to the lesser of 5 years or the amount of time left on the option term after her termination date but not to exceed the original option term.</w:t>
      </w:r>
    </w:p>
    <w:p>
      <w:pPr>
        <w:spacing w:after="0" w:line="59" w:lineRule="exact"/>
        <w:rPr>
          <w:rFonts w:ascii="Arial" w:cs="Arial" w:eastAsia="Arial" w:hAnsi="Arial"/>
          <w:sz w:val="18"/>
          <w:szCs w:val="18"/>
          <w:color w:val="auto"/>
        </w:rPr>
      </w:pPr>
    </w:p>
    <w:p>
      <w:pPr>
        <w:ind w:left="1920" w:right="140" w:hanging="440"/>
        <w:spacing w:after="0" w:line="268" w:lineRule="auto"/>
        <w:tabs>
          <w:tab w:leader="none" w:pos="19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Termination Due to Mutual Agreement</w:t>
      </w:r>
      <w:r>
        <w:rPr>
          <w:rFonts w:ascii="Arial" w:cs="Arial" w:eastAsia="Arial" w:hAnsi="Arial"/>
          <w:sz w:val="18"/>
          <w:szCs w:val="18"/>
          <w:color w:val="auto"/>
        </w:rPr>
        <w:t>: In the event the Company and the Executive mutually agree to terminate this Agreement, the Executive’s employment will be terminated and she shall be entitled to:</w:t>
      </w:r>
    </w:p>
    <w:p>
      <w:pPr>
        <w:spacing w:after="0" w:line="50" w:lineRule="exact"/>
        <w:rPr>
          <w:rFonts w:ascii="Arial" w:cs="Arial" w:eastAsia="Arial" w:hAnsi="Arial"/>
          <w:sz w:val="18"/>
          <w:szCs w:val="18"/>
          <w:color w:val="auto"/>
        </w:rPr>
      </w:pPr>
    </w:p>
    <w:p>
      <w:pPr>
        <w:ind w:left="2380" w:hanging="441"/>
        <w:spacing w:after="0"/>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her base salary through the date of the termination of her employment;</w:t>
      </w:r>
    </w:p>
    <w:p>
      <w:pPr>
        <w:spacing w:after="0" w:line="90" w:lineRule="exact"/>
        <w:rPr>
          <w:rFonts w:ascii="Arial" w:cs="Arial" w:eastAsia="Arial" w:hAnsi="Arial"/>
          <w:sz w:val="18"/>
          <w:szCs w:val="18"/>
          <w:color w:val="auto"/>
        </w:rPr>
      </w:pPr>
    </w:p>
    <w:p>
      <w:pPr>
        <w:ind w:left="2380" w:hanging="441"/>
        <w:spacing w:after="0"/>
        <w:tabs>
          <w:tab w:leader="none" w:pos="23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other benefits for which she is eligible in accordance with applicable plans or programs of the Company;</w:t>
      </w:r>
    </w:p>
    <w:p>
      <w:pPr>
        <w:sectPr>
          <w:pgSz w:w="11900" w:h="16838" w:orient="portrait"/>
          <w:cols w:equalWidth="0" w:num="1">
            <w:col w:w="11420"/>
          </w:cols>
          <w:pgMar w:left="240" w:top="280" w:right="239" w:bottom="1440" w:gutter="0" w:footer="0" w:header="0"/>
        </w:sectPr>
      </w:pPr>
    </w:p>
    <w:bookmarkStart w:id="31" w:name="page32"/>
    <w:bookmarkEnd w:id="31"/>
    <w:p>
      <w:pPr>
        <w:ind w:left="2380" w:hanging="441"/>
        <w:spacing w:after="0" w:line="259" w:lineRule="auto"/>
        <w:tabs>
          <w:tab w:leader="none" w:pos="2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exercise any stock options granted under a stock option plan of the Company that vested during the Term of the Agreement (and prior to her termination date) for up to the lesser of 5 years or the amount of time left on the option term after her termination date but not to exceed the original option term;</w:t>
      </w:r>
    </w:p>
    <w:p>
      <w:pPr>
        <w:spacing w:after="0" w:line="59" w:lineRule="exact"/>
        <w:rPr>
          <w:rFonts w:ascii="Arial" w:cs="Arial" w:eastAsia="Arial" w:hAnsi="Arial"/>
          <w:sz w:val="18"/>
          <w:szCs w:val="18"/>
          <w:color w:val="auto"/>
        </w:rPr>
      </w:pPr>
    </w:p>
    <w:p>
      <w:pPr>
        <w:ind w:left="2380" w:right="440" w:hanging="441"/>
        <w:spacing w:after="0" w:line="332" w:lineRule="auto"/>
        <w:tabs>
          <w:tab w:leader="none" w:pos="2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during the Initial Term, the sum of US$600,000 divided by 12 and multiplied by the number of months remaining in the Initial Term, payable on the date 30 days following the Executive’s termination of employment;</w:t>
      </w:r>
    </w:p>
    <w:p>
      <w:pPr>
        <w:spacing w:after="0" w:line="4" w:lineRule="exact"/>
        <w:rPr>
          <w:rFonts w:ascii="Arial" w:cs="Arial" w:eastAsia="Arial" w:hAnsi="Arial"/>
          <w:sz w:val="16"/>
          <w:szCs w:val="16"/>
          <w:color w:val="auto"/>
        </w:rPr>
      </w:pPr>
    </w:p>
    <w:p>
      <w:pPr>
        <w:ind w:left="2380" w:right="120" w:hanging="441"/>
        <w:spacing w:after="0" w:line="332" w:lineRule="auto"/>
        <w:tabs>
          <w:tab w:leader="none" w:pos="23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if during the Secondary Term, the sum of US$675,000 divided by 18 and multiplied by the number of months remaining in the Secondary Term, payable on the date 30 days following the Executive’s termination of employment.</w:t>
      </w:r>
    </w:p>
    <w:p>
      <w:pPr>
        <w:spacing w:after="0" w:line="8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For purposes of this Agreement, an Unauthorized Competitor means those companies as defined in Section 5, involved in the oilfield services and equipment business.</w:t>
      </w:r>
    </w:p>
    <w:p>
      <w:pPr>
        <w:spacing w:after="0" w:line="132" w:lineRule="exact"/>
        <w:rPr>
          <w:sz w:val="20"/>
          <w:szCs w:val="20"/>
          <w:color w:val="auto"/>
        </w:rPr>
      </w:pPr>
    </w:p>
    <w:p>
      <w:pPr>
        <w:ind w:left="1400" w:hanging="479"/>
        <w:spacing w:after="0"/>
        <w:tabs>
          <w:tab w:leader="none" w:pos="140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Confidentiality, Return of Property, and Covenant Not to Compete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492"/>
        <w:spacing w:after="0" w:line="286" w:lineRule="auto"/>
        <w:tabs>
          <w:tab w:leader="none" w:pos="1722" w:val="left"/>
        </w:tabs>
        <w:numPr>
          <w:ilvl w:val="1"/>
          <w:numId w:val="27"/>
        </w:numPr>
        <w:rPr>
          <w:rFonts w:ascii="Arial" w:cs="Arial" w:eastAsia="Arial" w:hAnsi="Arial"/>
          <w:sz w:val="16"/>
          <w:szCs w:val="16"/>
          <w:color w:val="auto"/>
        </w:rPr>
      </w:pPr>
      <w:r>
        <w:rPr>
          <w:rFonts w:ascii="Arial" w:cs="Arial" w:eastAsia="Arial" w:hAnsi="Arial"/>
          <w:sz w:val="16"/>
          <w:szCs w:val="16"/>
          <w:u w:val="single" w:color="auto"/>
          <w:color w:val="auto"/>
        </w:rPr>
        <w:t>Confidentiality</w:t>
      </w:r>
      <w:r>
        <w:rPr>
          <w:rFonts w:ascii="Arial" w:cs="Arial" w:eastAsia="Arial" w:hAnsi="Arial"/>
          <w:sz w:val="16"/>
          <w:szCs w:val="16"/>
          <w:color w:val="auto"/>
        </w:rPr>
        <w:t>: The Company agrees that at the time of execution of this Agreement, or shortly thereafter during the Term of this Agreement, the Company will provide Executive with Confidential Information as necessary to perform her duties hereunder. Executive agrees that in return for this and other consideration provided under this Agreement she will not disclose or make available to any other person or entity, or use for her own personal gain, any Confidential Information, except for such disclosures as required in the performance of her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27" w:lineRule="exact"/>
        <w:rPr>
          <w:rFonts w:ascii="Arial" w:cs="Arial" w:eastAsia="Arial" w:hAnsi="Arial"/>
          <w:sz w:val="16"/>
          <w:szCs w:val="16"/>
          <w:color w:val="auto"/>
        </w:rPr>
      </w:pPr>
    </w:p>
    <w:p>
      <w:pPr>
        <w:ind w:right="160" w:firstLine="1492"/>
        <w:spacing w:after="0" w:line="255" w:lineRule="auto"/>
        <w:tabs>
          <w:tab w:leader="none" w:pos="173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Return of Property</w:t>
      </w:r>
      <w:r>
        <w:rPr>
          <w:rFonts w:ascii="Arial" w:cs="Arial" w:eastAsia="Arial" w:hAnsi="Arial"/>
          <w:sz w:val="18"/>
          <w:szCs w:val="18"/>
          <w:color w:val="auto"/>
        </w:rPr>
        <w:t>: Executive agrees that at the time of leaving the Company’s employ, she will deliver to the Company (and will not keep in her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42" w:lineRule="exact"/>
        <w:rPr>
          <w:rFonts w:ascii="Arial" w:cs="Arial" w:eastAsia="Arial" w:hAnsi="Arial"/>
          <w:sz w:val="18"/>
          <w:szCs w:val="18"/>
          <w:color w:val="auto"/>
        </w:rPr>
      </w:pPr>
    </w:p>
    <w:p>
      <w:pPr>
        <w:ind w:right="20" w:firstLine="1492"/>
        <w:spacing w:after="0" w:line="256" w:lineRule="auto"/>
        <w:tabs>
          <w:tab w:leader="none" w:pos="1722" w:val="left"/>
        </w:tabs>
        <w:numPr>
          <w:ilvl w:val="1"/>
          <w:numId w:val="27"/>
        </w:numPr>
        <w:rPr>
          <w:rFonts w:ascii="Arial" w:cs="Arial" w:eastAsia="Arial" w:hAnsi="Arial"/>
          <w:sz w:val="18"/>
          <w:szCs w:val="18"/>
          <w:color w:val="auto"/>
        </w:rPr>
      </w:pPr>
      <w:r>
        <w:rPr>
          <w:rFonts w:ascii="Arial" w:cs="Arial" w:eastAsia="Arial" w:hAnsi="Arial"/>
          <w:sz w:val="18"/>
          <w:szCs w:val="18"/>
          <w:u w:val="single" w:color="auto"/>
          <w:color w:val="auto"/>
        </w:rPr>
        <w:t>Covenant Not to Compete</w:t>
      </w:r>
      <w:r>
        <w:rPr>
          <w:rFonts w:ascii="Arial" w:cs="Arial" w:eastAsia="Arial" w:hAnsi="Arial"/>
          <w:sz w:val="18"/>
          <w:szCs w:val="18"/>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Executive also acknowledges that the nature of her duties and responsibilities under the Agreement will bring her into close contact with much of the Company’s</w:t>
      </w:r>
    </w:p>
    <w:p>
      <w:pPr>
        <w:sectPr>
          <w:pgSz w:w="11900" w:h="16838" w:orient="portrait"/>
          <w:cols w:equalWidth="0" w:num="1">
            <w:col w:w="11400"/>
          </w:cols>
          <w:pgMar w:left="240" w:top="280" w:right="259" w:bottom="1440" w:gutter="0" w:footer="0" w:header="0"/>
        </w:sectPr>
      </w:pPr>
    </w:p>
    <w:bookmarkStart w:id="32" w:name="page33"/>
    <w:bookmarkEnd w:id="3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Confidential Information, and the Company has affirmatively agreed to provide her with Confidential Information. Accordingly, for the consideration provided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in this Agreement, Executive agrees to be bound by the following restrictive covenants:</w:t>
      </w:r>
    </w:p>
    <w:p>
      <w:pPr>
        <w:spacing w:after="0" w:line="84" w:lineRule="exact"/>
        <w:rPr>
          <w:sz w:val="20"/>
          <w:szCs w:val="20"/>
          <w:color w:val="auto"/>
        </w:rPr>
      </w:pPr>
    </w:p>
    <w:p>
      <w:pPr>
        <w:ind w:left="1820" w:right="40" w:hanging="569"/>
        <w:spacing w:after="0" w:line="288" w:lineRule="auto"/>
        <w:tabs>
          <w:tab w:leader="none" w:pos="1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During the Term, Executive shall not accept employment with or render services to any Unauthorized Competitor as a director, officer, agent, employee, independent contractor or consultant, or take any action inconsistent with fiduciary relationship of an employee to her employer. In order to protect the Company’s good will and other legitimate business interests, provide greater flexibility to Executive in obtaining other employment and to provide both parties with greater certainty as to their obligations hereunder, the parties agree that Executive shall not be prohibited from accepting employment any where in the world with any company or other enterprise except an Unauthorized Competitor. For purposes of this Agreement, an “Unauthorized Competitor” means any major oilfield equipment and services business, more specifically defined as Halliburton Company, Baker Hughes Inc., BJ Services Company, Weatherford International, CGG-Veritas and PGS, including any and all of their parents, subsidiaries, affiliates, joint ventures, divisions, successors, or assigns.</w:t>
      </w:r>
    </w:p>
    <w:p>
      <w:pPr>
        <w:spacing w:after="0" w:line="38" w:lineRule="exact"/>
        <w:rPr>
          <w:rFonts w:ascii="Arial" w:cs="Arial" w:eastAsia="Arial" w:hAnsi="Arial"/>
          <w:sz w:val="16"/>
          <w:szCs w:val="16"/>
          <w:color w:val="auto"/>
        </w:rPr>
      </w:pPr>
    </w:p>
    <w:p>
      <w:pPr>
        <w:ind w:left="1820" w:right="180" w:hanging="569"/>
        <w:spacing w:after="0" w:line="259" w:lineRule="auto"/>
        <w:tabs>
          <w:tab w:leader="none" w:pos="18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Executive further agrees that during the Term, she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59" w:lineRule="exact"/>
        <w:rPr>
          <w:rFonts w:ascii="Arial" w:cs="Arial" w:eastAsia="Arial" w:hAnsi="Arial"/>
          <w:sz w:val="18"/>
          <w:szCs w:val="18"/>
          <w:color w:val="auto"/>
        </w:rPr>
      </w:pPr>
    </w:p>
    <w:p>
      <w:pPr>
        <w:ind w:left="1820" w:hanging="569"/>
        <w:spacing w:after="0" w:line="288" w:lineRule="auto"/>
        <w:tabs>
          <w:tab w:leader="none" w:pos="1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Executive acknowledges that this restrictive covenant under Section 5, for which she received consideration from the Company as provided in this Section 5,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and proprietary information. 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38" w:lineRule="exact"/>
        <w:rPr>
          <w:rFonts w:ascii="Arial" w:cs="Arial" w:eastAsia="Arial" w:hAnsi="Arial"/>
          <w:sz w:val="16"/>
          <w:szCs w:val="16"/>
          <w:color w:val="auto"/>
        </w:rPr>
      </w:pPr>
    </w:p>
    <w:p>
      <w:pPr>
        <w:ind w:left="1820" w:right="640" w:hanging="569"/>
        <w:spacing w:after="0" w:line="332" w:lineRule="auto"/>
        <w:tabs>
          <w:tab w:leader="none" w:pos="18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Executive further acknowledges that if her employment terminates prior to the Term, pursuant to Section 4 (c), (d) or (e) of this Agreement, the covenant not to compete provisions of this Agreement will extend throughout the remainder of the Term.</w:t>
      </w:r>
    </w:p>
    <w:p>
      <w:pPr>
        <w:spacing w:after="0" w:line="85" w:lineRule="exact"/>
        <w:rPr>
          <w:rFonts w:ascii="Arial" w:cs="Arial" w:eastAsia="Arial" w:hAnsi="Arial"/>
          <w:sz w:val="16"/>
          <w:szCs w:val="16"/>
          <w:color w:val="auto"/>
        </w:rPr>
      </w:pPr>
    </w:p>
    <w:p>
      <w:pPr>
        <w:ind w:firstLine="1492"/>
        <w:spacing w:after="0" w:line="283" w:lineRule="auto"/>
        <w:tabs>
          <w:tab w:leader="none" w:pos="1732" w:val="left"/>
        </w:tabs>
        <w:numPr>
          <w:ilvl w:val="2"/>
          <w:numId w:val="28"/>
        </w:numPr>
        <w:rPr>
          <w:rFonts w:ascii="Arial" w:cs="Arial" w:eastAsia="Arial" w:hAnsi="Arial"/>
          <w:sz w:val="16"/>
          <w:szCs w:val="16"/>
          <w:color w:val="auto"/>
        </w:rPr>
      </w:pPr>
      <w:r>
        <w:rPr>
          <w:rFonts w:ascii="Arial" w:cs="Arial" w:eastAsia="Arial" w:hAnsi="Arial"/>
          <w:sz w:val="16"/>
          <w:szCs w:val="16"/>
          <w:u w:val="single" w:color="auto"/>
          <w:color w:val="auto"/>
        </w:rPr>
        <w:t>Employment by Affiliates</w:t>
      </w:r>
      <w:r>
        <w:rPr>
          <w:rFonts w:ascii="Arial" w:cs="Arial" w:eastAsia="Arial" w:hAnsi="Arial"/>
          <w:sz w:val="16"/>
          <w:szCs w:val="16"/>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Netherlands Antilles corporation, (ii) any corporation in which the shares owned or controlled directly or indirectly by Schlumberger Limited shall represent 40% or more of the voting power of the issued and outstanding stock of such corporation, and</w:t>
      </w:r>
    </w:p>
    <w:p>
      <w:pPr>
        <w:spacing w:after="0" w:line="2" w:lineRule="exact"/>
        <w:rPr>
          <w:rFonts w:ascii="Arial" w:cs="Arial" w:eastAsia="Arial" w:hAnsi="Arial"/>
          <w:sz w:val="16"/>
          <w:szCs w:val="16"/>
          <w:color w:val="auto"/>
        </w:rPr>
      </w:pPr>
    </w:p>
    <w:p>
      <w:pPr>
        <w:ind w:right="160" w:firstLine="8"/>
        <w:spacing w:after="0" w:line="261" w:lineRule="auto"/>
        <w:tabs>
          <w:tab w:leader="none" w:pos="307"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other company controlled by, controlling or under common control with the Company within the meaning of Section 414 of the Internal Revenue Code of 1986, as amended.</w:t>
      </w:r>
    </w:p>
    <w:p>
      <w:pPr>
        <w:sectPr>
          <w:pgSz w:w="11900" w:h="16838" w:orient="portrait"/>
          <w:cols w:equalWidth="0" w:num="1">
            <w:col w:w="11400"/>
          </w:cols>
          <w:pgMar w:left="240" w:top="280" w:right="259" w:bottom="1440" w:gutter="0" w:footer="0" w:header="0"/>
        </w:sectPr>
      </w:pPr>
    </w:p>
    <w:bookmarkStart w:id="33" w:name="page34"/>
    <w:bookmarkEnd w:id="33"/>
    <w:p>
      <w:pPr>
        <w:ind w:firstLine="921"/>
        <w:spacing w:after="0" w:line="259" w:lineRule="auto"/>
        <w:tabs>
          <w:tab w:leader="none" w:pos="139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Expenses</w:t>
      </w:r>
      <w:r>
        <w:rPr>
          <w:rFonts w:ascii="Arial" w:cs="Arial" w:eastAsia="Arial" w:hAnsi="Arial"/>
          <w:sz w:val="18"/>
          <w:szCs w:val="18"/>
          <w:color w:val="auto"/>
        </w:rPr>
        <w:t>: The Company and Executive shall each be responsible for its/her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40" w:lineRule="exact"/>
        <w:rPr>
          <w:rFonts w:ascii="Arial" w:cs="Arial" w:eastAsia="Arial" w:hAnsi="Arial"/>
          <w:sz w:val="18"/>
          <w:szCs w:val="18"/>
          <w:color w:val="auto"/>
        </w:rPr>
      </w:pPr>
    </w:p>
    <w:p>
      <w:pPr>
        <w:jc w:val="both"/>
        <w:ind w:right="20" w:firstLine="921"/>
        <w:spacing w:after="0" w:line="259" w:lineRule="auto"/>
        <w:tabs>
          <w:tab w:leader="none" w:pos="1396"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For purposes of this Agreement, notices and all other communications provided for herein shall be in writing and shall be deemed to have been duly given when personally delivered or when mailed by United States registered or certified mail, return receipt requested, postage prepaid, addressed as follows:</w:t>
      </w:r>
    </w:p>
    <w:p>
      <w:pPr>
        <w:sectPr>
          <w:pgSz w:w="11900" w:h="16838" w:orient="portrait"/>
          <w:cols w:equalWidth="0" w:num="1">
            <w:col w:w="11400"/>
          </w:cols>
          <w:pgMar w:left="240" w:top="280" w:right="259" w:bottom="1440" w:gutter="0" w:footer="0" w:header="0"/>
        </w:sectPr>
      </w:pP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the Company:</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5599 San Felipe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17</w:t>
      </w:r>
      <w:r>
        <w:rPr>
          <w:rFonts w:ascii="Arial" w:cs="Arial" w:eastAsia="Arial" w:hAnsi="Arial"/>
          <w:sz w:val="11"/>
          <w:szCs w:val="11"/>
          <w:color w:val="auto"/>
        </w:rPr>
        <w:t>th</w:t>
      </w:r>
      <w:r>
        <w:rPr>
          <w:rFonts w:ascii="Arial" w:cs="Arial" w:eastAsia="Arial" w:hAnsi="Arial"/>
          <w:sz w:val="18"/>
          <w:szCs w:val="18"/>
          <w:color w:val="auto"/>
        </w:rPr>
        <w:t xml:space="preserve">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TX 77056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Gill Gordon,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Director Executive Compensation</w:t>
      </w:r>
    </w:p>
    <w:p>
      <w:pPr>
        <w:spacing w:after="0" w:line="200" w:lineRule="exact"/>
        <w:rPr>
          <w:sz w:val="20"/>
          <w:szCs w:val="20"/>
          <w:color w:val="auto"/>
        </w:rPr>
      </w:pPr>
    </w:p>
    <w:p>
      <w:pPr>
        <w:sectPr>
          <w:pgSz w:w="11900" w:h="16838" w:orient="portrait"/>
          <w:cols w:equalWidth="0" w:num="2">
            <w:col w:w="2260" w:space="480"/>
            <w:col w:w="8660"/>
          </w:cols>
          <w:pgMar w:left="240" w:top="280" w:right="259" w:bottom="1440" w:gutter="0" w:footer="0" w:header="0"/>
          <w:type w:val="continuous"/>
        </w:sectPr>
      </w:pPr>
    </w:p>
    <w:p>
      <w:pPr>
        <w:spacing w:after="0" w:line="4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Executive:</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Ellen Summer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180 Riverside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Apartment 8D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New York, New York 10024</w:t>
      </w:r>
    </w:p>
    <w:p>
      <w:pPr>
        <w:spacing w:after="0" w:line="188" w:lineRule="exact"/>
        <w:rPr>
          <w:sz w:val="20"/>
          <w:szCs w:val="20"/>
          <w:color w:val="auto"/>
        </w:rPr>
      </w:pPr>
    </w:p>
    <w:p>
      <w:pPr>
        <w:sectPr>
          <w:pgSz w:w="11900" w:h="16838" w:orient="portrait"/>
          <w:cols w:equalWidth="0" w:num="2">
            <w:col w:w="2020" w:space="720"/>
            <w:col w:w="8660"/>
          </w:cols>
          <w:pgMar w:left="240" w:top="280" w:right="259" w:bottom="1440" w:gutter="0" w:footer="0" w:header="0"/>
          <w:type w:val="continuous"/>
        </w:sectPr>
      </w:pPr>
    </w:p>
    <w:p>
      <w:pPr>
        <w:spacing w:after="0" w:line="268" w:lineRule="auto"/>
        <w:rPr>
          <w:sz w:val="20"/>
          <w:szCs w:val="20"/>
          <w:color w:val="auto"/>
        </w:rPr>
      </w:pPr>
      <w:r>
        <w:rPr>
          <w:rFonts w:ascii="Arial" w:cs="Arial" w:eastAsia="Arial" w:hAnsi="Arial"/>
          <w:sz w:val="18"/>
          <w:szCs w:val="18"/>
          <w:color w:val="auto"/>
        </w:rPr>
        <w:t>or to such other address as either party may furnish to the other in writing in accordance herewith, except that notices of changes of address shall be effective only upon receipt.</w:t>
      </w:r>
    </w:p>
    <w:p>
      <w:pPr>
        <w:spacing w:after="0" w:line="132" w:lineRule="exact"/>
        <w:rPr>
          <w:sz w:val="20"/>
          <w:szCs w:val="20"/>
          <w:color w:val="auto"/>
        </w:rPr>
      </w:pPr>
    </w:p>
    <w:p>
      <w:pPr>
        <w:ind w:right="100" w:firstLine="921"/>
        <w:spacing w:after="0" w:line="332" w:lineRule="auto"/>
        <w:tabs>
          <w:tab w:leader="none" w:pos="139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w:t>
      </w:r>
    </w:p>
    <w:p>
      <w:pPr>
        <w:spacing w:after="0" w:line="85" w:lineRule="exact"/>
        <w:rPr>
          <w:rFonts w:ascii="Arial" w:cs="Arial" w:eastAsia="Arial" w:hAnsi="Arial"/>
          <w:sz w:val="16"/>
          <w:szCs w:val="16"/>
          <w:color w:val="auto"/>
        </w:rPr>
      </w:pPr>
    </w:p>
    <w:p>
      <w:pPr>
        <w:ind w:right="600" w:firstLine="921"/>
        <w:spacing w:after="0" w:line="332" w:lineRule="auto"/>
        <w:tabs>
          <w:tab w:leader="none" w:pos="1396"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85" w:lineRule="exact"/>
        <w:rPr>
          <w:rFonts w:ascii="Arial" w:cs="Arial" w:eastAsia="Arial" w:hAnsi="Arial"/>
          <w:sz w:val="16"/>
          <w:szCs w:val="16"/>
          <w:color w:val="auto"/>
        </w:rPr>
      </w:pPr>
    </w:p>
    <w:p>
      <w:pPr>
        <w:ind w:right="140" w:firstLine="921"/>
        <w:spacing w:after="0" w:line="268" w:lineRule="auto"/>
        <w:tabs>
          <w:tab w:leader="none" w:pos="1484"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Withholding of Taxes</w:t>
      </w:r>
      <w:r>
        <w:rPr>
          <w:rFonts w:ascii="Arial" w:cs="Arial" w:eastAsia="Arial" w:hAnsi="Arial"/>
          <w:sz w:val="18"/>
          <w:szCs w:val="18"/>
          <w:color w:val="auto"/>
        </w:rPr>
        <w:t>: The Company may withhold from any benefits payable under this Agreement all federal, state, city or other taxes as may be required pursuant to any law or governmental regulation or ruling.</w:t>
      </w:r>
    </w:p>
    <w:p>
      <w:pPr>
        <w:spacing w:after="0" w:line="131" w:lineRule="exact"/>
        <w:rPr>
          <w:rFonts w:ascii="Arial" w:cs="Arial" w:eastAsia="Arial" w:hAnsi="Arial"/>
          <w:sz w:val="18"/>
          <w:szCs w:val="18"/>
          <w:color w:val="auto"/>
        </w:rPr>
      </w:pPr>
    </w:p>
    <w:p>
      <w:pPr>
        <w:ind w:right="120" w:firstLine="921"/>
        <w:spacing w:after="0" w:line="294" w:lineRule="auto"/>
        <w:tabs>
          <w:tab w:leader="none" w:pos="1477" w:val="left"/>
        </w:tabs>
        <w:numPr>
          <w:ilvl w:val="0"/>
          <w:numId w:val="31"/>
        </w:numPr>
        <w:rPr>
          <w:rFonts w:ascii="Arial" w:cs="Arial" w:eastAsia="Arial" w:hAnsi="Arial"/>
          <w:sz w:val="16"/>
          <w:szCs w:val="16"/>
          <w:color w:val="auto"/>
        </w:rPr>
      </w:pPr>
      <w:r>
        <w:rPr>
          <w:rFonts w:ascii="Arial" w:cs="Arial" w:eastAsia="Arial" w:hAnsi="Arial"/>
          <w:sz w:val="16"/>
          <w:szCs w:val="16"/>
          <w:u w:val="single" w:color="auto"/>
          <w:color w:val="auto"/>
        </w:rPr>
        <w:t>No Assignment; Successors</w:t>
      </w:r>
      <w:r>
        <w:rPr>
          <w:rFonts w:ascii="Arial" w:cs="Arial" w:eastAsia="Arial" w:hAnsi="Arial"/>
          <w:sz w:val="16"/>
          <w:szCs w:val="16"/>
          <w:color w:val="auto"/>
        </w:rPr>
        <w:t>: Executive’s right to receive payments or benefits hereunder shall not be assignable or transferable, whether by pledge, creation, or a security interest or otherwise, whether voluntary, involuntary, by operation of law or otherwise, other than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16"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This Agreement shall be binding upon and inure to the benefit of the Company, its successors and assigns (including, without limitation, any company into or with which the Company may merge or consolidate).</w:t>
      </w:r>
    </w:p>
    <w:p>
      <w:pPr>
        <w:spacing w:after="0" w:line="132" w:lineRule="exact"/>
        <w:rPr>
          <w:sz w:val="20"/>
          <w:szCs w:val="20"/>
          <w:color w:val="auto"/>
        </w:rPr>
      </w:pPr>
    </w:p>
    <w:p>
      <w:pPr>
        <w:ind w:right="740" w:firstLine="921"/>
        <w:spacing w:after="0" w:line="268" w:lineRule="auto"/>
        <w:tabs>
          <w:tab w:leader="none" w:pos="1484"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Effect of Prior Agreements</w:t>
      </w:r>
      <w:r>
        <w:rPr>
          <w:rFonts w:ascii="Arial" w:cs="Arial" w:eastAsia="Arial" w:hAnsi="Arial"/>
          <w:sz w:val="18"/>
          <w:szCs w:val="18"/>
          <w:color w:val="auto"/>
        </w:rPr>
        <w:t>: This Agreement contains the entire understanding between the parties hereto and supersedes any prior employment agreement or severance agreement between the</w:t>
      </w:r>
    </w:p>
    <w:p>
      <w:pPr>
        <w:sectPr>
          <w:pgSz w:w="11900" w:h="16838" w:orient="portrait"/>
          <w:cols w:equalWidth="0" w:num="1">
            <w:col w:w="11400"/>
          </w:cols>
          <w:pgMar w:left="240" w:top="280" w:right="259" w:bottom="1440" w:gutter="0" w:footer="0" w:header="0"/>
          <w:type w:val="continuous"/>
        </w:sectPr>
      </w:pPr>
    </w:p>
    <w:bookmarkStart w:id="34" w:name="page35"/>
    <w:bookmarkEnd w:id="3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any predecessor of the Company and Executive, except that this Agreement shall not affect or operate to reduce any benefit or compensation enuring to Executive of a kind elsewhere provided and not expressly provided or modified in this Agreement.</w:t>
      </w:r>
    </w:p>
    <w:p>
      <w:pPr>
        <w:spacing w:after="0" w:line="132" w:lineRule="exact"/>
        <w:rPr>
          <w:sz w:val="20"/>
          <w:szCs w:val="20"/>
          <w:color w:val="auto"/>
        </w:rPr>
      </w:pPr>
    </w:p>
    <w:p>
      <w:pPr>
        <w:ind w:firstLine="921"/>
        <w:spacing w:after="0" w:line="291" w:lineRule="auto"/>
        <w:tabs>
          <w:tab w:leader="none" w:pos="1484"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Release of Claims</w:t>
      </w:r>
      <w:r>
        <w:rPr>
          <w:rFonts w:ascii="Arial" w:cs="Arial" w:eastAsia="Arial" w:hAnsi="Arial"/>
          <w:sz w:val="16"/>
          <w:szCs w:val="16"/>
          <w:color w:val="auto"/>
        </w:rPr>
        <w:t>: In consideration for the compensation and other benefits provided pursuant to this Agreement, Executive agrees to execute a “Waiver and Release,” a form of which is attached hereto as Exhibit A. Executive acknowledges that she was given copies of this Agreement and the Waiver and Release on March 3, 2009, and was given at least 21 days to consider whether to sign the Agreement and the Waiver and Release. The Company’s obligations under this Agreement are expressly conditioned on the execution of the Waiver and Release contemporaneously with the execution of this Agreement, and Executive’s failure to execute and deliver such Waiver and Release, or Executive’s revocation of the Waiver and Release within the seven day period provided in the Release, will void the Company’s obligations hereunder.</w:t>
      </w:r>
    </w:p>
    <w:p>
      <w:pPr>
        <w:spacing w:after="0" w:line="120" w:lineRule="exact"/>
        <w:rPr>
          <w:rFonts w:ascii="Arial" w:cs="Arial" w:eastAsia="Arial" w:hAnsi="Arial"/>
          <w:sz w:val="16"/>
          <w:szCs w:val="16"/>
          <w:color w:val="auto"/>
        </w:rPr>
      </w:pPr>
    </w:p>
    <w:p>
      <w:pPr>
        <w:ind w:left="1500" w:hanging="579"/>
        <w:spacing w:after="0"/>
        <w:tabs>
          <w:tab w:leader="none" w:pos="150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Section 409A Compliance</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1920" w:hanging="440"/>
        <w:spacing w:after="0" w:line="298" w:lineRule="auto"/>
        <w:tabs>
          <w:tab w:leader="none" w:pos="19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If Executive is a “specified employee” for purposes of Section 409A of the Code, and the regulations thereunder, to the extent required to comply with Section 409A of the Code, any payments otherwise payable on account of the Executive’s separation from service pursuant to Section 3(c) or 4(e) which are deferred compensation subject to Section 409A of the Code shall not commence until one day after the day which is six (6) months from the date of termination.</w:t>
      </w:r>
    </w:p>
    <w:p>
      <w:pPr>
        <w:spacing w:after="0" w:line="31" w:lineRule="exact"/>
        <w:rPr>
          <w:rFonts w:ascii="Arial" w:cs="Arial" w:eastAsia="Arial" w:hAnsi="Arial"/>
          <w:sz w:val="16"/>
          <w:szCs w:val="16"/>
          <w:color w:val="auto"/>
        </w:rPr>
      </w:pPr>
    </w:p>
    <w:p>
      <w:pPr>
        <w:ind w:left="1920" w:right="160" w:hanging="440"/>
        <w:spacing w:after="0" w:line="256" w:lineRule="auto"/>
        <w:tabs>
          <w:tab w:leader="none" w:pos="19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Agreement is intended to comply with Section 409A of the Code (to the extent applicable) and, to the extent it would not adversely impact the Company, the Company agrees to interpret, apply and administer this Agreement in the least restrictive manner necessary to comply with such requirements and without resulting in any diminution in the value of payments or benefits to the Executive.</w:t>
      </w:r>
    </w:p>
    <w:p>
      <w:pPr>
        <w:spacing w:after="0" w:line="14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IN WITNESS WHEREOF, the parties have caused this Agreement to be executed and delivered the 3rd day of March, 2009, but effective as of the day and year first above written.</w:t>
      </w:r>
    </w:p>
    <w:p>
      <w:pPr>
        <w:spacing w:after="0" w:line="200" w:lineRule="exact"/>
        <w:rPr>
          <w:sz w:val="20"/>
          <w:szCs w:val="20"/>
          <w:color w:val="auto"/>
        </w:rPr>
      </w:pPr>
    </w:p>
    <w:p>
      <w:pPr>
        <w:spacing w:after="0" w:line="2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25" w:lineRule="exact"/>
        <w:rPr>
          <w:sz w:val="20"/>
          <w:szCs w:val="20"/>
          <w:color w:val="auto"/>
        </w:rPr>
      </w:pPr>
    </w:p>
    <w:p>
      <w:pPr>
        <w:ind w:left="6860"/>
        <w:spacing w:after="0"/>
        <w:tabs>
          <w:tab w:leader="none" w:pos="7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Gill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w:t>
      </w:r>
    </w:p>
    <w:p>
      <w:pPr>
        <w:spacing w:after="0" w:line="2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 Ellen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ectPr>
          <w:pgSz w:w="11900" w:h="16838" w:orient="portrait"/>
          <w:cols w:equalWidth="0" w:num="1">
            <w:col w:w="11400"/>
          </w:cols>
          <w:pgMar w:left="240" w:top="280" w:right="25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Andrew Gould, certify that:</w:t>
      </w:r>
    </w:p>
    <w:p>
      <w:pPr>
        <w:spacing w:after="0" w:line="90" w:lineRule="exact"/>
        <w:rPr>
          <w:sz w:val="20"/>
          <w:szCs w:val="20"/>
          <w:color w:val="auto"/>
        </w:rPr>
      </w:pPr>
    </w:p>
    <w:p>
      <w:pPr>
        <w:ind w:left="180" w:hanging="172"/>
        <w:spacing w:after="0"/>
        <w:tabs>
          <w:tab w:leader="none" w:pos="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2009</w:t>
      </w:r>
    </w:p>
    <w:p>
      <w:pPr>
        <w:spacing w:after="0" w:line="212" w:lineRule="exact"/>
        <w:rPr>
          <w:sz w:val="20"/>
          <w:szCs w:val="20"/>
          <w:color w:val="auto"/>
        </w:rPr>
      </w:pPr>
    </w:p>
    <w:p>
      <w:pPr>
        <w:ind w:left="8200"/>
        <w:spacing w:after="0"/>
        <w:tabs>
          <w:tab w:leader="none" w:pos="8520" w:val="left"/>
        </w:tabs>
        <w:rPr>
          <w:sz w:val="20"/>
          <w:szCs w:val="20"/>
          <w:color w:val="auto"/>
        </w:rPr>
      </w:pPr>
      <w:r>
        <w:rPr>
          <w:rFonts w:ascii="Arial" w:cs="Arial" w:eastAsia="Arial" w:hAnsi="Arial"/>
          <w:sz w:val="18"/>
          <w:szCs w:val="18"/>
          <w:color w:val="auto"/>
        </w:rPr>
        <w:t>/s/</w:t>
        <w:tab/>
        <w:t>A</w:t>
      </w:r>
      <w:r>
        <w:rPr>
          <w:rFonts w:ascii="Arial" w:cs="Arial" w:eastAsia="Arial" w:hAnsi="Arial"/>
          <w:sz w:val="14"/>
          <w:szCs w:val="14"/>
          <w:color w:val="auto"/>
        </w:rPr>
        <w:t>NDREW</w:t>
      </w:r>
      <w:r>
        <w:rPr>
          <w:rFonts w:ascii="Arial" w:cs="Arial" w:eastAsia="Arial" w:hAnsi="Arial"/>
          <w:sz w:val="18"/>
          <w:szCs w:val="18"/>
          <w:color w:val="auto"/>
        </w:rPr>
        <w:t xml:space="preserve"> G</w:t>
      </w:r>
      <w:r>
        <w:rPr>
          <w:rFonts w:ascii="Arial" w:cs="Arial" w:eastAsia="Arial" w:hAnsi="Arial"/>
          <w:sz w:val="14"/>
          <w:szCs w:val="14"/>
          <w:color w:val="auto"/>
        </w:rPr>
        <w:t>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Andrew Gould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Chairman and Chief Executive Officer</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90"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180" w:firstLine="8"/>
        <w:spacing w:after="0" w:line="259" w:lineRule="auto"/>
        <w:tabs>
          <w:tab w:leader="none" w:pos="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firstLine="464"/>
        <w:spacing w:after="0" w:line="259" w:lineRule="auto"/>
        <w:tabs>
          <w:tab w:leader="none" w:pos="6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0" w:lineRule="exact"/>
        <w:rPr>
          <w:rFonts w:ascii="Arial" w:cs="Arial" w:eastAsia="Arial" w:hAnsi="Arial"/>
          <w:sz w:val="18"/>
          <w:szCs w:val="18"/>
          <w:color w:val="auto"/>
        </w:rPr>
      </w:pPr>
    </w:p>
    <w:p>
      <w:pPr>
        <w:ind w:right="120" w:firstLine="464"/>
        <w:spacing w:after="0" w:line="259" w:lineRule="auto"/>
        <w:tabs>
          <w:tab w:leader="none" w:pos="6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0" w:lineRule="exact"/>
        <w:rPr>
          <w:rFonts w:ascii="Arial" w:cs="Arial" w:eastAsia="Arial" w:hAnsi="Arial"/>
          <w:sz w:val="18"/>
          <w:szCs w:val="18"/>
          <w:color w:val="auto"/>
        </w:rPr>
      </w:pPr>
    </w:p>
    <w:p>
      <w:pPr>
        <w:ind w:right="160" w:firstLine="464"/>
        <w:spacing w:after="0" w:line="268" w:lineRule="auto"/>
        <w:tabs>
          <w:tab w:leader="none" w:pos="6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1" w:lineRule="exact"/>
        <w:rPr>
          <w:rFonts w:ascii="Arial" w:cs="Arial" w:eastAsia="Arial" w:hAnsi="Arial"/>
          <w:sz w:val="18"/>
          <w:szCs w:val="18"/>
          <w:color w:val="auto"/>
        </w:rPr>
      </w:pPr>
    </w:p>
    <w:p>
      <w:pPr>
        <w:ind w:right="20" w:firstLine="464"/>
        <w:spacing w:after="0" w:line="259" w:lineRule="auto"/>
        <w:tabs>
          <w:tab w:leader="none" w:pos="6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80" w:firstLine="8"/>
        <w:spacing w:after="0" w:line="268" w:lineRule="auto"/>
        <w:tabs>
          <w:tab w:leader="none" w:pos="176"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0" w:lineRule="exact"/>
        <w:rPr>
          <w:rFonts w:ascii="Arial" w:cs="Arial" w:eastAsia="Arial" w:hAnsi="Arial"/>
          <w:sz w:val="18"/>
          <w:szCs w:val="18"/>
          <w:color w:val="auto"/>
        </w:rPr>
      </w:pPr>
    </w:p>
    <w:p>
      <w:pPr>
        <w:ind w:right="100" w:firstLine="464"/>
        <w:spacing w:after="0" w:line="268" w:lineRule="auto"/>
        <w:tabs>
          <w:tab w:leader="none" w:pos="63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1" w:lineRule="exact"/>
        <w:rPr>
          <w:rFonts w:ascii="Arial" w:cs="Arial" w:eastAsia="Arial" w:hAnsi="Arial"/>
          <w:sz w:val="18"/>
          <w:szCs w:val="18"/>
          <w:color w:val="auto"/>
        </w:rPr>
      </w:pPr>
    </w:p>
    <w:p>
      <w:pPr>
        <w:ind w:right="320" w:firstLine="464"/>
        <w:spacing w:after="0" w:line="268" w:lineRule="auto"/>
        <w:tabs>
          <w:tab w:leader="none" w:pos="647"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2009</w:t>
      </w:r>
    </w:p>
    <w:p>
      <w:pPr>
        <w:spacing w:after="0" w:line="212" w:lineRule="exact"/>
        <w:rPr>
          <w:sz w:val="20"/>
          <w:szCs w:val="20"/>
          <w:color w:val="auto"/>
        </w:rPr>
      </w:pPr>
    </w:p>
    <w:p>
      <w:pPr>
        <w:ind w:left="8360"/>
        <w:spacing w:after="0"/>
        <w:tabs>
          <w:tab w:leader="none" w:pos="86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S</w:t>
      </w:r>
      <w:r>
        <w:rPr>
          <w:rFonts w:ascii="Arial" w:cs="Arial" w:eastAsia="Arial" w:hAnsi="Arial"/>
          <w:sz w:val="13"/>
          <w:szCs w:val="13"/>
          <w:color w:val="auto"/>
        </w:rPr>
        <w:t>IMON</w:t>
      </w:r>
      <w:r>
        <w:rPr>
          <w:rFonts w:ascii="Arial" w:cs="Arial" w:eastAsia="Arial" w:hAnsi="Arial"/>
          <w:sz w:val="16"/>
          <w:szCs w:val="16"/>
          <w:color w:val="auto"/>
        </w:rPr>
        <w:t xml:space="preserve"> A</w:t>
      </w:r>
      <w:r>
        <w:rPr>
          <w:rFonts w:ascii="Arial" w:cs="Arial" w:eastAsia="Arial" w:hAnsi="Arial"/>
          <w:sz w:val="13"/>
          <w:szCs w:val="13"/>
          <w:color w:val="auto"/>
        </w:rPr>
        <w:t>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Simon Ayat</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ectPr>
          <w:pgSz w:w="11900" w:h="16838" w:orient="portrait"/>
          <w:cols w:equalWidth="0" w:num="1">
            <w:col w:w="11420"/>
          </w:cols>
          <w:pgMar w:left="240" w:top="125"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2009 as filed with the Securities and Exchange Commission on the date hereof (the “Report”), I, Andrew Gould, Chairman and Chief Executive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Date: April 29, 2009</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Andrew Gould</w:t>
            </w:r>
          </w:p>
        </w:tc>
      </w:tr>
      <w:tr>
        <w:trPr>
          <w:trHeight w:val="202"/>
        </w:trPr>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Andrew Gould</w:t>
            </w:r>
          </w:p>
        </w:tc>
      </w:tr>
      <w:tr>
        <w:trPr>
          <w:trHeight w:val="222"/>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Chairman and Chief Executive 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5"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In connection with the Quarterly Report on Form 10-Q of Schlumberger N.V. (Schlumberger Limited) (the “Company”) for the quarterly period ended March 31, 2009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as amended (the “Exchange Act”),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380" w:type="dxa"/>
            <w:vAlign w:val="bottom"/>
          </w:tcPr>
          <w:p>
            <w:pPr>
              <w:spacing w:after="0"/>
              <w:rPr>
                <w:sz w:val="20"/>
                <w:szCs w:val="20"/>
                <w:color w:val="auto"/>
              </w:rPr>
            </w:pPr>
            <w:r>
              <w:rPr>
                <w:rFonts w:ascii="Arial" w:cs="Arial" w:eastAsia="Arial" w:hAnsi="Arial"/>
                <w:sz w:val="18"/>
                <w:szCs w:val="18"/>
                <w:color w:val="auto"/>
              </w:rPr>
              <w:t>Date: April 29, 2009</w:t>
            </w:r>
          </w:p>
        </w:tc>
        <w:tc>
          <w:tcPr>
            <w:tcW w:w="4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w:t>
            </w:r>
          </w:p>
        </w:tc>
        <w:tc>
          <w:tcPr>
            <w:tcW w:w="55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Simon Ayat</w:t>
            </w:r>
          </w:p>
        </w:tc>
      </w:tr>
      <w:tr>
        <w:trPr>
          <w:trHeight w:val="202"/>
        </w:trPr>
        <w:tc>
          <w:tcPr>
            <w:tcW w:w="53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Simon Ayat</w:t>
            </w:r>
          </w:p>
        </w:tc>
      </w:tr>
      <w:tr>
        <w:trPr>
          <w:trHeight w:val="216"/>
        </w:trPr>
        <w:tc>
          <w:tcPr>
            <w:tcW w:w="5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Executive Vice President and Chief Financial</w:t>
            </w:r>
          </w:p>
        </w:tc>
      </w:tr>
      <w:tr>
        <w:trPr>
          <w:trHeight w:val="222"/>
        </w:trPr>
        <w:tc>
          <w:tcPr>
            <w:tcW w:w="5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560" w:type="dxa"/>
            <w:vAlign w:val="bottom"/>
          </w:tcPr>
          <w:p>
            <w:pPr>
              <w:ind w:left="200"/>
              <w:spacing w:after="0"/>
              <w:rPr>
                <w:sz w:val="20"/>
                <w:szCs w:val="20"/>
                <w:color w:val="auto"/>
              </w:rPr>
            </w:pPr>
            <w:r>
              <w:rPr>
                <w:rFonts w:ascii="Arial" w:cs="Arial" w:eastAsia="Arial" w:hAnsi="Arial"/>
                <w:sz w:val="18"/>
                <w:szCs w:val="18"/>
                <w:color w:val="auto"/>
              </w:rPr>
              <w:t>Officer</w:t>
            </w:r>
          </w:p>
        </w:tc>
      </w:tr>
    </w:tbl>
    <w:p>
      <w:pPr>
        <w:spacing w:after="0" w:line="15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1BD7B7"/>
    <w:multiLevelType w:val="hybridMultilevel"/>
    <w:lvl w:ilvl="0">
      <w:lvlJc w:val="left"/>
      <w:lvlText w:val="%1."/>
      <w:numFmt w:val="decimal"/>
      <w:start w:val="1"/>
    </w:lvl>
  </w:abstractNum>
  <w:abstractNum w:abstractNumId="1">
    <w:nsid w:val="3F2DBA31"/>
    <w:multiLevelType w:val="hybridMultilevel"/>
    <w:lvl w:ilvl="0">
      <w:lvlJc w:val="left"/>
      <w:lvlText w:val="%1."/>
      <w:numFmt w:val="decimal"/>
      <w:start w:val="2"/>
    </w:lvl>
  </w:abstractNum>
  <w:abstractNum w:abstractNumId="2">
    <w:nsid w:val="7C83E458"/>
    <w:multiLevelType w:val="hybridMultilevel"/>
    <w:lvl w:ilvl="0">
      <w:lvlJc w:val="left"/>
      <w:lvlText w:val="%1."/>
      <w:numFmt w:val="decimal"/>
      <w:start w:val="3"/>
    </w:lvl>
  </w:abstractNum>
  <w:abstractNum w:abstractNumId="3">
    <w:nsid w:val="257130A3"/>
    <w:multiLevelType w:val="hybridMultilevel"/>
    <w:lvl w:ilvl="0">
      <w:lvlJc w:val="left"/>
      <w:lvlText w:val="%1."/>
      <w:numFmt w:val="decimal"/>
      <w:start w:val="5"/>
    </w:lvl>
  </w:abstractNum>
  <w:abstractNum w:abstractNumId="4">
    <w:nsid w:val="62BBD95A"/>
    <w:multiLevelType w:val="hybridMultilevel"/>
    <w:lvl w:ilvl="0">
      <w:lvlJc w:val="left"/>
      <w:lvlText w:val="%1."/>
      <w:numFmt w:val="decimal"/>
      <w:start w:val="6"/>
    </w:lvl>
  </w:abstractNum>
  <w:abstractNum w:abstractNumId="5">
    <w:nsid w:val="436C6125"/>
    <w:multiLevelType w:val="hybridMultilevel"/>
    <w:lvl w:ilvl="0">
      <w:lvlJc w:val="left"/>
      <w:lvlText w:val="%1."/>
      <w:numFmt w:val="decimal"/>
      <w:start w:val="7"/>
    </w:lvl>
  </w:abstractNum>
  <w:abstractNum w:abstractNumId="6">
    <w:nsid w:val="628C895D"/>
    <w:multiLevelType w:val="hybridMultilevel"/>
    <w:lvl w:ilvl="0">
      <w:lvlJc w:val="left"/>
      <w:lvlText w:val="%1."/>
      <w:numFmt w:val="decimal"/>
      <w:start w:val="8"/>
    </w:lvl>
  </w:abstractNum>
  <w:abstractNum w:abstractNumId="7">
    <w:nsid w:val="333AB105"/>
    <w:multiLevelType w:val="hybridMultilevel"/>
    <w:lvl w:ilvl="0">
      <w:lvlJc w:val="left"/>
      <w:lvlText w:val="%1."/>
      <w:numFmt w:val="decimal"/>
      <w:start w:val="9"/>
    </w:lvl>
  </w:abstractNum>
  <w:abstractNum w:abstractNumId="8">
    <w:nsid w:val="721DA317"/>
    <w:multiLevelType w:val="hybridMultilevel"/>
    <w:lvl w:ilvl="0">
      <w:lvlJc w:val="left"/>
      <w:lvlText w:val="%1."/>
      <w:numFmt w:val="decimal"/>
      <w:start w:val="11"/>
    </w:lvl>
  </w:abstractNum>
  <w:abstractNum w:abstractNumId="9">
    <w:nsid w:val="2443A858"/>
    <w:multiLevelType w:val="hybridMultilevel"/>
    <w:lvl w:ilvl="0">
      <w:lvlJc w:val="left"/>
      <w:lvlText w:val="%1."/>
      <w:numFmt w:val="decimal"/>
      <w:start w:val="12"/>
    </w:lvl>
  </w:abstractNum>
  <w:abstractNum w:abstractNumId="10">
    <w:nsid w:val="2D1D5AE9"/>
    <w:multiLevelType w:val="hybridMultilevel"/>
    <w:lvl w:ilvl="0">
      <w:lvlJc w:val="left"/>
      <w:lvlText w:val="%1."/>
      <w:numFmt w:val="decimal"/>
      <w:start w:val="1"/>
    </w:lvl>
  </w:abstractNum>
  <w:abstractNum w:abstractNumId="11">
    <w:nsid w:val="6763845E"/>
    <w:multiLevelType w:val="hybridMultilevel"/>
    <w:lvl w:ilvl="0">
      <w:lvlJc w:val="left"/>
      <w:lvlText w:val="%1."/>
      <w:numFmt w:val="decimal"/>
      <w:start w:val="13"/>
    </w:lvl>
  </w:abstractNum>
  <w:abstractNum w:abstractNumId="12">
    <w:nsid w:val="75A2A8D4"/>
    <w:multiLevelType w:val="hybridMultilevel"/>
    <w:lvl w:ilvl="0">
      <w:lvlJc w:val="left"/>
      <w:lvlText w:val="%1."/>
      <w:numFmt w:val="decimal"/>
      <w:start w:val="14"/>
    </w:lvl>
  </w:abstractNum>
  <w:abstractNum w:abstractNumId="13">
    <w:nsid w:val="8EDBDAB"/>
    <w:multiLevelType w:val="hybridMultilevel"/>
    <w:lvl w:ilvl="0">
      <w:lvlJc w:val="left"/>
      <w:lvlText w:val="•"/>
      <w:numFmt w:val="bullet"/>
      <w:start w:val="1"/>
    </w:lvl>
  </w:abstractNum>
  <w:abstractNum w:abstractNumId="14">
    <w:nsid w:val="79838CB2"/>
    <w:multiLevelType w:val="hybridMultilevel"/>
    <w:lvl w:ilvl="0">
      <w:lvlJc w:val="left"/>
      <w:lvlText w:val="•"/>
      <w:numFmt w:val="bullet"/>
      <w:start w:val="1"/>
    </w:lvl>
  </w:abstractNum>
  <w:abstractNum w:abstractNumId="15">
    <w:nsid w:val="4353D0CD"/>
    <w:multiLevelType w:val="hybridMultilevel"/>
    <w:lvl w:ilvl="0">
      <w:lvlJc w:val="left"/>
      <w:lvlText w:val="•"/>
      <w:numFmt w:val="bullet"/>
      <w:start w:val="1"/>
    </w:lvl>
  </w:abstractNum>
  <w:abstractNum w:abstractNumId="16">
    <w:nsid w:val="B03E0C6"/>
    <w:multiLevelType w:val="hybridMultilevel"/>
    <w:lvl w:ilvl="0">
      <w:lvlJc w:val="left"/>
      <w:lvlText w:val="(%1)"/>
      <w:numFmt w:val="lowerLetter"/>
      <w:start w:val="1"/>
    </w:lvl>
  </w:abstractNum>
  <w:abstractNum w:abstractNumId="17">
    <w:nsid w:val="189A769B"/>
    <w:multiLevelType w:val="hybridMultilevel"/>
    <w:lvl w:ilvl="0">
      <w:lvlJc w:val="left"/>
      <w:lvlText w:val="*"/>
      <w:numFmt w:val="bullet"/>
      <w:start w:val="1"/>
    </w:lvl>
  </w:abstractNum>
  <w:abstractNum w:abstractNumId="18">
    <w:nsid w:val="54E49EB4"/>
    <w:multiLevelType w:val="hybridMultilevel"/>
    <w:lvl w:ilvl="0">
      <w:lvlJc w:val="left"/>
      <w:lvlText w:val="**"/>
      <w:numFmt w:val="bullet"/>
      <w:start w:val="1"/>
    </w:lvl>
  </w:abstractNum>
  <w:abstractNum w:abstractNumId="19">
    <w:nsid w:val="71F32454"/>
    <w:multiLevelType w:val="hybridMultilevel"/>
    <w:lvl w:ilvl="0">
      <w:lvlJc w:val="left"/>
      <w:lvlText w:val="%1."/>
      <w:numFmt w:val="decimal"/>
      <w:start w:val="1"/>
    </w:lvl>
  </w:abstractNum>
  <w:abstractNum w:abstractNumId="20">
    <w:nsid w:val="2CA88611"/>
    <w:multiLevelType w:val="hybridMultilevel"/>
    <w:lvl w:ilvl="0">
      <w:lvlJc w:val="left"/>
      <w:lvlText w:val="%1."/>
      <w:numFmt w:val="decimal"/>
      <w:start w:val="3"/>
    </w:lvl>
    <w:lvl w:ilvl="1">
      <w:lvlJc w:val="left"/>
      <w:lvlText w:val="(%2)"/>
      <w:numFmt w:val="lowerLetter"/>
      <w:start w:val="1"/>
    </w:lvl>
  </w:abstractNum>
  <w:abstractNum w:abstractNumId="21">
    <w:nsid w:val="836C40E"/>
    <w:multiLevelType w:val="hybridMultilevel"/>
    <w:lvl w:ilvl="0">
      <w:lvlJc w:val="left"/>
      <w:lvlText w:val="(%1)"/>
      <w:numFmt w:val="lowerLetter"/>
      <w:start w:val="4"/>
    </w:lvl>
    <w:lvl w:ilvl="1">
      <w:lvlJc w:val="left"/>
      <w:lvlText w:val="%2."/>
      <w:numFmt w:val="lowerRoman"/>
      <w:start w:val="1"/>
    </w:lvl>
  </w:abstractNum>
  <w:abstractNum w:abstractNumId="22">
    <w:nsid w:val="2901D82"/>
    <w:multiLevelType w:val="hybridMultilevel"/>
    <w:lvl w:ilvl="0">
      <w:lvlJc w:val="left"/>
      <w:lvlText w:val="%1."/>
      <w:numFmt w:val="decimal"/>
      <w:start w:val="4"/>
    </w:lvl>
    <w:lvl w:ilvl="1">
      <w:lvlJc w:val="left"/>
      <w:lvlText w:val="(%2)"/>
      <w:numFmt w:val="lowerLetter"/>
      <w:start w:val="1"/>
    </w:lvl>
  </w:abstractNum>
  <w:abstractNum w:abstractNumId="23">
    <w:nsid w:val="3A95F874"/>
    <w:multiLevelType w:val="hybridMultilevel"/>
    <w:lvl w:ilvl="0">
      <w:lvlJc w:val="left"/>
      <w:lvlText w:val="(%1)"/>
      <w:numFmt w:val="lowerLetter"/>
      <w:start w:val="3"/>
    </w:lvl>
    <w:lvl w:ilvl="1">
      <w:lvlJc w:val="left"/>
      <w:lvlText w:val="%2."/>
      <w:numFmt w:val="lowerRoman"/>
      <w:start w:val="1"/>
    </w:lvl>
  </w:abstractNum>
  <w:abstractNum w:abstractNumId="24">
    <w:nsid w:val="8138641"/>
    <w:multiLevelType w:val="hybridMultilevel"/>
    <w:lvl w:ilvl="0">
      <w:lvlJc w:val="left"/>
      <w:lvlText w:val="(%1)"/>
      <w:numFmt w:val="lowerLetter"/>
      <w:start w:val="4"/>
    </w:lvl>
    <w:lvl w:ilvl="1">
      <w:lvlJc w:val="left"/>
      <w:lvlText w:val="%2."/>
      <w:numFmt w:val="lowerRoman"/>
      <w:start w:val="1"/>
    </w:lvl>
  </w:abstractNum>
  <w:abstractNum w:abstractNumId="25">
    <w:nsid w:val="1E7FF521"/>
    <w:multiLevelType w:val="hybridMultilevel"/>
    <w:lvl w:ilvl="0">
      <w:lvlJc w:val="left"/>
      <w:lvlText w:val="%1."/>
      <w:numFmt w:val="lowerRoman"/>
      <w:start w:val="3"/>
    </w:lvl>
  </w:abstractNum>
  <w:abstractNum w:abstractNumId="26">
    <w:nsid w:val="7C3DBD3D"/>
    <w:multiLevelType w:val="hybridMultilevel"/>
    <w:lvl w:ilvl="0">
      <w:lvlJc w:val="left"/>
      <w:lvlText w:val="%1."/>
      <w:numFmt w:val="decimal"/>
      <w:start w:val="5"/>
    </w:lvl>
    <w:lvl w:ilvl="1">
      <w:lvlJc w:val="left"/>
      <w:lvlText w:val="(%2)"/>
      <w:numFmt w:val="lowerLetter"/>
      <w:start w:val="1"/>
    </w:lvl>
  </w:abstractNum>
  <w:abstractNum w:abstractNumId="27">
    <w:nsid w:val="737B8DDC"/>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4"/>
    </w:lvl>
  </w:abstractNum>
  <w:abstractNum w:abstractNumId="28">
    <w:nsid w:val="6CEAF087"/>
    <w:multiLevelType w:val="hybridMultilevel"/>
    <w:lvl w:ilvl="0">
      <w:lvlJc w:val="left"/>
      <w:lvlText w:val="(%1)"/>
      <w:numFmt w:val="lowerLetter"/>
      <w:start w:val="61"/>
    </w:lvl>
    <w:lvl w:ilvl="1">
      <w:lvlJc w:val="left"/>
      <w:lvlText w:val="%2"/>
      <w:numFmt w:val="lowerRoman"/>
      <w:start w:val="1"/>
    </w:lvl>
    <w:lvl w:ilvl="2">
      <w:lvlJc w:val="left"/>
      <w:lvlText w:val="%3"/>
      <w:numFmt w:val="lowerLetter"/>
      <w:start w:val="1"/>
    </w:lvl>
  </w:abstractNum>
  <w:abstractNum w:abstractNumId="29">
    <w:nsid w:val="22221A70"/>
    <w:multiLevelType w:val="hybridMultilevel"/>
    <w:lvl w:ilvl="0">
      <w:lvlJc w:val="left"/>
      <w:lvlText w:val="%1."/>
      <w:numFmt w:val="decimal"/>
      <w:start w:val="6"/>
    </w:lvl>
  </w:abstractNum>
  <w:abstractNum w:abstractNumId="30">
    <w:nsid w:val="4516DDE9"/>
    <w:multiLevelType w:val="hybridMultilevel"/>
    <w:lvl w:ilvl="0">
      <w:lvlJc w:val="left"/>
      <w:lvlText w:val="%1."/>
      <w:numFmt w:val="decimal"/>
      <w:start w:val="8"/>
    </w:lvl>
  </w:abstractNum>
  <w:abstractNum w:abstractNumId="31">
    <w:nsid w:val="3006C83E"/>
    <w:multiLevelType w:val="hybridMultilevel"/>
    <w:lvl w:ilvl="0">
      <w:lvlJc w:val="left"/>
      <w:lvlText w:val="%1."/>
      <w:numFmt w:val="decimal"/>
      <w:start w:val="12"/>
    </w:lvl>
  </w:abstractNum>
  <w:abstractNum w:abstractNumId="32">
    <w:nsid w:val="614FD4A1"/>
    <w:multiLevelType w:val="hybridMultilevel"/>
    <w:lvl w:ilvl="0">
      <w:lvlJc w:val="left"/>
      <w:lvlText w:val="%1."/>
      <w:numFmt w:val="decimal"/>
      <w:start w:val="13"/>
    </w:lvl>
    <w:lvl w:ilvl="1">
      <w:lvlJc w:val="left"/>
      <w:lvlText w:val="(%2)"/>
      <w:numFmt w:val="lowerLetter"/>
      <w:start w:val="1"/>
    </w:lvl>
  </w:abstractNum>
  <w:abstractNum w:abstractNumId="33">
    <w:nsid w:val="419AC241"/>
    <w:multiLevelType w:val="hybridMultilevel"/>
    <w:lvl w:ilvl="0">
      <w:lvlJc w:val="left"/>
      <w:lvlText w:val="%1."/>
      <w:numFmt w:val="decimal"/>
      <w:start w:val="1"/>
    </w:lvl>
    <w:lvl w:ilvl="1">
      <w:lvlJc w:val="left"/>
      <w:lvlText w:val="%2)"/>
      <w:numFmt w:val="lowerLetter"/>
      <w:start w:val="1"/>
    </w:lvl>
  </w:abstractNum>
  <w:abstractNum w:abstractNumId="34">
    <w:nsid w:val="5577F8E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2019-12-10T02:14:31Z</dcterms:created>
  <dcterms:modified xsi:type="dcterms:W3CDTF">2019-12-10T02:14:31Z</dcterms:modified>
</cp:coreProperties>
</file>