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1440" w:gutter="0" w:footer="0" w:header="0"/>
        </w:sectPr>
      </w:pPr>
    </w:p>
    <w:p>
      <w:pPr>
        <w:spacing w:after="0" w:line="325" w:lineRule="exact"/>
        <w:rPr>
          <w:sz w:val="24"/>
          <w:szCs w:val="24"/>
          <w:color w:val="auto"/>
        </w:rPr>
      </w:pPr>
    </w:p>
    <w:p>
      <w:pPr>
        <w:spacing w:after="0"/>
        <w:rPr>
          <w:sz w:val="20"/>
          <w:szCs w:val="20"/>
          <w:color w:val="auto"/>
        </w:rPr>
      </w:pPr>
      <w:r>
        <w:rPr>
          <w:rFonts w:ascii="Arial" w:cs="Arial" w:eastAsia="Arial" w:hAnsi="Arial"/>
          <w:sz w:val="21"/>
          <w:szCs w:val="21"/>
          <w:color w:val="auto"/>
        </w:rPr>
        <w:t>P</w:t>
      </w:r>
      <w:r>
        <w:rPr>
          <w:rFonts w:ascii="Arial" w:cs="Arial" w:eastAsia="Arial" w:hAnsi="Arial"/>
          <w:sz w:val="17"/>
          <w:szCs w:val="17"/>
          <w:color w:val="auto"/>
        </w:rPr>
        <w:t>ROSPECTUS</w:t>
      </w:r>
      <w:r>
        <w:rPr>
          <w:rFonts w:ascii="Arial" w:cs="Arial" w:eastAsia="Arial" w:hAnsi="Arial"/>
          <w:sz w:val="21"/>
          <w:szCs w:val="21"/>
          <w:color w:val="auto"/>
        </w:rPr>
        <w:t xml:space="preserve"> S</w:t>
      </w:r>
      <w:r>
        <w:rPr>
          <w:rFonts w:ascii="Arial" w:cs="Arial" w:eastAsia="Arial" w:hAnsi="Arial"/>
          <w:sz w:val="17"/>
          <w:szCs w:val="17"/>
          <w:color w:val="auto"/>
        </w:rPr>
        <w:t>UPPLEMENT</w:t>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(To Prospectus dated June 17, 2005)</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Filed Pursuant to Rule 424(b)(3)</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Registration No. 333-124541</w:t>
      </w:r>
    </w:p>
    <w:p>
      <w:pPr>
        <w:spacing w:after="0" w:line="141" w:lineRule="exact"/>
        <w:rPr>
          <w:sz w:val="24"/>
          <w:szCs w:val="24"/>
          <w:color w:val="auto"/>
        </w:rPr>
      </w:pPr>
    </w:p>
    <w:p>
      <w:pPr>
        <w:sectPr>
          <w:pgSz w:w="11900" w:h="16838" w:orient="portrait"/>
          <w:cols w:equalWidth="0" w:num="2">
            <w:col w:w="8400" w:space="720"/>
            <w:col w:w="2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1,496,247 Shares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125095</wp:posOffset>
            </wp:positionV>
            <wp:extent cx="1620520"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both"/>
        <w:ind w:right="840"/>
        <w:spacing w:after="0" w:line="370" w:lineRule="auto"/>
        <w:rPr>
          <w:sz w:val="20"/>
          <w:szCs w:val="20"/>
          <w:color w:val="auto"/>
        </w:rPr>
      </w:pPr>
      <w:r>
        <w:rPr>
          <w:rFonts w:ascii="Arial" w:cs="Arial" w:eastAsia="Arial" w:hAnsi="Arial"/>
          <w:sz w:val="15"/>
          <w:szCs w:val="15"/>
          <w:color w:val="auto"/>
        </w:rPr>
        <w:t>This is a public offering of common stock of Schlumberger Limited. All of the 1,496,247 shares of our common stock are being offered by the selling stockholders named in this prospectus supplement. We will not receive any of the proceeds from the sale of common stock by the selling stockholders.</w:t>
      </w:r>
    </w:p>
    <w:p>
      <w:pPr>
        <w:spacing w:after="0" w:line="4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June 28, 2005, the closing sale price of our common stock as reported on the New York Stock Exchange was $76.55 per share.</w:t>
      </w:r>
    </w:p>
    <w:p>
      <w:pPr>
        <w:spacing w:after="0" w:line="105" w:lineRule="exact"/>
        <w:rPr>
          <w:sz w:val="24"/>
          <w:szCs w:val="24"/>
          <w:color w:val="auto"/>
        </w:rPr>
      </w:pPr>
    </w:p>
    <w:p>
      <w:pPr>
        <w:spacing w:after="0"/>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Investing in our common stock involves risks. See “ </w:t>
      </w:r>
      <w:hyperlink w:anchor="page8">
        <w:r>
          <w:rPr>
            <w:rFonts w:ascii="Arial" w:cs="Arial" w:eastAsia="Arial" w:hAnsi="Arial"/>
            <w:sz w:val="21"/>
            <w:szCs w:val="21"/>
            <w:i w:val="1"/>
            <w:iCs w:val="1"/>
            <w:u w:val="single" w:color="auto"/>
            <w:color w:val="0000EE"/>
          </w:rPr>
          <w:t>Risk Factors</w:t>
        </w:r>
      </w:hyperlink>
      <w:r>
        <w:rPr>
          <w:rFonts w:ascii="Arial" w:cs="Arial" w:eastAsia="Arial" w:hAnsi="Arial"/>
          <w:sz w:val="21"/>
          <w:szCs w:val="21"/>
          <w:i w:val="1"/>
          <w:iCs w:val="1"/>
          <w:color w:val="auto"/>
        </w:rPr>
        <w:t>” beginning on page 1 of the accompanying prospectus.</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85"/>
              </w:rPr>
              <w:t>Per Share</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113,415,523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Underwriting discount and commissions</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stockholders</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112,592,587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right="520"/>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Lehman Brothers expects to deliver the shares on or about July 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pacing w:after="0" w:line="165" w:lineRule="exact"/>
        <w:rPr>
          <w:sz w:val="24"/>
          <w:szCs w:val="24"/>
          <w:color w:val="auto"/>
        </w:rPr>
      </w:pPr>
    </w:p>
    <w:p>
      <w:pPr>
        <w:spacing w:after="0"/>
        <w:rPr>
          <w:sz w:val="20"/>
          <w:szCs w:val="20"/>
          <w:color w:val="auto"/>
        </w:rPr>
      </w:pPr>
      <w:r>
        <w:rPr>
          <w:rFonts w:ascii="Arial" w:cs="Arial" w:eastAsia="Arial" w:hAnsi="Arial"/>
          <w:sz w:val="22"/>
          <w:szCs w:val="22"/>
          <w:color w:val="auto"/>
        </w:rPr>
        <w:t>June 28, 2005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is the accompanying prospectus, which gives more general information, some of which may not apply to this offering. If the description of this offering varies between the prospectus supplement and the accompanying prospectus, you should rely on the information in the prospectus supplement.</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authorized anyone to provide you with additional or different information. We are not making an offer of these securities in any jurisdiction where the offer is not permitted. You should not assume that the information we have included in this prospectus supplement or the accompanying prospectus is accurate as of any date other than the date of such document or that any information we have incorporated by reference is accurate as of any date other than the date of the document incorporated by reference. Our business, financial condition, results of operations and prospects may have changed since those date.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tcPr>
          <w:p>
            <w:pPr>
              <w:ind w:left="340"/>
              <w:spacing w:after="0"/>
              <w:rPr>
                <w:sz w:val="20"/>
                <w:szCs w:val="20"/>
                <w:color w:val="auto"/>
              </w:rPr>
            </w:pPr>
            <w:r>
              <w:rPr>
                <w:rFonts w:ascii="Arial" w:cs="Arial" w:eastAsia="Arial" w:hAnsi="Arial"/>
                <w:sz w:val="14"/>
                <w:szCs w:val="14"/>
                <w:b w:val="1"/>
                <w:bCs w:val="1"/>
                <w:color w:val="auto"/>
              </w:rPr>
              <w:t>Prospectus Supplement</w:t>
            </w:r>
          </w:p>
        </w:tc>
        <w:tc>
          <w:tcPr>
            <w:tcW w:w="1700" w:type="dxa"/>
            <w:vAlign w:val="bottom"/>
          </w:tcPr>
          <w:p>
            <w:pPr>
              <w:spacing w:after="0"/>
              <w:rPr>
                <w:sz w:val="15"/>
                <w:szCs w:val="15"/>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7"/>
              </w:rPr>
              <w:t>Page</w:t>
            </w: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Prospectus</w:t>
            </w:r>
          </w:p>
        </w:tc>
        <w:tc>
          <w:tcPr>
            <w:tcW w:w="2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77"/>
        </w:trPr>
        <w:tc>
          <w:tcPr>
            <w:tcW w:w="35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Selling Stockholders</w:t>
              </w:r>
            </w:hyperlink>
          </w:p>
        </w:tc>
        <w:tc>
          <w:tcPr>
            <w:tcW w:w="1700" w:type="dxa"/>
            <w:vAlign w:val="bottom"/>
          </w:tcPr>
          <w:p>
            <w:pPr>
              <w:spacing w:after="0"/>
              <w:rPr>
                <w:sz w:val="24"/>
                <w:szCs w:val="24"/>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S-1</w:t>
            </w:r>
          </w:p>
        </w:tc>
        <w:tc>
          <w:tcPr>
            <w:tcW w:w="294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Schlumberger Limited</w:t>
              </w:r>
            </w:hyperlink>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Underwriting</w:t>
              </w:r>
            </w:hyperlink>
          </w:p>
        </w:tc>
        <w:tc>
          <w:tcPr>
            <w:tcW w:w="500" w:type="dxa"/>
            <w:vAlign w:val="bottom"/>
            <w:tcBorders>
              <w:top w:val="single" w:sz="8" w:color="0000EE"/>
            </w:tcBorders>
          </w:tcPr>
          <w:p>
            <w:pPr>
              <w:spacing w:after="0"/>
              <w:rPr>
                <w:sz w:val="17"/>
                <w:szCs w:val="17"/>
                <w:color w:val="auto"/>
              </w:rPr>
            </w:pPr>
          </w:p>
        </w:tc>
        <w:tc>
          <w:tcPr>
            <w:tcW w:w="2080" w:type="dxa"/>
            <w:vAlign w:val="bottom"/>
            <w:gridSpan w:val="2"/>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w w:val="92"/>
              </w:rPr>
              <w:t>S-2</w:t>
            </w: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Risk Factors</w:t>
              </w:r>
            </w:hyperlink>
          </w:p>
        </w:tc>
        <w:tc>
          <w:tcPr>
            <w:tcW w:w="700" w:type="dxa"/>
            <w:vAlign w:val="bottom"/>
            <w:tcBorders>
              <w:top w:val="single" w:sz="8" w:color="0000EE"/>
            </w:tcBorders>
            <w:gridSpan w:val="5"/>
          </w:tcPr>
          <w:p>
            <w:pPr>
              <w:spacing w:after="0"/>
              <w:rPr>
                <w:sz w:val="17"/>
                <w:szCs w:val="17"/>
                <w:color w:val="auto"/>
              </w:rPr>
            </w:pPr>
          </w:p>
        </w:tc>
        <w:tc>
          <w:tcPr>
            <w:tcW w:w="1360" w:type="dxa"/>
            <w:vAlign w:val="bottom"/>
            <w:gridSpan w:val="5"/>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Forward-Looking Statements</w:t>
              </w:r>
            </w:hyperlink>
          </w:p>
        </w:tc>
        <w:tc>
          <w:tcPr>
            <w:tcW w:w="880" w:type="dxa"/>
            <w:vAlign w:val="bottom"/>
            <w:gridSpan w:val="3"/>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Use of Proceeds</w:t>
              </w:r>
            </w:hyperlink>
          </w:p>
        </w:tc>
        <w:tc>
          <w:tcPr>
            <w:tcW w:w="1800" w:type="dxa"/>
            <w:vAlign w:val="bottom"/>
            <w:gridSpan w:val="8"/>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Plan of Distribution</w:t>
              </w:r>
            </w:hyperlink>
          </w:p>
        </w:tc>
        <w:tc>
          <w:tcPr>
            <w:tcW w:w="1500" w:type="dxa"/>
            <w:vAlign w:val="bottom"/>
            <w:gridSpan w:val="6"/>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Common Stock</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Legal Matters</w:t>
              </w:r>
            </w:hyperlink>
          </w:p>
        </w:tc>
        <w:tc>
          <w:tcPr>
            <w:tcW w:w="1160" w:type="dxa"/>
            <w:vAlign w:val="bottom"/>
            <w:tcBorders>
              <w:top w:val="single" w:sz="8" w:color="0000EE"/>
            </w:tcBorders>
            <w:gridSpan w:val="7"/>
          </w:tcPr>
          <w:p>
            <w:pPr>
              <w:spacing w:after="0"/>
              <w:rPr>
                <w:sz w:val="17"/>
                <w:szCs w:val="17"/>
                <w:color w:val="auto"/>
              </w:rPr>
            </w:pPr>
          </w:p>
        </w:tc>
        <w:tc>
          <w:tcPr>
            <w:tcW w:w="800" w:type="dxa"/>
            <w:vAlign w:val="bottom"/>
            <w:gridSpan w:val="2"/>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Where You Can Find More Information</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named below as of the date of this prospectus supplement and the number of shares of our common stock offered hereby by each such selling stockholder. Certain selling stockholders named in the accompanying prospectus are not selling their shares in this offering. No selling stockholder named in the table below owns more than 1% of our outstanding common stock before the offering. Such selling stockholders will not own any shares of our common stock immediately after the closing of this offering.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7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85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the Offering(1)</w:t>
            </w:r>
          </w:p>
        </w:tc>
        <w:tc>
          <w:tcPr>
            <w:tcW w:w="780" w:type="dxa"/>
            <w:vAlign w:val="bottom"/>
          </w:tcPr>
          <w:p>
            <w:pPr>
              <w:spacing w:after="0"/>
              <w:rPr>
                <w:sz w:val="15"/>
                <w:szCs w:val="15"/>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Offered Hereby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Vladimir Stenin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Alexander Sizov</w:t>
            </w:r>
          </w:p>
        </w:tc>
        <w:tc>
          <w:tcPr>
            <w:tcW w:w="1060" w:type="dxa"/>
            <w:vAlign w:val="bottom"/>
          </w:tcPr>
          <w:p>
            <w:pPr>
              <w:jc w:val="right"/>
              <w:spacing w:after="0"/>
              <w:rPr>
                <w:sz w:val="20"/>
                <w:szCs w:val="20"/>
                <w:color w:val="auto"/>
              </w:rPr>
            </w:pPr>
            <w:r>
              <w:rPr>
                <w:rFonts w:ascii="Arial" w:cs="Arial" w:eastAsia="Arial" w:hAnsi="Arial"/>
                <w:sz w:val="18"/>
                <w:szCs w:val="18"/>
                <w:color w:val="auto"/>
              </w:rPr>
              <w:t>138,345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Andrei Niziev</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Murat Sampiev</w:t>
            </w:r>
          </w:p>
        </w:tc>
        <w:tc>
          <w:tcPr>
            <w:tcW w:w="1060" w:type="dxa"/>
            <w:vAlign w:val="bottom"/>
          </w:tcPr>
          <w:p>
            <w:pPr>
              <w:jc w:val="right"/>
              <w:spacing w:after="0"/>
              <w:rPr>
                <w:sz w:val="20"/>
                <w:szCs w:val="20"/>
                <w:color w:val="auto"/>
              </w:rPr>
            </w:pPr>
            <w:r>
              <w:rPr>
                <w:rFonts w:ascii="Arial" w:cs="Arial" w:eastAsia="Arial" w:hAnsi="Arial"/>
                <w:sz w:val="18"/>
                <w:szCs w:val="18"/>
                <w:color w:val="auto"/>
              </w:rPr>
              <w:t>106,901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Yulievich Djaparidze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235,829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Marjoram Limited</w:t>
            </w:r>
          </w:p>
        </w:tc>
        <w:tc>
          <w:tcPr>
            <w:tcW w:w="1060" w:type="dxa"/>
            <w:vAlign w:val="bottom"/>
          </w:tcPr>
          <w:p>
            <w:pPr>
              <w:jc w:val="right"/>
              <w:spacing w:after="0"/>
              <w:rPr>
                <w:sz w:val="20"/>
                <w:szCs w:val="20"/>
                <w:color w:val="auto"/>
              </w:rPr>
            </w:pPr>
            <w:r>
              <w:rPr>
                <w:rFonts w:ascii="Arial" w:cs="Arial" w:eastAsia="Arial" w:hAnsi="Arial"/>
                <w:sz w:val="18"/>
                <w:szCs w:val="18"/>
                <w:color w:val="auto"/>
              </w:rPr>
              <w:t>393,049</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393,049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PetroAlliance Stock Incentive Plan Limited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Martin Hansen</w:t>
            </w:r>
          </w:p>
        </w:tc>
        <w:tc>
          <w:tcPr>
            <w:tcW w:w="1060" w:type="dxa"/>
            <w:vAlign w:val="bottom"/>
          </w:tcPr>
          <w:p>
            <w:pPr>
              <w:jc w:val="right"/>
              <w:spacing w:after="0"/>
              <w:rPr>
                <w:sz w:val="20"/>
                <w:szCs w:val="20"/>
                <w:color w:val="auto"/>
              </w:rPr>
            </w:pPr>
            <w:r>
              <w:rPr>
                <w:rFonts w:ascii="Arial" w:cs="Arial" w:eastAsia="Arial" w:hAnsi="Arial"/>
                <w:sz w:val="18"/>
                <w:szCs w:val="18"/>
                <w:color w:val="auto"/>
              </w:rPr>
              <w:t>31,443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PetroAlliance Directors, Officers and Employees Benefits Plan Limited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Glen Bird</w:t>
            </w:r>
          </w:p>
        </w:tc>
        <w:tc>
          <w:tcPr>
            <w:tcW w:w="1060" w:type="dxa"/>
            <w:vAlign w:val="bottom"/>
          </w:tcPr>
          <w:p>
            <w:pPr>
              <w:jc w:val="right"/>
              <w:spacing w:after="0"/>
              <w:rPr>
                <w:sz w:val="20"/>
                <w:szCs w:val="20"/>
                <w:color w:val="auto"/>
              </w:rPr>
            </w:pPr>
            <w:r>
              <w:rPr>
                <w:rFonts w:ascii="Arial" w:cs="Arial" w:eastAsia="Arial" w:hAnsi="Arial"/>
                <w:sz w:val="18"/>
                <w:szCs w:val="18"/>
                <w:color w:val="auto"/>
              </w:rPr>
              <w:t>7,861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V. Gavura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Thomas A. Russell</w:t>
            </w:r>
          </w:p>
        </w:tc>
        <w:tc>
          <w:tcPr>
            <w:tcW w:w="1060" w:type="dxa"/>
            <w:vAlign w:val="bottom"/>
          </w:tcPr>
          <w:p>
            <w:pPr>
              <w:jc w:val="right"/>
              <w:spacing w:after="0"/>
              <w:rPr>
                <w:sz w:val="20"/>
                <w:szCs w:val="20"/>
                <w:color w:val="auto"/>
              </w:rPr>
            </w:pPr>
            <w:r>
              <w:rPr>
                <w:rFonts w:ascii="Arial" w:cs="Arial" w:eastAsia="Arial" w:hAnsi="Arial"/>
                <w:sz w:val="18"/>
                <w:szCs w:val="18"/>
                <w:color w:val="auto"/>
              </w:rPr>
              <w:t>78,610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78,610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A. Vaigel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Vadim E. Usakovsky</w:t>
            </w:r>
          </w:p>
        </w:tc>
        <w:tc>
          <w:tcPr>
            <w:tcW w:w="1060" w:type="dxa"/>
            <w:vAlign w:val="bottom"/>
          </w:tcPr>
          <w:p>
            <w:pPr>
              <w:jc w:val="right"/>
              <w:spacing w:after="0"/>
              <w:rPr>
                <w:sz w:val="20"/>
                <w:szCs w:val="20"/>
                <w:color w:val="auto"/>
              </w:rPr>
            </w:pPr>
            <w:r>
              <w:rPr>
                <w:rFonts w:ascii="Arial" w:cs="Arial" w:eastAsia="Arial" w:hAnsi="Arial"/>
                <w:sz w:val="18"/>
                <w:szCs w:val="18"/>
                <w:color w:val="auto"/>
              </w:rPr>
              <w:t>35,374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Vladimir V. Metlin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Igor N. Kerysov</w:t>
            </w:r>
          </w:p>
        </w:tc>
        <w:tc>
          <w:tcPr>
            <w:tcW w:w="1060" w:type="dxa"/>
            <w:vAlign w:val="bottom"/>
          </w:tcPr>
          <w:p>
            <w:pPr>
              <w:jc w:val="right"/>
              <w:spacing w:after="0"/>
              <w:rPr>
                <w:sz w:val="20"/>
                <w:szCs w:val="20"/>
                <w:color w:val="auto"/>
              </w:rPr>
            </w:pPr>
            <w:r>
              <w:rPr>
                <w:rFonts w:ascii="Arial" w:cs="Arial" w:eastAsia="Arial" w:hAnsi="Arial"/>
                <w:sz w:val="18"/>
                <w:szCs w:val="18"/>
                <w:color w:val="auto"/>
              </w:rPr>
              <w:t>3,153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Vassili Kyvelidi</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Isa Sharaputtinovich Shabanov</w:t>
            </w:r>
          </w:p>
        </w:tc>
        <w:tc>
          <w:tcPr>
            <w:tcW w:w="1060" w:type="dxa"/>
            <w:vAlign w:val="bottom"/>
          </w:tcPr>
          <w:p>
            <w:pPr>
              <w:jc w:val="right"/>
              <w:spacing w:after="0"/>
              <w:rPr>
                <w:sz w:val="20"/>
                <w:szCs w:val="20"/>
                <w:color w:val="auto"/>
              </w:rPr>
            </w:pPr>
            <w:r>
              <w:rPr>
                <w:rFonts w:ascii="Arial" w:cs="Arial" w:eastAsia="Arial" w:hAnsi="Arial"/>
                <w:sz w:val="18"/>
                <w:szCs w:val="18"/>
                <w:color w:val="auto"/>
              </w:rPr>
              <w:t>15,722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Efraim Dory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1,496,247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-172720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180" w:hanging="452"/>
        <w:spacing w:after="0" w:line="318"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and generally includes voting or investment power with respect to securities. Shares of common stock subject to securities exercisable or convertible into shares of common stock that are currently exercisable or exercisable within 60 days of June 15, 2005,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8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Each of the selling stockholders is a current or former security holder of PetroAlliance Services Company Limited immediately prior to our acquisition of interests in PetroAlliance Services Company Limited. Except as set forth above, none of the selling stockholders has, or within the past three years has had, any position, office or other material relationship with us or, insofar as we are aware, any of our predecessors or affiliates.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terms of a purchase agreement, which we will file as an exhibit to a current report on Form 8-K and incorporate by reference in the prospectus, Lehman Brothers Inc. has agreed to purchase from the selling stockholders 1,496,247 shares of our common stock.</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purchase agreement provides that the underwriter is obligated to purchase all of the shares of common stock offered hereby, if any of the shares are purchased. However, the underwriter’s obligation to purchase shares of common stock depends on the satisfaction of the conditions contained in the purchase agreement including:</w:t>
      </w:r>
    </w:p>
    <w:p>
      <w:pPr>
        <w:spacing w:after="0" w:line="4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stockholders to the underwriter are true;</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event or occurrence that would reasonably be expected to have a material adverse effect on our financial condition, business, results of operation or prospects;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material change in the financial markets;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and the selling stockholders deliver customary closing documents to the underwriter.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summarizes the underwriting discounts and commissions the selling stockholders will pay to the underwriter. The underwriting fee is the difference between the initial price to the public and the amount the underwriter pays to the selling stockholders for the shares.</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r>
      <w:tr>
        <w:trPr>
          <w:trHeight w:val="3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822,936</w:t>
            </w:r>
          </w:p>
        </w:tc>
        <w:tc>
          <w:tcPr>
            <w:tcW w:w="20" w:type="dxa"/>
            <w:vAlign w:val="bottom"/>
          </w:tcPr>
          <w:p>
            <w:pPr>
              <w:spacing w:after="0"/>
              <w:rPr>
                <w:sz w:val="24"/>
                <w:szCs w:val="24"/>
                <w:color w:val="auto"/>
              </w:rPr>
            </w:pPr>
          </w:p>
        </w:tc>
      </w:tr>
      <w:tr>
        <w:trPr>
          <w:trHeight w:val="134"/>
        </w:trPr>
        <w:tc>
          <w:tcPr>
            <w:tcW w:w="7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 has advised us that it proposes to offer the shares of common stock directly to the public at the public offering price on the cover of this prospectus supplement and to selected dealers, which may include the underwriter, at such offering price less a selling concession not in excess of $0.05 per share. After the offering, the underwriter may change the offering price and other selling terms.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expenses of the offering that are payable by us are estimated to be $100,000 (exclusive of underwriting discounts and commissions). All underwriting discounts and commissions will be paid by the selling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 against certain liabilities, including liabilities under the Securities Act, and to contribute to payments that the underwriter may be required to make for these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83"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color w:val="auto"/>
        </w:rPr>
        <w:t>The underwriter may engage in stabilizing transactions, short sales and purchases to cover positions created by short sales, or purchases for the purpose of pegging, fixing or maintaining the price of the common stock, in accordance with Regulation M under the Exchange Act:</w:t>
      </w:r>
    </w:p>
    <w:p>
      <w:pPr>
        <w:spacing w:after="0" w:line="1"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26" w:lineRule="exact"/>
        <w:rPr>
          <w:rFonts w:ascii="Arial" w:cs="Arial" w:eastAsia="Arial" w:hAnsi="Arial"/>
          <w:sz w:val="16"/>
          <w:szCs w:val="16"/>
          <w:color w:val="auto"/>
        </w:rPr>
      </w:pPr>
    </w:p>
    <w:p>
      <w:pPr>
        <w:jc w:val="both"/>
        <w:ind w:left="78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 of shares in excess of the number of shares the underwriter is obligated to purchase in the offering, which creates the short position. This short position may be either a covered short position or a naked short position. Because the underwriter does not have an option to purchase additional shares from us or the selling stockholders, any short position will be a naked short position. The underwriter will close out any short position by purchasing shares in the open market.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These stabilizing transactions and covering transactions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NYSE or otherwise and, if commenced, may be discontinued at any time.</w:t>
      </w:r>
    </w:p>
    <w:p>
      <w:pPr>
        <w:spacing w:after="0" w:line="9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Neither we nor the underwriter make any representation or prediction as to the direction or magnitude of any effect that the transactions described above may have on the price of the common stock. In addition, neither we nor the underwriter make any representation that the underwriter will engage in these stabilizing transactions or that any transaction, once commenced, will not be discontinued without notice.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the underwriter or by its affiliates. In those cases, prospective investors may view offering terms online and, depending upon the particular underwriter,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w:t>
      </w:r>
    </w:p>
    <w:p>
      <w:pPr>
        <w:spacing w:after="0" w:line="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than the prospectus in electronic format, the information on the underwriter’s website and any information contained in any other website maintained by the underwriter is not part of the prospectus or the registration statement of which the prospectus forms a part, has not been approved and/or endorsed by us or the underwriter in its capacity as underwriter and should not be relied upon by 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purchase shares of common stock offered in the prospectus, you may be required to pay stamp taxes and other charges under the laws and practices of the country of purchase, in addition to the offering price listed on the cover page of the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From time to time, Lehman Brothers Inc. and its affiliates have, directly or indirectly, provided investment and commercial banking or financial advisory services to us or our affiliates, for which they have received customary fees and commissions, and expect to provide these services to us and our affiliates in the future, for which they expect to receive customary fees and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EquiServe Trust Company, N.A., Canton, Massachusetts.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1,540,750 Shares</w:t>
      </w:r>
    </w:p>
    <w:p>
      <w:pPr>
        <w:spacing w:after="0" w:line="145"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657225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125095</wp:posOffset>
            </wp:positionV>
            <wp:extent cx="1620520"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1,540,750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June 14, 2005, the closing sale price of our common stock as reported on the New York Stock Exchange was $73.75 per share.</w:t>
      </w:r>
    </w:p>
    <w:p>
      <w:pPr>
        <w:spacing w:after="0" w:line="105" w:lineRule="exact"/>
        <w:rPr>
          <w:sz w:val="20"/>
          <w:szCs w:val="20"/>
          <w:color w:val="auto"/>
        </w:rPr>
      </w:pPr>
    </w:p>
    <w:p>
      <w:pPr>
        <w:ind w:left="580"/>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Investing in our common stock involves risk. Please read “ </w:t>
      </w:r>
      <w:hyperlink w:anchor="page8">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June 17, 2005.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0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22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SCHLUMBERGER LIMITED</w:t>
              </w:r>
            </w:hyperlink>
          </w:p>
        </w:tc>
        <w:tc>
          <w:tcPr>
            <w:tcW w:w="1520" w:type="dxa"/>
            <w:vAlign w:val="bottom"/>
            <w:gridSpan w:val="3"/>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FORWARD-LOOKING STATEMENTS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860" w:type="dxa"/>
            <w:vAlign w:val="bottom"/>
            <w:gridSpan w:val="2"/>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560" w:type="dxa"/>
            <w:vAlign w:val="bottom"/>
            <w:gridSpan w:val="4"/>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COMMON STOCK</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840" w:type="dxa"/>
            <w:vAlign w:val="bottom"/>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2300" w:type="dxa"/>
            <w:vAlign w:val="bottom"/>
            <w:gridSpan w:val="7"/>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WHERE YOU CAN FIND MORE INFORMATION</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Founded in 1927, we are the world’s leading oilfield services company, supplying technology, project management, and information solutions that optimize performance in the oil and gas industry. As of December 31, 2004, we employed more than 52,000 people of over 140 nationalities operating in more than 80 countries. We have two business segments:</w:t>
      </w:r>
    </w:p>
    <w:p>
      <w:pPr>
        <w:spacing w:after="0" w:line="46" w:lineRule="exact"/>
        <w:rPr>
          <w:sz w:val="20"/>
          <w:szCs w:val="20"/>
          <w:color w:val="auto"/>
        </w:rPr>
      </w:pPr>
    </w:p>
    <w:p>
      <w:pPr>
        <w:ind w:left="780" w:right="2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Oilfield Services is the world’s premier oilfield services company supplying a wide range of technology services and solutions to the international oil and gas industry.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WesternGeco, jointly owned with Baker Hughes, is one of the world’s largest and most advanced surface seismic companies.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are incorporated under the laws of the Netherlands Antilles. The mailing addresses and telephone numbers of our principal executive offices are:</w:t>
      </w:r>
    </w:p>
    <w:p>
      <w:pPr>
        <w:spacing w:after="0" w:line="10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153 East 53rd Street, 57th Floor, New York, New York, 10022-4624, 212-350-9400;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42 Rue Saint-Dominique, Paris, France, 75007, 33-1-4062-1000;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Parkstraat 83, The Hague, The Netherlands 2514 JG, 31-70-310-5400.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93"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non-US operations accounted for approximately 68% of our consolidated revenues in 2004 and 70% of our consolidated revenues in 2003.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Libya and Cuba, which are subject to trade, economic sanctions or other restrictions imposed by the US government.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31"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costs or become the basis of new or increased liabilities that could reduce our earnings and our cash available for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Many of our oilfield products,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18"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growth as a whole and growth for each of Oilfield Services and WesternGeco;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customers’ business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and capital expenditures by us and the oil and gas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depreciation and amortization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funding of pension plans and related pension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results of operations and/or financial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effective tax rates;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“anticipate”;</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rPr>
              <w:t>“estimate”;</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“may”;</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“project”;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“believe”;</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rPr>
              <w:t>“expect”;</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“might”;</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“shall”;</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“budget”;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rPr>
              <w:t>“forecast”;</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“plan”;</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“should”; and</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tcPr>
          <w:p>
            <w:pPr>
              <w:ind w:left="140"/>
              <w:spacing w:after="0"/>
              <w:rPr>
                <w:sz w:val="20"/>
                <w:szCs w:val="20"/>
                <w:color w:val="auto"/>
              </w:rPr>
            </w:pPr>
            <w:r>
              <w:rPr>
                <w:rFonts w:ascii="Arial" w:cs="Arial" w:eastAsia="Arial" w:hAnsi="Arial"/>
                <w:sz w:val="18"/>
                <w:szCs w:val="18"/>
                <w:color w:val="auto"/>
              </w:rPr>
              <w:t>“could”;</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1740" w:type="dxa"/>
            <w:vAlign w:val="bottom"/>
          </w:tcPr>
          <w:p>
            <w:pPr>
              <w:ind w:left="140"/>
              <w:spacing w:after="0"/>
              <w:rPr>
                <w:sz w:val="20"/>
                <w:szCs w:val="20"/>
                <w:color w:val="auto"/>
              </w:rPr>
            </w:pPr>
            <w:r>
              <w:rPr>
                <w:rFonts w:ascii="Arial" w:cs="Arial" w:eastAsia="Arial" w:hAnsi="Arial"/>
                <w:sz w:val="18"/>
                <w:szCs w:val="18"/>
                <w:color w:val="auto"/>
              </w:rPr>
              <w:t>“intend”;</w:t>
            </w:r>
          </w:p>
        </w:tc>
        <w:tc>
          <w:tcPr>
            <w:tcW w:w="1000" w:type="dxa"/>
            <w:vAlign w:val="bottom"/>
          </w:tcPr>
          <w:p>
            <w:pPr>
              <w:ind w:left="820"/>
              <w:spacing w:after="0"/>
              <w:rPr>
                <w:sz w:val="20"/>
                <w:szCs w:val="20"/>
                <w:color w:val="auto"/>
              </w:rPr>
            </w:pPr>
            <w:r>
              <w:rPr>
                <w:rFonts w:ascii="Arial" w:cs="Arial" w:eastAsia="Arial" w:hAnsi="Arial"/>
                <w:sz w:val="18"/>
                <w:szCs w:val="18"/>
                <w:color w:val="auto"/>
              </w:rPr>
              <w:t>•</w:t>
            </w:r>
          </w:p>
        </w:tc>
        <w:tc>
          <w:tcPr>
            <w:tcW w:w="1680" w:type="dxa"/>
            <w:vAlign w:val="bottom"/>
          </w:tcPr>
          <w:p>
            <w:pPr>
              <w:ind w:left="140"/>
              <w:spacing w:after="0"/>
              <w:rPr>
                <w:sz w:val="20"/>
                <w:szCs w:val="20"/>
                <w:color w:val="auto"/>
              </w:rPr>
            </w:pPr>
            <w:r>
              <w:rPr>
                <w:rFonts w:ascii="Arial" w:cs="Arial" w:eastAsia="Arial" w:hAnsi="Arial"/>
                <w:sz w:val="18"/>
                <w:szCs w:val="18"/>
                <w:color w:val="auto"/>
              </w:rPr>
              <w:t>“predict”;</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“will.”</w:t>
            </w:r>
          </w:p>
        </w:tc>
      </w:tr>
    </w:tbl>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“Business” sections of our Annual Report on Form 10-K for the fiscal year ended December 31, 2004, and in our subsequent filings with the Securities and Exchange Commission (“SEC”).</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1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 of</w:t>
            </w:r>
          </w:p>
        </w:tc>
        <w:tc>
          <w:tcPr>
            <w:tcW w:w="8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8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 Owned(1)</w:t>
            </w:r>
          </w:p>
        </w:tc>
        <w:tc>
          <w:tcPr>
            <w:tcW w:w="86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be Offered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Janak Kumar Basnet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Glen Bird</w:t>
            </w:r>
          </w:p>
        </w:tc>
        <w:tc>
          <w:tcPr>
            <w:tcW w:w="1280" w:type="dxa"/>
            <w:vAlign w:val="bottom"/>
          </w:tcPr>
          <w:p>
            <w:pPr>
              <w:jc w:val="right"/>
              <w:spacing w:after="0"/>
              <w:rPr>
                <w:sz w:val="20"/>
                <w:szCs w:val="20"/>
                <w:color w:val="auto"/>
              </w:rPr>
            </w:pPr>
            <w:r>
              <w:rPr>
                <w:rFonts w:ascii="Arial" w:cs="Arial" w:eastAsia="Arial" w:hAnsi="Arial"/>
                <w:sz w:val="18"/>
                <w:szCs w:val="18"/>
                <w:color w:val="auto"/>
              </w:rPr>
              <w:t>7,861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Majoram Limited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393,049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Alexander Yulievich Djaparidze</w:t>
            </w:r>
          </w:p>
        </w:tc>
        <w:tc>
          <w:tcPr>
            <w:tcW w:w="1280" w:type="dxa"/>
            <w:vAlign w:val="bottom"/>
          </w:tcPr>
          <w:p>
            <w:pPr>
              <w:jc w:val="right"/>
              <w:spacing w:after="0"/>
              <w:rPr>
                <w:sz w:val="20"/>
                <w:szCs w:val="20"/>
                <w:color w:val="auto"/>
              </w:rPr>
            </w:pPr>
            <w:r>
              <w:rPr>
                <w:rFonts w:ascii="Arial" w:cs="Arial" w:eastAsia="Arial" w:hAnsi="Arial"/>
                <w:sz w:val="18"/>
                <w:szCs w:val="18"/>
                <w:color w:val="auto"/>
              </w:rPr>
              <w:t>235,829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Efraim Dory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Alexander V. Gavura</w:t>
            </w:r>
          </w:p>
        </w:tc>
        <w:tc>
          <w:tcPr>
            <w:tcW w:w="1280" w:type="dxa"/>
            <w:vAlign w:val="bottom"/>
          </w:tcPr>
          <w:p>
            <w:pPr>
              <w:jc w:val="right"/>
              <w:spacing w:after="0"/>
              <w:rPr>
                <w:sz w:val="20"/>
                <w:szCs w:val="20"/>
                <w:color w:val="auto"/>
              </w:rPr>
            </w:pPr>
            <w:r>
              <w:rPr>
                <w:rFonts w:ascii="Arial" w:cs="Arial" w:eastAsia="Arial" w:hAnsi="Arial"/>
                <w:sz w:val="18"/>
                <w:szCs w:val="18"/>
                <w:color w:val="auto"/>
              </w:rPr>
              <w:t>2,374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Hansen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Douglas Thompson</w:t>
            </w:r>
          </w:p>
        </w:tc>
        <w:tc>
          <w:tcPr>
            <w:tcW w:w="1280" w:type="dxa"/>
            <w:vAlign w:val="bottom"/>
          </w:tcPr>
          <w:p>
            <w:pPr>
              <w:jc w:val="right"/>
              <w:spacing w:after="0"/>
              <w:rPr>
                <w:sz w:val="20"/>
                <w:szCs w:val="20"/>
                <w:color w:val="auto"/>
              </w:rPr>
            </w:pPr>
            <w:r>
              <w:rPr>
                <w:rFonts w:ascii="Arial" w:cs="Arial" w:eastAsia="Arial" w:hAnsi="Arial"/>
                <w:sz w:val="18"/>
                <w:szCs w:val="18"/>
                <w:color w:val="auto"/>
              </w:rPr>
              <w:t>1,556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Igor N. Kerysov</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Vassili Kyvelidi</w:t>
            </w:r>
          </w:p>
        </w:tc>
        <w:tc>
          <w:tcPr>
            <w:tcW w:w="1280" w:type="dxa"/>
            <w:vAlign w:val="bottom"/>
          </w:tcPr>
          <w:p>
            <w:pPr>
              <w:jc w:val="right"/>
              <w:spacing w:after="0"/>
              <w:rPr>
                <w:sz w:val="20"/>
                <w:szCs w:val="20"/>
                <w:color w:val="auto"/>
              </w:rPr>
            </w:pPr>
            <w:r>
              <w:rPr>
                <w:rFonts w:ascii="Arial" w:cs="Arial" w:eastAsia="Arial" w:hAnsi="Arial"/>
                <w:sz w:val="18"/>
                <w:szCs w:val="18"/>
                <w:color w:val="auto"/>
              </w:rPr>
              <w:t>31,443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Vladimir V. Metlin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Andrei Niziev</w:t>
            </w:r>
          </w:p>
        </w:tc>
        <w:tc>
          <w:tcPr>
            <w:tcW w:w="1280" w:type="dxa"/>
            <w:vAlign w:val="bottom"/>
          </w:tcPr>
          <w:p>
            <w:pPr>
              <w:jc w:val="right"/>
              <w:spacing w:after="0"/>
              <w:rPr>
                <w:sz w:val="20"/>
                <w:szCs w:val="20"/>
                <w:color w:val="auto"/>
              </w:rPr>
            </w:pPr>
            <w:r>
              <w:rPr>
                <w:rFonts w:ascii="Arial" w:cs="Arial" w:eastAsia="Arial" w:hAnsi="Arial"/>
                <w:sz w:val="18"/>
                <w:szCs w:val="18"/>
                <w:color w:val="auto"/>
              </w:rPr>
              <w:t>138,345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PetroAlliance Directors, Officers and Employees Benefits Plan Limited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PetroAlliance Stock Incentive Plan Limited</w:t>
            </w:r>
          </w:p>
        </w:tc>
        <w:tc>
          <w:tcPr>
            <w:tcW w:w="1280" w:type="dxa"/>
            <w:vAlign w:val="bottom"/>
          </w:tcPr>
          <w:p>
            <w:pPr>
              <w:jc w:val="right"/>
              <w:spacing w:after="0"/>
              <w:rPr>
                <w:sz w:val="20"/>
                <w:szCs w:val="20"/>
                <w:color w:val="auto"/>
              </w:rPr>
            </w:pPr>
            <w:r>
              <w:rPr>
                <w:rFonts w:ascii="Arial" w:cs="Arial" w:eastAsia="Arial" w:hAnsi="Arial"/>
                <w:sz w:val="18"/>
                <w:szCs w:val="18"/>
                <w:color w:val="auto"/>
              </w:rPr>
              <w:t>177,651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Rice Family Living Trust(2)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Thomas A. Russell</w:t>
            </w:r>
          </w:p>
        </w:tc>
        <w:tc>
          <w:tcPr>
            <w:tcW w:w="1280" w:type="dxa"/>
            <w:vAlign w:val="bottom"/>
          </w:tcPr>
          <w:p>
            <w:pPr>
              <w:jc w:val="right"/>
              <w:spacing w:after="0"/>
              <w:rPr>
                <w:sz w:val="20"/>
                <w:szCs w:val="20"/>
                <w:color w:val="auto"/>
              </w:rPr>
            </w:pPr>
            <w:r>
              <w:rPr>
                <w:rFonts w:ascii="Arial" w:cs="Arial" w:eastAsia="Arial" w:hAnsi="Arial"/>
                <w:sz w:val="18"/>
                <w:szCs w:val="18"/>
                <w:color w:val="auto"/>
              </w:rPr>
              <w:t>78,610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78,610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Murat Sampiev</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Isa Sharaputtinovich Shabanov</w:t>
            </w:r>
          </w:p>
        </w:tc>
        <w:tc>
          <w:tcPr>
            <w:tcW w:w="1280" w:type="dxa"/>
            <w:vAlign w:val="bottom"/>
          </w:tcPr>
          <w:p>
            <w:pPr>
              <w:jc w:val="right"/>
              <w:spacing w:after="0"/>
              <w:rPr>
                <w:sz w:val="20"/>
                <w:szCs w:val="20"/>
                <w:color w:val="auto"/>
              </w:rPr>
            </w:pPr>
            <w:r>
              <w:rPr>
                <w:rFonts w:ascii="Arial" w:cs="Arial" w:eastAsia="Arial" w:hAnsi="Arial"/>
                <w:sz w:val="18"/>
                <w:szCs w:val="18"/>
                <w:color w:val="auto"/>
              </w:rPr>
              <w:t>15,722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Sizov</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Vladimir Stenin</w:t>
            </w:r>
          </w:p>
        </w:tc>
        <w:tc>
          <w:tcPr>
            <w:tcW w:w="1280" w:type="dxa"/>
            <w:vAlign w:val="bottom"/>
          </w:tcPr>
          <w:p>
            <w:pPr>
              <w:jc w:val="right"/>
              <w:spacing w:after="0"/>
              <w:rPr>
                <w:sz w:val="20"/>
                <w:szCs w:val="20"/>
                <w:color w:val="auto"/>
              </w:rPr>
            </w:pPr>
            <w:r>
              <w:rPr>
                <w:rFonts w:ascii="Arial" w:cs="Arial" w:eastAsia="Arial" w:hAnsi="Arial"/>
                <w:sz w:val="18"/>
                <w:szCs w:val="18"/>
                <w:color w:val="auto"/>
              </w:rPr>
              <w:t>28,292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28,292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A. Vaigel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Vadim E. Usakovsky</w:t>
            </w:r>
          </w:p>
        </w:tc>
        <w:tc>
          <w:tcPr>
            <w:tcW w:w="1280" w:type="dxa"/>
            <w:vAlign w:val="bottom"/>
          </w:tcPr>
          <w:p>
            <w:pPr>
              <w:jc w:val="right"/>
              <w:spacing w:after="0"/>
              <w:rPr>
                <w:sz w:val="20"/>
                <w:szCs w:val="20"/>
                <w:color w:val="auto"/>
              </w:rPr>
            </w:pPr>
            <w:r>
              <w:rPr>
                <w:rFonts w:ascii="Arial" w:cs="Arial" w:eastAsia="Arial" w:hAnsi="Arial"/>
                <w:sz w:val="18"/>
                <w:szCs w:val="18"/>
                <w:color w:val="auto"/>
              </w:rPr>
              <w:t>35,374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35,374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1,540,750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-172720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June 15, 2005,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21"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William Rice and Karen Rice serve as trustees of The Rice Family Living Trust and they share investment and voting power with respect to the shares of our common stock beneficially owned by The Rice Family Living Trust.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of the selling stockholders is a current or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by Selling Stockholders</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2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Sale Transactions</w:t>
      </w:r>
    </w:p>
    <w:p>
      <w:pPr>
        <w:spacing w:after="0" w:line="7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1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New York Stock Exchange or any other securities exchange that quotes the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transactions other than on those exchanges or in the over-the-counter market (including negotiated transactions and other private transactions);</w:t>
      </w:r>
    </w:p>
    <w:p>
      <w:pPr>
        <w:spacing w:after="0" w:line="126"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put or call options, including the writing of exchange-traded call options, or other hedging transactions related to the common stock;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 combination of any of the above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stockholders may enter into hedging transactions from time to time in which a selling stockholder may:</w:t>
      </w:r>
    </w:p>
    <w:p>
      <w:pPr>
        <w:spacing w:after="0" w:line="77" w:lineRule="exact"/>
        <w:rPr>
          <w:sz w:val="20"/>
          <w:szCs w:val="20"/>
          <w:color w:val="auto"/>
        </w:rPr>
      </w:pPr>
    </w:p>
    <w:p>
      <w:pPr>
        <w:ind w:left="7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45"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to close out its short positions or to close out stock loans incurred in connection with its short positions;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stockholders may use broker-dealers or other persons to sell their shares in transactions that may include one or more of the following:</w:t>
      </w:r>
    </w:p>
    <w:p>
      <w:pPr>
        <w:spacing w:after="0" w:line="10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block trade in which a broker-dealer or other person may resell a portion of the block, as principal or agent, in order to facilitate the transaction;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security 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3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2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informed the selling stockholders that the anti-manipulation provisions of Regulation M under the Exchange Act may apply to their sales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Delivery Requirements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Supplements; Post-Effective Amendments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our knowledge, there are currently no plans, arrangements or understandings between the selling stockholders and any broker-dealer or agent regarding the sale of common stock by the selling stockholders. To the extent required, the shares of common stock to be sold, the name of the selling stockholders, the respective purchase prices and public offering prices, the names of any agent, dealer or underwriter, and any applicable commissions or discounts with respect to a particular offer will be set forth in an accompanying prospectus supplement filed with the SEC under Rule 424(b) under the Securities Act or, if appropriate, a post-effective amendment to the shelf registration statement of which this prospectus is a part.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agreed to indemnify selling stockholders against certain liabilities arising under the Securities Act from sales of common stock. The selling stockholders may agree to indemnify any agent, broker or dealer that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participates in sales of common stock against liabilities arising under the Securities Act from sales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Registration Statement</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Under the registration rights agreement, we will use our commercially reasonable efforts to keep the registration statement of which this prospectus is a part effective until the earlier of (1) the sale of all of the registrable securities registered under the registration statement; and (2) two years after the date of the second closing at which we acquired interests in PetroAlliance Services Company Limited.</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this Offering</w:t>
      </w:r>
    </w:p>
    <w:p>
      <w:pPr>
        <w:spacing w:after="0" w:line="77"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issue an aggregate of 1,500,000,000 shares of common stock, par value $0.01 per share. As of March 31, 2005, 667,106,015 shares were issued, of which 589,174,503 shares were outstanding and 77,931,512 shares were held by us as treasury stock.</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outstanding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77"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stockholders may be called at any time upon the direction of the chairman, the vice chairman, the chief executive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will be passed upon for us by Ellen Summer, Esq., our General Counsel.</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our website at www.slb.com and at the SEC’s website at www.sec.gov. You may also read and copy any document we file at the SEC’s public reference room at 450 Fifth Street N.W.,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8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13(c), 14 and 15(d) of the Exchange Act after the date of the initial registration statement and prior to the effectiveness of the registration statement:</w:t>
      </w:r>
    </w:p>
    <w:p>
      <w:pPr>
        <w:spacing w:after="0" w:line="2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2004;</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2005;</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1, 2005, April 19, 2005 and April 22, 2005;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with the SEC on April 29, 2005.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7023735" cy="9081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3735" cy="908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379"/>
        <w:spacing w:after="0"/>
        <w:rPr>
          <w:sz w:val="20"/>
          <w:szCs w:val="20"/>
          <w:color w:val="auto"/>
        </w:rPr>
      </w:pPr>
      <w:r>
        <w:rPr>
          <w:rFonts w:ascii="Arial" w:cs="Arial" w:eastAsia="Arial" w:hAnsi="Arial"/>
          <w:sz w:val="32"/>
          <w:szCs w:val="32"/>
          <w:color w:val="auto"/>
        </w:rPr>
        <w:t>1,496,247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113030</wp:posOffset>
            </wp:positionV>
            <wp:extent cx="1620520"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368935"/>
                    </a:xfrm>
                    <a:prstGeom prst="rect">
                      <a:avLst/>
                    </a:prstGeom>
                    <a:noFill/>
                  </pic:spPr>
                </pic:pic>
              </a:graphicData>
            </a:graphic>
          </wp:anchor>
        </w:drawing>
      </w:r>
    </w:p>
    <w:p>
      <w:pPr>
        <w:sectPr>
          <w:pgSz w:w="11900" w:h="16838" w:orient="portrait"/>
          <w:cols w:equalWidth="0" w:num="1">
            <w:col w:w="10219"/>
          </w:cols>
          <w:pgMar w:left="240" w:top="459" w:right="1440" w:bottom="646" w:gutter="0" w:footer="0" w:header="0"/>
        </w:sectPr>
      </w:pPr>
    </w:p>
    <w:bookmarkStart w:id="20" w:name="page21"/>
    <w:bookmarkEnd w:id="20"/>
    <w:p>
      <w:pPr>
        <w:ind w:left="3840"/>
        <w:spacing w:after="0"/>
        <w:rPr>
          <w:sz w:val="20"/>
          <w:szCs w:val="20"/>
          <w:color w:val="auto"/>
        </w:rPr>
      </w:pPr>
      <w:r>
        <w:rPr>
          <w:rFonts w:ascii="Arial" w:cs="Arial" w:eastAsia="Arial" w:hAnsi="Arial"/>
          <w:sz w:val="31"/>
          <w:szCs w:val="3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100330</wp:posOffset>
            </wp:positionV>
            <wp:extent cx="1689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w:t>
      </w:r>
      <w:r>
        <w:rPr>
          <w:rFonts w:ascii="Arial" w:cs="Arial" w:eastAsia="Arial" w:hAnsi="Arial"/>
          <w:sz w:val="16"/>
          <w:szCs w:val="16"/>
          <w:color w:val="auto"/>
        </w:rPr>
        <w:t>ROSPECTUS</w:t>
      </w:r>
      <w:r>
        <w:rPr>
          <w:rFonts w:ascii="Arial" w:cs="Arial" w:eastAsia="Arial" w:hAnsi="Arial"/>
          <w:sz w:val="19"/>
          <w:szCs w:val="19"/>
          <w:color w:val="auto"/>
        </w:rPr>
        <w:t xml:space="preserve"> S</w:t>
      </w:r>
      <w:r>
        <w:rPr>
          <w:rFonts w:ascii="Arial" w:cs="Arial" w:eastAsia="Arial" w:hAnsi="Arial"/>
          <w:sz w:val="16"/>
          <w:szCs w:val="16"/>
          <w:color w:val="auto"/>
        </w:rPr>
        <w:t>UPPLEMENT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71120</wp:posOffset>
            </wp:positionV>
            <wp:extent cx="1689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2879"/>
        <w:spacing w:after="0"/>
        <w:rPr>
          <w:sz w:val="20"/>
          <w:szCs w:val="20"/>
          <w:color w:val="auto"/>
        </w:rPr>
      </w:pPr>
      <w:r>
        <w:rPr>
          <w:rFonts w:ascii="Arial" w:cs="Arial" w:eastAsia="Arial" w:hAnsi="Arial"/>
          <w:sz w:val="32"/>
          <w:szCs w:val="32"/>
          <w:b w:val="1"/>
          <w:bCs w:val="1"/>
          <w:color w:val="auto"/>
        </w:rPr>
        <w:t>Lehman Brothers</w:t>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2019-12-13T06:41:33Z</dcterms:created>
  <dcterms:modified xsi:type="dcterms:W3CDTF">2019-12-13T06:41:33Z</dcterms:modified>
</cp:coreProperties>
</file>