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Deemed filed under Rule 14a-12 under the</w:t>
      </w:r>
    </w:p>
    <w:p>
      <w:pPr>
        <w:spacing w:after="0" w:line="9" w:lineRule="exact"/>
        <w:rPr>
          <w:sz w:val="24"/>
          <w:szCs w:val="24"/>
          <w:color w:val="auto"/>
        </w:rPr>
      </w:pPr>
    </w:p>
    <w:p>
      <w:pPr>
        <w:ind w:left="6920"/>
        <w:spacing w:after="0"/>
        <w:rPr>
          <w:sz w:val="20"/>
          <w:szCs w:val="20"/>
          <w:color w:val="auto"/>
        </w:rPr>
      </w:pPr>
      <w:r>
        <w:rPr>
          <w:rFonts w:ascii="Arial" w:cs="Arial" w:eastAsia="Arial" w:hAnsi="Arial"/>
          <w:sz w:val="16"/>
          <w:szCs w:val="16"/>
          <w:color w:val="auto"/>
        </w:rPr>
        <w:t>Securities Exchange Act of 1934, as amended</w:t>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6"/>
          <w:szCs w:val="16"/>
          <w:color w:val="auto"/>
        </w:rPr>
        <w:t>Filer: Schlumberger N.V. (Schlumberger Limited)</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Cameron International Corporation</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1-13884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383540</wp:posOffset>
            </wp:positionH>
            <wp:positionV relativeFrom="paragraph">
              <wp:posOffset>160020</wp:posOffset>
            </wp:positionV>
            <wp:extent cx="4973955" cy="6431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73955" cy="6431915"/>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w:t>
      </w:r>
    </w:p>
    <w:p>
      <w:pPr>
        <w:sectPr>
          <w:pgSz w:w="11900" w:h="16838" w:orient="portrait"/>
          <w:cols w:equalWidth="0" w:num="1">
            <w:col w:w="11420"/>
          </w:cols>
          <w:pgMar w:left="240" w:top="270" w:right="239" w:bottom="1440" w:gutter="0" w:footer="0" w:header="0"/>
        </w:sectPr>
      </w:pPr>
    </w:p>
    <w:bookmarkStart w:id="20" w:name="page21"/>
    <w:bookmarkEnd w:id="20"/>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2019-12-05T15:06:37Z</dcterms:created>
  <dcterms:modified xsi:type="dcterms:W3CDTF">2019-12-05T15:06:37Z</dcterms:modified>
</cp:coreProperties>
</file>