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2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24, 2011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40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0"/>
          <w:szCs w:val="20"/>
          <w:color w:val="auto"/>
        </w:rPr>
      </w:pPr>
    </w:p>
    <w:p>
      <w:pPr>
        <w:ind w:left="3480"/>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06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Curaçao</w:t>
            </w:r>
          </w:p>
        </w:tc>
        <w:tc>
          <w:tcPr>
            <w:tcW w:w="3260" w:type="dxa"/>
            <w:vAlign w:val="bottom"/>
          </w:tcPr>
          <w:p>
            <w:pPr>
              <w:jc w:val="center"/>
              <w:ind w:left="175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50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 of</w:t>
            </w:r>
          </w:p>
        </w:tc>
        <w:tc>
          <w:tcPr>
            <w:tcW w:w="3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0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incorporation or organization)</w:t>
            </w:r>
          </w:p>
        </w:tc>
        <w:tc>
          <w:tcPr>
            <w:tcW w:w="3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060" w:type="dxa"/>
            <w:vAlign w:val="bottom"/>
          </w:tcPr>
          <w:p>
            <w:pPr>
              <w:jc w:val="center"/>
              <w:ind w:right="1770"/>
              <w:spacing w:after="0"/>
              <w:rPr>
                <w:sz w:val="20"/>
                <w:szCs w:val="20"/>
                <w:color w:val="auto"/>
              </w:rPr>
            </w:pPr>
            <w:r>
              <w:rPr>
                <w:rFonts w:ascii="Arial" w:cs="Arial" w:eastAsia="Arial" w:hAnsi="Arial"/>
                <w:sz w:val="18"/>
                <w:szCs w:val="18"/>
                <w:b w:val="1"/>
                <w:bCs w:val="1"/>
                <w:color w:val="auto"/>
                <w:w w:val="91"/>
              </w:rPr>
              <w:t>42, rue Saint-Dominique</w:t>
            </w:r>
          </w:p>
        </w:tc>
        <w:tc>
          <w:tcPr>
            <w:tcW w:w="3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75007</w:t>
            </w:r>
          </w:p>
        </w:tc>
      </w:tr>
      <w:tr>
        <w:trPr>
          <w:trHeight w:val="234"/>
        </w:trPr>
        <w:tc>
          <w:tcPr>
            <w:tcW w:w="50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1"/>
              </w:rPr>
              <w:t>Paris, France</w:t>
            </w:r>
          </w:p>
        </w:tc>
        <w:tc>
          <w:tcPr>
            <w:tcW w:w="3260" w:type="dxa"/>
            <w:vAlign w:val="bottom"/>
          </w:tcPr>
          <w:p>
            <w:pPr>
              <w:spacing w:after="0"/>
              <w:rPr>
                <w:sz w:val="20"/>
                <w:szCs w:val="20"/>
                <w:color w:val="auto"/>
              </w:rPr>
            </w:pPr>
          </w:p>
        </w:tc>
      </w:tr>
      <w:tr>
        <w:trPr>
          <w:trHeight w:val="414"/>
        </w:trPr>
        <w:tc>
          <w:tcPr>
            <w:tcW w:w="5060" w:type="dxa"/>
            <w:vAlign w:val="bottom"/>
          </w:tcPr>
          <w:p>
            <w:pPr>
              <w:jc w:val="center"/>
              <w:ind w:right="1770"/>
              <w:spacing w:after="0"/>
              <w:rPr>
                <w:sz w:val="20"/>
                <w:szCs w:val="20"/>
                <w:color w:val="auto"/>
              </w:rPr>
            </w:pPr>
            <w:r>
              <w:rPr>
                <w:rFonts w:ascii="Arial" w:cs="Arial" w:eastAsia="Arial" w:hAnsi="Arial"/>
                <w:sz w:val="18"/>
                <w:szCs w:val="18"/>
                <w:b w:val="1"/>
                <w:bCs w:val="1"/>
                <w:color w:val="auto"/>
                <w:w w:val="90"/>
              </w:rPr>
              <w:t>5599 San Felipe, 17</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3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1"/>
              </w:rPr>
              <w:t>77056</w:t>
            </w:r>
          </w:p>
        </w:tc>
      </w:tr>
      <w:tr>
        <w:trPr>
          <w:trHeight w:val="234"/>
        </w:trPr>
        <w:tc>
          <w:tcPr>
            <w:tcW w:w="5060" w:type="dxa"/>
            <w:vAlign w:val="bottom"/>
          </w:tcPr>
          <w:p>
            <w:pPr>
              <w:jc w:val="center"/>
              <w:ind w:right="1730"/>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3260" w:type="dxa"/>
            <w:vAlign w:val="bottom"/>
          </w:tcPr>
          <w:p>
            <w:pPr>
              <w:spacing w:after="0"/>
              <w:rPr>
                <w:sz w:val="20"/>
                <w:szCs w:val="20"/>
                <w:color w:val="auto"/>
              </w:rPr>
            </w:pPr>
          </w:p>
        </w:tc>
      </w:tr>
      <w:tr>
        <w:trPr>
          <w:trHeight w:val="414"/>
        </w:trPr>
        <w:tc>
          <w:tcPr>
            <w:tcW w:w="5060" w:type="dxa"/>
            <w:vAlign w:val="bottom"/>
          </w:tcPr>
          <w:p>
            <w:pPr>
              <w:jc w:val="center"/>
              <w:ind w:right="1790"/>
              <w:spacing w:after="0"/>
              <w:rPr>
                <w:sz w:val="20"/>
                <w:szCs w:val="20"/>
                <w:color w:val="auto"/>
              </w:rPr>
            </w:pPr>
            <w:r>
              <w:rPr>
                <w:rFonts w:ascii="Arial" w:cs="Arial" w:eastAsia="Arial" w:hAnsi="Arial"/>
                <w:sz w:val="18"/>
                <w:szCs w:val="18"/>
                <w:b w:val="1"/>
                <w:bCs w:val="1"/>
                <w:color w:val="auto"/>
                <w:w w:val="92"/>
              </w:rPr>
              <w:t>Parkstraat 83, The Hague</w:t>
            </w:r>
          </w:p>
        </w:tc>
        <w:tc>
          <w:tcPr>
            <w:tcW w:w="3260" w:type="dxa"/>
            <w:vAlign w:val="bottom"/>
          </w:tcPr>
          <w:p>
            <w:pPr>
              <w:jc w:val="center"/>
              <w:ind w:left="1730"/>
              <w:spacing w:after="0"/>
              <w:rPr>
                <w:sz w:val="20"/>
                <w:szCs w:val="20"/>
                <w:color w:val="auto"/>
              </w:rPr>
            </w:pPr>
            <w:r>
              <w:rPr>
                <w:rFonts w:ascii="Arial" w:cs="Arial" w:eastAsia="Arial" w:hAnsi="Arial"/>
                <w:sz w:val="18"/>
                <w:szCs w:val="18"/>
                <w:b w:val="1"/>
                <w:bCs w:val="1"/>
                <w:color w:val="auto"/>
                <w:w w:val="92"/>
              </w:rPr>
              <w:t>2514 JG</w:t>
            </w:r>
          </w:p>
        </w:tc>
      </w:tr>
      <w:tr>
        <w:trPr>
          <w:trHeight w:val="234"/>
        </w:trPr>
        <w:tc>
          <w:tcPr>
            <w:tcW w:w="50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0"/>
              </w:rPr>
              <w:t>The Netherlands</w:t>
            </w:r>
          </w:p>
        </w:tc>
        <w:tc>
          <w:tcPr>
            <w:tcW w:w="3260" w:type="dxa"/>
            <w:vAlign w:val="bottom"/>
          </w:tcPr>
          <w:p>
            <w:pPr>
              <w:spacing w:after="0"/>
              <w:rPr>
                <w:sz w:val="20"/>
                <w:szCs w:val="20"/>
                <w:color w:val="auto"/>
              </w:rPr>
            </w:pPr>
          </w:p>
        </w:tc>
      </w:tr>
      <w:tr>
        <w:trPr>
          <w:trHeight w:val="432"/>
        </w:trPr>
        <w:tc>
          <w:tcPr>
            <w:tcW w:w="5060" w:type="dxa"/>
            <w:vAlign w:val="bottom"/>
          </w:tcPr>
          <w:p>
            <w:pPr>
              <w:jc w:val="center"/>
              <w:ind w:right="1750"/>
              <w:spacing w:after="0"/>
              <w:rPr>
                <w:sz w:val="20"/>
                <w:szCs w:val="20"/>
                <w:color w:val="auto"/>
              </w:rPr>
            </w:pPr>
            <w:r>
              <w:rPr>
                <w:rFonts w:ascii="Arial" w:cs="Arial" w:eastAsia="Arial" w:hAnsi="Arial"/>
                <w:sz w:val="18"/>
                <w:szCs w:val="18"/>
                <w:b w:val="1"/>
                <w:bCs w:val="1"/>
                <w:color w:val="auto"/>
                <w:w w:val="88"/>
              </w:rPr>
              <w:t>(Addresses of Principal Executive Offices)</w:t>
            </w:r>
          </w:p>
        </w:tc>
        <w:tc>
          <w:tcPr>
            <w:tcW w:w="3260" w:type="dxa"/>
            <w:vAlign w:val="bottom"/>
          </w:tcPr>
          <w:p>
            <w:pPr>
              <w:jc w:val="center"/>
              <w:ind w:left="1750"/>
              <w:spacing w:after="0"/>
              <w:rPr>
                <w:sz w:val="20"/>
                <w:szCs w:val="20"/>
                <w:color w:val="auto"/>
              </w:rPr>
            </w:pPr>
            <w:r>
              <w:rPr>
                <w:rFonts w:ascii="Arial" w:cs="Arial" w:eastAsia="Arial" w:hAnsi="Arial"/>
                <w:sz w:val="18"/>
                <w:szCs w:val="18"/>
                <w:b w:val="1"/>
                <w:bCs w:val="1"/>
                <w:color w:val="auto"/>
                <w:w w:val="90"/>
              </w:rPr>
              <w:t>(Zip Codes)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2010 OMNIBUS STOCK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Alexander C. Juden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5599 San Felipe, 17th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77056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(713) 375-3400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194310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tcPr>
          <w:p>
            <w:pPr>
              <w:ind w:left="240"/>
              <w:spacing w:after="0"/>
              <w:rPr>
                <w:sz w:val="20"/>
                <w:szCs w:val="20"/>
                <w:color w:val="auto"/>
              </w:rPr>
            </w:pPr>
            <w:r>
              <w:rPr>
                <w:rFonts w:ascii="Arial" w:cs="Arial" w:eastAsia="Arial" w:hAnsi="Arial"/>
                <w:sz w:val="18"/>
                <w:szCs w:val="18"/>
                <w:color w:val="auto"/>
                <w:w w:val="91"/>
              </w:rPr>
              <w:t>Accelerated filer o</w:t>
            </w:r>
          </w:p>
        </w:tc>
        <w:tc>
          <w:tcPr>
            <w:tcW w:w="260" w:type="dxa"/>
            <w:vAlign w:val="bottom"/>
          </w:tcPr>
          <w:p>
            <w:pPr>
              <w:spacing w:after="0"/>
              <w:rPr>
                <w:sz w:val="21"/>
                <w:szCs w:val="21"/>
                <w:color w:val="auto"/>
              </w:rPr>
            </w:pPr>
          </w:p>
        </w:tc>
        <w:tc>
          <w:tcPr>
            <w:tcW w:w="3220" w:type="dxa"/>
            <w:vAlign w:val="bottom"/>
            <w:gridSpan w:val="4"/>
          </w:tcPr>
          <w:p>
            <w:pPr>
              <w:jc w:val="center"/>
              <w:ind w:left="1110"/>
              <w:spacing w:after="0"/>
              <w:rPr>
                <w:sz w:val="20"/>
                <w:szCs w:val="20"/>
                <w:color w:val="auto"/>
              </w:rPr>
            </w:pPr>
            <w:r>
              <w:rPr>
                <w:rFonts w:ascii="Arial" w:cs="Arial" w:eastAsia="Arial" w:hAnsi="Arial"/>
                <w:sz w:val="18"/>
                <w:szCs w:val="18"/>
                <w:color w:val="auto"/>
                <w:w w:val="91"/>
              </w:rPr>
              <w:t>Non-accelerated filer o</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0" w:type="dxa"/>
            <w:vAlign w:val="bottom"/>
            <w:gridSpan w:val="3"/>
          </w:tcPr>
          <w:p>
            <w:pPr>
              <w:ind w:left="660"/>
              <w:spacing w:after="0"/>
              <w:rPr>
                <w:sz w:val="20"/>
                <w:szCs w:val="20"/>
                <w:color w:val="auto"/>
              </w:rPr>
            </w:pPr>
            <w:r>
              <w:rPr>
                <w:rFonts w:ascii="Arial" w:cs="Arial" w:eastAsia="Arial" w:hAnsi="Arial"/>
                <w:sz w:val="18"/>
                <w:szCs w:val="18"/>
                <w:color w:val="auto"/>
                <w:w w:val="92"/>
              </w:rPr>
              <w:t>Smaller reporting company o</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gridSpan w:val="6"/>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80" w:type="dxa"/>
            <w:vAlign w:val="bottom"/>
            <w:gridSpan w:val="5"/>
          </w:tcPr>
          <w:p>
            <w:pPr>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0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right w:val="single" w:sz="8" w:color="auto"/>
            </w:tcBorders>
          </w:tcPr>
          <w:p>
            <w:pPr>
              <w:jc w:val="center"/>
              <w:ind w:right="345"/>
              <w:spacing w:after="0" w:line="106" w:lineRule="exact"/>
              <w:rPr>
                <w:sz w:val="20"/>
                <w:szCs w:val="20"/>
                <w:color w:val="auto"/>
              </w:rPr>
            </w:pPr>
            <w:r>
              <w:rPr>
                <w:rFonts w:ascii="Arial" w:cs="Arial" w:eastAsia="Arial" w:hAnsi="Arial"/>
                <w:sz w:val="12"/>
                <w:szCs w:val="12"/>
                <w:b w:val="1"/>
                <w:bCs w:val="1"/>
                <w:color w:val="auto"/>
              </w:rPr>
              <w:t>Proposed</w:t>
            </w:r>
          </w:p>
        </w:tc>
        <w:tc>
          <w:tcPr>
            <w:tcW w:w="1660" w:type="dxa"/>
            <w:vAlign w:val="bottom"/>
            <w:tcBorders>
              <w:right w:val="single" w:sz="8" w:color="auto"/>
            </w:tcBorders>
          </w:tcPr>
          <w:p>
            <w:pPr>
              <w:jc w:val="center"/>
              <w:ind w:right="44"/>
              <w:spacing w:after="0" w:line="106" w:lineRule="exact"/>
              <w:rPr>
                <w:sz w:val="20"/>
                <w:szCs w:val="20"/>
                <w:color w:val="auto"/>
              </w:rPr>
            </w:pPr>
            <w:r>
              <w:rPr>
                <w:rFonts w:ascii="Arial" w:cs="Arial" w:eastAsia="Arial" w:hAnsi="Arial"/>
                <w:sz w:val="12"/>
                <w:szCs w:val="12"/>
                <w:b w:val="1"/>
                <w:bCs w:val="1"/>
                <w:color w:val="auto"/>
              </w:rPr>
              <w:t>Proposed</w:t>
            </w: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jc w:val="center"/>
              <w:ind w:right="345"/>
              <w:spacing w:after="0" w:line="149" w:lineRule="exact"/>
              <w:rPr>
                <w:sz w:val="20"/>
                <w:szCs w:val="20"/>
                <w:color w:val="auto"/>
              </w:rPr>
            </w:pPr>
            <w:r>
              <w:rPr>
                <w:rFonts w:ascii="Arial" w:cs="Arial" w:eastAsia="Arial" w:hAnsi="Arial"/>
                <w:sz w:val="14"/>
                <w:szCs w:val="14"/>
                <w:b w:val="1"/>
                <w:bCs w:val="1"/>
                <w:color w:val="auto"/>
                <w:w w:val="94"/>
              </w:rPr>
              <w:t>maximum</w:t>
            </w:r>
          </w:p>
        </w:tc>
        <w:tc>
          <w:tcPr>
            <w:tcW w:w="1660" w:type="dxa"/>
            <w:vAlign w:val="bottom"/>
            <w:tcBorders>
              <w:right w:val="single" w:sz="8" w:color="auto"/>
            </w:tcBorders>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maximum</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Title of securities to be registered</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to be</w:t>
            </w:r>
          </w:p>
        </w:tc>
        <w:tc>
          <w:tcPr>
            <w:tcW w:w="18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205"/>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60" w:type="dxa"/>
            <w:vAlign w:val="bottom"/>
            <w:tcBorders>
              <w:right w:val="single" w:sz="8" w:color="auto"/>
            </w:tcBorders>
          </w:tcPr>
          <w:p>
            <w:pPr>
              <w:jc w:val="center"/>
              <w:ind w:right="64"/>
              <w:spacing w:after="0" w:line="149" w:lineRule="exact"/>
              <w:rPr>
                <w:sz w:val="20"/>
                <w:szCs w:val="20"/>
                <w:color w:val="auto"/>
              </w:rPr>
            </w:pPr>
            <w:r>
              <w:rPr>
                <w:rFonts w:ascii="Arial" w:cs="Arial" w:eastAsia="Arial" w:hAnsi="Arial"/>
                <w:sz w:val="14"/>
                <w:szCs w:val="14"/>
                <w:b w:val="1"/>
                <w:bCs w:val="1"/>
                <w:color w:val="auto"/>
                <w:w w:val="89"/>
              </w:rPr>
              <w:t>aggregate</w:t>
            </w:r>
          </w:p>
        </w:tc>
        <w:tc>
          <w:tcPr>
            <w:tcW w:w="11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178"/>
        </w:trPr>
        <w:tc>
          <w:tcPr>
            <w:tcW w:w="2400" w:type="dxa"/>
            <w:vAlign w:val="bottom"/>
            <w:tcBorders>
              <w:bottom w:val="single" w:sz="8" w:color="auto"/>
            </w:tcBorders>
            <w:vMerge w:val="continue"/>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320" w:type="dxa"/>
            <w:vAlign w:val="bottom"/>
            <w:tcBorders>
              <w:bottom w:val="single" w:sz="8" w:color="auto"/>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registered (2)</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right w:val="single" w:sz="8" w:color="auto"/>
            </w:tcBorders>
            <w:gridSpan w:val="2"/>
          </w:tcPr>
          <w:p>
            <w:pPr>
              <w:jc w:val="center"/>
              <w:ind w:right="225"/>
              <w:spacing w:after="0"/>
              <w:rPr>
                <w:sz w:val="20"/>
                <w:szCs w:val="20"/>
                <w:color w:val="auto"/>
              </w:rPr>
            </w:pPr>
            <w:r>
              <w:rPr>
                <w:rFonts w:ascii="Arial" w:cs="Arial" w:eastAsia="Arial" w:hAnsi="Arial"/>
                <w:sz w:val="14"/>
                <w:szCs w:val="14"/>
                <w:b w:val="1"/>
                <w:bCs w:val="1"/>
                <w:color w:val="auto"/>
                <w:w w:val="92"/>
              </w:rPr>
              <w:t>per share (1)</w:t>
            </w:r>
          </w:p>
        </w:tc>
        <w:tc>
          <w:tcPr>
            <w:tcW w:w="1660" w:type="dxa"/>
            <w:vAlign w:val="bottom"/>
            <w:tcBorders>
              <w:bottom w:val="single" w:sz="8" w:color="auto"/>
              <w:right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offering price (1)</w:t>
            </w:r>
          </w:p>
        </w:tc>
        <w:tc>
          <w:tcPr>
            <w:tcW w:w="1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78"/>
              </w:rPr>
              <w:t>fee</w:t>
            </w:r>
          </w:p>
        </w:tc>
        <w:tc>
          <w:tcPr>
            <w:tcW w:w="0" w:type="dxa"/>
            <w:vAlign w:val="bottom"/>
          </w:tcPr>
          <w:p>
            <w:pPr>
              <w:spacing w:after="0"/>
              <w:rPr>
                <w:sz w:val="1"/>
                <w:szCs w:val="1"/>
                <w:color w:val="auto"/>
              </w:rPr>
            </w:pPr>
          </w:p>
        </w:tc>
      </w:tr>
      <w:tr>
        <w:trPr>
          <w:trHeight w:val="202"/>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80" w:type="dxa"/>
            <w:vAlign w:val="bottom"/>
            <w:tcBorders>
              <w:right w:val="single" w:sz="8" w:color="auto"/>
            </w:tcBorders>
            <w:gridSpan w:val="2"/>
          </w:tcPr>
          <w:p>
            <w:pPr>
              <w:spacing w:after="0"/>
              <w:rPr>
                <w:sz w:val="17"/>
                <w:szCs w:val="17"/>
                <w:color w:val="auto"/>
              </w:rPr>
            </w:pPr>
          </w:p>
        </w:tc>
        <w:tc>
          <w:tcPr>
            <w:tcW w:w="1240" w:type="dxa"/>
            <w:vAlign w:val="bottom"/>
          </w:tcPr>
          <w:p>
            <w:pPr>
              <w:jc w:val="right"/>
              <w:ind w:right="101"/>
              <w:spacing w:after="0" w:line="201" w:lineRule="exact"/>
              <w:rPr>
                <w:sz w:val="20"/>
                <w:szCs w:val="20"/>
                <w:color w:val="auto"/>
              </w:rPr>
            </w:pPr>
            <w:r>
              <w:rPr>
                <w:rFonts w:ascii="Arial" w:cs="Arial" w:eastAsia="Arial" w:hAnsi="Arial"/>
                <w:sz w:val="18"/>
                <w:szCs w:val="18"/>
                <w:color w:val="auto"/>
              </w:rPr>
              <w:t>30,000,000</w:t>
            </w:r>
          </w:p>
        </w:tc>
        <w:tc>
          <w:tcPr>
            <w:tcW w:w="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ind w:left="100"/>
              <w:spacing w:after="0"/>
              <w:rPr>
                <w:sz w:val="20"/>
                <w:szCs w:val="20"/>
                <w:color w:val="auto"/>
              </w:rPr>
            </w:pPr>
            <w:r>
              <w:rPr>
                <w:rFonts w:ascii="Arial" w:cs="Arial" w:eastAsia="Arial" w:hAnsi="Arial"/>
                <w:sz w:val="18"/>
                <w:szCs w:val="18"/>
                <w:color w:val="auto"/>
              </w:rPr>
              <w:t>Common stock, par value $0.01 per share (2)</w:t>
            </w:r>
          </w:p>
        </w:tc>
        <w:tc>
          <w:tcPr>
            <w:tcW w:w="26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5"/>
              </w:rPr>
              <w:t>shares</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auto"/>
            </w:tcBorders>
          </w:tcPr>
          <w:p>
            <w:pPr>
              <w:jc w:val="right"/>
              <w:ind w:right="245"/>
              <w:spacing w:after="0"/>
              <w:rPr>
                <w:sz w:val="20"/>
                <w:szCs w:val="20"/>
                <w:color w:val="auto"/>
              </w:rPr>
            </w:pPr>
            <w:r>
              <w:rPr>
                <w:rFonts w:ascii="Arial" w:cs="Arial" w:eastAsia="Arial" w:hAnsi="Arial"/>
                <w:sz w:val="18"/>
                <w:szCs w:val="18"/>
                <w:color w:val="auto"/>
              </w:rPr>
              <w:t>85.81</w:t>
            </w:r>
          </w:p>
        </w:tc>
        <w:tc>
          <w:tcPr>
            <w:tcW w:w="1660" w:type="dxa"/>
            <w:vAlign w:val="bottom"/>
            <w:tcBorders>
              <w:right w:val="single" w:sz="8" w:color="auto"/>
            </w:tcBorders>
          </w:tcPr>
          <w:p>
            <w:pPr>
              <w:jc w:val="center"/>
              <w:ind w:right="44"/>
              <w:spacing w:after="0"/>
              <w:rPr>
                <w:sz w:val="20"/>
                <w:szCs w:val="20"/>
                <w:color w:val="auto"/>
              </w:rPr>
            </w:pPr>
            <w:r>
              <w:rPr>
                <w:rFonts w:ascii="Arial" w:cs="Arial" w:eastAsia="Arial" w:hAnsi="Arial"/>
                <w:sz w:val="18"/>
                <w:szCs w:val="18"/>
                <w:color w:val="auto"/>
                <w:w w:val="87"/>
              </w:rPr>
              <w:t>$ 2,574,300,000</w:t>
            </w: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$ 298,877</w:t>
            </w:r>
          </w:p>
        </w:tc>
        <w:tc>
          <w:tcPr>
            <w:tcW w:w="0" w:type="dxa"/>
            <w:vAlign w:val="bottom"/>
          </w:tcPr>
          <w:p>
            <w:pPr>
              <w:spacing w:after="0"/>
              <w:rPr>
                <w:sz w:val="1"/>
                <w:szCs w:val="1"/>
                <w:color w:val="auto"/>
              </w:rPr>
            </w:pPr>
          </w:p>
        </w:tc>
      </w:tr>
      <w:tr>
        <w:trPr>
          <w:trHeight w:val="20"/>
        </w:trPr>
        <w:tc>
          <w:tcPr>
            <w:tcW w:w="2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457(c) and 457(h)(1), based on the average of the high and low prices for the common stock of Schlumberger Limited reported on the New York Stock Exchange on March 17, 2011.</w:t>
      </w:r>
    </w:p>
    <w:p>
      <w:pPr>
        <w:spacing w:after="0" w:line="21" w:lineRule="exact"/>
        <w:rPr>
          <w:rFonts w:ascii="Arial" w:cs="Arial" w:eastAsia="Arial" w:hAnsi="Arial"/>
          <w:sz w:val="18"/>
          <w:szCs w:val="18"/>
          <w:color w:val="auto"/>
        </w:rPr>
      </w:pPr>
    </w:p>
    <w:p>
      <w:pPr>
        <w:ind w:left="460" w:right="24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this Registration Statement shall also include such additional indeterminate number of shares of common stock that may become issuable under the Schlumberger 2010 Omnibus Stock Incentive Plan as a result of stock splits,</w:t>
      </w:r>
    </w:p>
    <w:p>
      <w:pPr>
        <w:sectPr>
          <w:pgSz w:w="11900" w:h="16867" w:orient="portrait"/>
          <w:cols w:equalWidth="0" w:num="1">
            <w:col w:w="11420"/>
          </w:cols>
          <w:pgMar w:left="240" w:top="122" w:right="23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stock dividends or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158115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584835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59"/>
          </w:cols>
          <w:pgMar w:left="700" w:top="125" w:right="1440" w:bottom="1440" w:gutter="0" w:footer="0" w:header="0"/>
        </w:sectPr>
      </w:pPr>
    </w:p>
    <w:bookmarkStart w:id="3" w:name="page4"/>
    <w:bookmarkEnd w:id="3"/>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Plan Information.</w:t>
        </w:r>
      </w:hyperlink>
    </w:p>
    <w:p>
      <w:pPr>
        <w:ind w:left="32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Item 2. Registrant Information and Employee Plan Annual Information.</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II</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Description of Securities.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Indemnification of Directors and Officers.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7. Exemption from Registration Claimed.</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9. Undertakings.</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EX-5</w:t>
      </w:r>
    </w:p>
    <w:p>
      <w:pPr>
        <w:spacing w:after="0" w:line="230" w:lineRule="auto"/>
        <w:rPr>
          <w:sz w:val="20"/>
          <w:szCs w:val="20"/>
          <w:color w:val="auto"/>
        </w:rPr>
      </w:pPr>
      <w:r>
        <w:rPr>
          <w:rFonts w:ascii="Arial" w:cs="Arial" w:eastAsia="Arial" w:hAnsi="Arial"/>
          <w:sz w:val="22"/>
          <w:szCs w:val="22"/>
          <w:u w:val="single" w:color="auto"/>
          <w:color w:val="0000EE"/>
        </w:rPr>
        <w:t>EX-23.1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Plan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Registrant Information and Employee Plan Annual Information.</w:t>
      </w:r>
    </w:p>
    <w:p>
      <w:pPr>
        <w:spacing w:after="0" w:line="121" w:lineRule="exact"/>
        <w:rPr>
          <w:sz w:val="20"/>
          <w:szCs w:val="20"/>
          <w:color w:val="auto"/>
        </w:rPr>
      </w:pPr>
    </w:p>
    <w:p>
      <w:pPr>
        <w:ind w:right="100" w:firstLine="447"/>
        <w:spacing w:after="0" w:line="273" w:lineRule="auto"/>
        <w:rPr>
          <w:sz w:val="20"/>
          <w:szCs w:val="20"/>
          <w:color w:val="auto"/>
        </w:rPr>
      </w:pPr>
      <w:r>
        <w:rPr>
          <w:rFonts w:ascii="Arial" w:cs="Arial" w:eastAsia="Arial" w:hAnsi="Arial"/>
          <w:sz w:val="17"/>
          <w:szCs w:val="17"/>
          <w:color w:val="auto"/>
        </w:rPr>
        <w:t>The document(s) containing the information required by Item 1 of Form S-8 and the statement of availability of Registrant information and other information required by Item 2 of Form S-8 will be sent or given to employees as specified by Rule 428 under the Securities Act of 1933, as amended (the “Securities Act”). In accordance with Rule 428 and the requirements of Part I of Form S-8, such documents are not being filed with the Securities and Exchange Commission (the “Commission”) either as part of this Registration Statement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Incorporation of Documents by Reference.</w:t>
      </w:r>
    </w:p>
    <w:p>
      <w:pPr>
        <w:spacing w:after="0" w:line="121" w:lineRule="exact"/>
        <w:rPr>
          <w:sz w:val="20"/>
          <w:szCs w:val="20"/>
          <w:color w:val="auto"/>
        </w:rPr>
      </w:pPr>
    </w:p>
    <w:p>
      <w:pPr>
        <w:ind w:right="120" w:firstLine="447"/>
        <w:spacing w:after="0" w:line="308" w:lineRule="auto"/>
        <w:rPr>
          <w:sz w:val="20"/>
          <w:szCs w:val="20"/>
          <w:color w:val="auto"/>
        </w:rPr>
      </w:pPr>
      <w:r>
        <w:rPr>
          <w:rFonts w:ascii="Arial" w:cs="Arial" w:eastAsia="Arial" w:hAnsi="Arial"/>
          <w:sz w:val="17"/>
          <w:szCs w:val="17"/>
          <w:color w:val="auto"/>
        </w:rPr>
        <w:t>This Registration Statement incorporates herein by reference the following documents, which have been filed with the Commission by the Registrant (SEC File No. 001-04601) pursuant to the Securities Act and the Securities Exchange Act of 1934, as amended (the “Exchange Act”):</w:t>
      </w:r>
    </w:p>
    <w:p>
      <w:pPr>
        <w:spacing w:after="0" w:line="38"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December 31, 2010, filed on February 4, 2011;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Current Report on Form 8-K filed on April 29, 2005.</w:t>
      </w:r>
    </w:p>
    <w:p>
      <w:pPr>
        <w:spacing w:after="0" w:line="117"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Each document filed by the Registrant pursuant to Sections 13(a), 13(c), 14 or 15(d) of the Exchange Act, subsequent to the date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w:t>
      </w:r>
    </w:p>
    <w:p>
      <w:pPr>
        <w:spacing w:after="0" w:line="79" w:lineRule="exact"/>
        <w:rPr>
          <w:sz w:val="20"/>
          <w:szCs w:val="20"/>
          <w:color w:val="auto"/>
        </w:rPr>
      </w:pPr>
    </w:p>
    <w:p>
      <w:pPr>
        <w:ind w:firstLine="440"/>
        <w:spacing w:after="0" w:line="302" w:lineRule="auto"/>
        <w:rPr>
          <w:sz w:val="20"/>
          <w:szCs w:val="20"/>
          <w:color w:val="auto"/>
        </w:rPr>
      </w:pPr>
      <w:r>
        <w:rPr>
          <w:rFonts w:ascii="Arial" w:cs="Arial" w:eastAsia="Arial" w:hAnsi="Arial"/>
          <w:sz w:val="16"/>
          <w:szCs w:val="16"/>
          <w:color w:val="auto"/>
        </w:rPr>
        <w:t>Any statement contained in this Registration Statement, in an amendment hereto or in a document incorporated by reference herein shall be deemed to be modified or superseded for purposes of this Registration Statement to the extent that a statement contained herein or in any subsequently filed amendment to this Registration Statement or in any document that also is incorporated by reference herein modifies or supersedes such statement. Any statement so modified or superseded shall not be deemed, except as so modified or superseded, to constitute a part of this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legal matters with respect to the validity of the Common Stock registered hereby have been passed upon for the Registrant by Alexander 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Juden, its Secretary and General Counsel. Mr. Juden is employed by the Registrant and is eligible to participate in the 2010 Omnibus Stock Incentive Plan.</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85" w:lineRule="exact"/>
        <w:rPr>
          <w:sz w:val="20"/>
          <w:szCs w:val="20"/>
          <w:color w:val="auto"/>
        </w:rPr>
      </w:pPr>
    </w:p>
    <w:p>
      <w:pPr>
        <w:ind w:right="20" w:firstLine="447"/>
        <w:spacing w:after="0" w:line="285"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 office who were directors at the beginning of such period) cease for any reason to constitute at least a majority of the Board of Directors.</w:t>
      </w:r>
    </w:p>
    <w:p>
      <w:pPr>
        <w:spacing w:after="0" w:line="60" w:lineRule="exact"/>
        <w:rPr>
          <w:sz w:val="20"/>
          <w:szCs w:val="20"/>
          <w:color w:val="auto"/>
        </w:rPr>
      </w:pPr>
    </w:p>
    <w:p>
      <w:pPr>
        <w:ind w:right="60" w:firstLine="447"/>
        <w:spacing w:after="0" w:line="287"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61" w:lineRule="exact"/>
        <w:rPr>
          <w:sz w:val="20"/>
          <w:szCs w:val="20"/>
          <w:color w:val="auto"/>
        </w:rPr>
      </w:pPr>
    </w:p>
    <w:p>
      <w:pPr>
        <w:jc w:val="both"/>
        <w:ind w:firstLine="440"/>
        <w:spacing w:after="0" w:line="264"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73"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47"/>
        <w:spacing w:after="0" w:line="277"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62" w:lineRule="exact"/>
        <w:rPr>
          <w:sz w:val="20"/>
          <w:szCs w:val="20"/>
          <w:color w:val="auto"/>
        </w:rPr>
      </w:pPr>
    </w:p>
    <w:p>
      <w:pPr>
        <w:ind w:right="120" w:firstLine="447"/>
        <w:spacing w:after="0" w:line="257" w:lineRule="auto"/>
        <w:rPr>
          <w:sz w:val="20"/>
          <w:szCs w:val="20"/>
          <w:color w:val="auto"/>
        </w:rPr>
      </w:pPr>
      <w:r>
        <w:rPr>
          <w:rFonts w:ascii="Arial" w:cs="Arial" w:eastAsia="Arial" w:hAnsi="Arial"/>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80" w:lineRule="exact"/>
        <w:rPr>
          <w:sz w:val="20"/>
          <w:szCs w:val="20"/>
          <w:color w:val="auto"/>
        </w:rPr>
      </w:pPr>
    </w:p>
    <w:p>
      <w:pPr>
        <w:ind w:firstLine="447"/>
        <w:spacing w:after="0" w:line="279" w:lineRule="auto"/>
        <w:rPr>
          <w:sz w:val="20"/>
          <w:szCs w:val="20"/>
          <w:color w:val="auto"/>
        </w:rPr>
      </w:pPr>
      <w:r>
        <w:rPr>
          <w:rFonts w:ascii="Arial" w:cs="Arial" w:eastAsia="Arial" w:hAnsi="Arial"/>
          <w:sz w:val="17"/>
          <w:szCs w:val="17"/>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63"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85"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5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80" w:lineRule="exact"/>
        <w:rPr>
          <w:sz w:val="20"/>
          <w:szCs w:val="20"/>
          <w:color w:val="auto"/>
        </w:rPr>
      </w:pPr>
    </w:p>
    <w:p>
      <w:pPr>
        <w:ind w:right="120" w:firstLine="450"/>
        <w:spacing w:after="0" w:line="277"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the Registrant may incur in such capacities.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16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Articles of Incorporation of Schlumberger N.V. (Schlumberger Limited), as amended to date (incorporated by reference to Exhibit 3.1 to</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Schlumberger’s Quarterly Report on Form 10-Q for the fiscal quarter ended March 31, 2006).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Amended and Restated Bylaws of Schlumberger N.V. (Schlumberger Limited), as amended to date (incorporated by reference to Exhibit 3.1</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to Schlumberger’s Current Report on Form 8-K filed April 22, 2005).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Schlumberger 2010 Omnibus Stock Incentive Plan (incorporated by reference to Appendix A to Schlumberger’s definitive proxy statement</w:t>
            </w:r>
          </w:p>
        </w:tc>
      </w:tr>
      <w:tr>
        <w:trPr>
          <w:trHeight w:val="230"/>
        </w:trPr>
        <w:tc>
          <w:tcPr>
            <w:tcW w:w="920" w:type="dxa"/>
            <w:vAlign w:val="bottom"/>
          </w:tcPr>
          <w:p>
            <w:pPr>
              <w:spacing w:after="0"/>
              <w:rPr>
                <w:sz w:val="20"/>
                <w:szCs w:val="20"/>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 the 2010 Annual General Meeting of Stockholders held on April 7, 2010).</w:t>
            </w:r>
          </w:p>
        </w:tc>
      </w:tr>
    </w:tbl>
    <w:p>
      <w:pPr>
        <w:spacing w:after="0" w:line="202" w:lineRule="exact"/>
        <w:rPr>
          <w:sz w:val="20"/>
          <w:szCs w:val="20"/>
          <w:color w:val="auto"/>
        </w:rPr>
      </w:pPr>
    </w:p>
    <w:p>
      <w:pPr>
        <w:ind w:left="1260" w:hanging="1252"/>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Alexander C. Juden, Esq. as to the legality of the shares of common stock being registered (filed herewith).</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independent registered public accounting firm (filed herewith).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Consent of Alexander C. Juden, Esq. (included in Exhibit 5).</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Powers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as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Undertakings.</w:t>
      </w:r>
    </w:p>
    <w:p>
      <w:pPr>
        <w:spacing w:after="0" w:line="121" w:lineRule="exact"/>
        <w:rPr>
          <w:sz w:val="20"/>
          <w:szCs w:val="20"/>
          <w:color w:val="auto"/>
        </w:rPr>
      </w:pPr>
    </w:p>
    <w:p>
      <w:pPr>
        <w:ind w:left="480" w:hanging="247"/>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940" w:hanging="251"/>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360" w:hanging="214"/>
        <w:spacing w:after="0"/>
        <w:tabs>
          <w:tab w:leader="none" w:pos="13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240" w:firstLine="226"/>
        <w:spacing w:after="0" w:line="272" w:lineRule="auto"/>
        <w:tabs>
          <w:tab w:leader="none" w:pos="1410"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920" w:right="220" w:firstLine="226"/>
        <w:spacing w:after="0" w:line="277" w:lineRule="auto"/>
        <w:tabs>
          <w:tab w:leader="none" w:pos="1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undertakings set forth in paragraphs (a)(1)(i) and (a)(1)(ii) above do not apply if the information required to be included in a</w:t>
      </w:r>
      <w:r>
        <w:rPr>
          <w:rFonts w:ascii="Arial" w:cs="Arial" w:eastAsia="Arial" w:hAnsi="Arial"/>
          <w:sz w:val="17"/>
          <w:szCs w:val="17"/>
          <w:i w:val="1"/>
          <w:iCs w:val="1"/>
          <w:color w:val="auto"/>
        </w:rPr>
        <w:t xml:space="preserve"> </w:t>
      </w:r>
      <w:r>
        <w:rPr>
          <w:rFonts w:ascii="Arial" w:cs="Arial" w:eastAsia="Arial" w:hAnsi="Arial"/>
          <w:sz w:val="17"/>
          <w:szCs w:val="17"/>
          <w:color w:val="auto"/>
        </w:rPr>
        <w:t>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57" w:lineRule="exact"/>
        <w:rPr>
          <w:sz w:val="20"/>
          <w:szCs w:val="20"/>
          <w:color w:val="auto"/>
        </w:rPr>
      </w:pPr>
    </w:p>
    <w:p>
      <w:pPr>
        <w:ind w:left="460" w:right="60" w:firstLine="229"/>
        <w:spacing w:after="0" w:line="264" w:lineRule="auto"/>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60" w:right="800" w:firstLine="229"/>
        <w:spacing w:after="0" w:line="277" w:lineRule="auto"/>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100" w:firstLine="233"/>
        <w:spacing w:after="0" w:line="257" w:lineRule="auto"/>
        <w:tabs>
          <w:tab w:leader="none" w:pos="477"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rFonts w:ascii="Arial" w:cs="Arial" w:eastAsia="Arial" w:hAnsi="Arial"/>
          <w:sz w:val="18"/>
          <w:szCs w:val="18"/>
          <w:color w:val="auto"/>
        </w:rPr>
      </w:pPr>
    </w:p>
    <w:p>
      <w:pPr>
        <w:ind w:right="100" w:firstLine="233"/>
        <w:spacing w:after="0" w:line="271" w:lineRule="auto"/>
        <w:tabs>
          <w:tab w:leader="none" w:pos="47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Houston, State of Texas, on March 24, 2011.</w:t>
      </w:r>
    </w:p>
    <w:p>
      <w:pPr>
        <w:spacing w:after="0" w:line="18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Accounting Officer</w:t>
      </w:r>
    </w:p>
    <w:p>
      <w:pPr>
        <w:spacing w:after="0" w:line="319"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March 24, 2011 in the capacities indicated.</w:t>
      </w:r>
    </w:p>
    <w:p>
      <w:pPr>
        <w:sectPr>
          <w:pgSz w:w="11900" w:h="16838" w:orient="portrait"/>
          <w:cols w:equalWidth="0" w:num="1">
            <w:col w:w="11320"/>
          </w:cols>
          <w:pgMar w:left="240" w:top="419"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Philippe Camus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156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 Vaman Kamath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Howard Guild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Attorney-in-Fact</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Nikolay Kudryavtsev</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Elizabeth Anne Moler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7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327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20" w:space="500"/>
            <w:col w:w="5000"/>
          </w:cols>
          <w:pgMar w:left="240" w:top="419"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Articles of Incorporation of Schlumberger N.V. (Schlumberger Limited), as amended to date (incorporated by reference to Exhibit 3.1 to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Schlumberger’s Quarterly Report on Form 10-Q for the fiscal quarter ended March 31, 2006).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and Restated Bylaws of Schlumberger N.V. (Schlumberger Limited), as amended to date (incorporated by reference to Exhibit 3.1</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to Schlumberger’s Current Report on Form 8-K filed April 22, 2005).</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Schlumberger 2010 Omnibus Stock Incentive Plan (incorporated by reference to Appendix A to Schlumberger’s definitive proxy statement for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2010 Annual General Meeting of Stockholders held on April 7, 2010).</w:t>
            </w:r>
          </w:p>
        </w:tc>
      </w:tr>
    </w:tbl>
    <w:p>
      <w:pPr>
        <w:spacing w:after="0" w:line="202" w:lineRule="exact"/>
        <w:rPr>
          <w:sz w:val="20"/>
          <w:szCs w:val="20"/>
          <w:color w:val="auto"/>
        </w:rPr>
      </w:pPr>
    </w:p>
    <w:p>
      <w:pPr>
        <w:ind w:left="1160" w:hanging="115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of Alexander C. Juden, Esq. as to the legality of the shares of common stock being registered (filed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color w:val="auto"/>
              </w:rPr>
              <w:t>23.1</w:t>
            </w:r>
          </w:p>
        </w:tc>
        <w:tc>
          <w:tcPr>
            <w:tcW w:w="8340" w:type="dxa"/>
            <w:vAlign w:val="bottom"/>
            <w:gridSpan w:val="2"/>
          </w:tcPr>
          <w:p>
            <w:pPr>
              <w:ind w:left="760"/>
              <w:spacing w:after="0"/>
              <w:rPr>
                <w:sz w:val="20"/>
                <w:szCs w:val="20"/>
                <w:color w:val="auto"/>
              </w:rPr>
            </w:pPr>
            <w:r>
              <w:rPr>
                <w:rFonts w:ascii="Arial" w:cs="Arial" w:eastAsia="Arial" w:hAnsi="Arial"/>
                <w:sz w:val="18"/>
                <w:szCs w:val="18"/>
                <w:color w:val="auto"/>
                <w:w w:val="90"/>
              </w:rPr>
              <w:t>Consent of PricewaterhouseCoopers LLP, independent registered public accounting firm (filed herewith).</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23.2</w:t>
            </w:r>
          </w:p>
        </w:tc>
        <w:tc>
          <w:tcPr>
            <w:tcW w:w="8340" w:type="dxa"/>
            <w:vAlign w:val="bottom"/>
            <w:gridSpan w:val="2"/>
          </w:tcPr>
          <w:p>
            <w:pPr>
              <w:ind w:left="760"/>
              <w:spacing w:after="0"/>
              <w:rPr>
                <w:sz w:val="20"/>
                <w:szCs w:val="20"/>
                <w:color w:val="auto"/>
              </w:rPr>
            </w:pPr>
            <w:r>
              <w:rPr>
                <w:rFonts w:ascii="Arial" w:cs="Arial" w:eastAsia="Arial" w:hAnsi="Arial"/>
                <w:sz w:val="18"/>
                <w:szCs w:val="18"/>
                <w:color w:val="auto"/>
              </w:rPr>
              <w:t>Consent of Alexander C. Juden, Esq. (included in Exhibit 5).</w:t>
            </w:r>
          </w:p>
        </w:tc>
      </w:tr>
      <w:tr>
        <w:trPr>
          <w:trHeight w:val="432"/>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8340" w:type="dxa"/>
            <w:vAlign w:val="bottom"/>
            <w:gridSpan w:val="2"/>
          </w:tcPr>
          <w:p>
            <w:pPr>
              <w:ind w:left="760"/>
              <w:spacing w:after="0"/>
              <w:rPr>
                <w:sz w:val="20"/>
                <w:szCs w:val="20"/>
                <w:color w:val="auto"/>
              </w:rPr>
            </w:pPr>
            <w:r>
              <w:rPr>
                <w:rFonts w:ascii="Arial" w:cs="Arial" w:eastAsia="Arial" w:hAnsi="Arial"/>
                <w:sz w:val="18"/>
                <w:szCs w:val="18"/>
                <w:color w:val="auto"/>
              </w:rPr>
              <w:t>Powers of Attorney.</w:t>
            </w:r>
          </w:p>
        </w:tc>
      </w:tr>
      <w:tr>
        <w:trPr>
          <w:trHeight w:val="513"/>
        </w:trPr>
        <w:tc>
          <w:tcPr>
            <w:tcW w:w="4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680" w:type="dxa"/>
            <w:vAlign w:val="bottom"/>
          </w:tcPr>
          <w:p>
            <w:pPr>
              <w:spacing w:after="0"/>
              <w:rPr>
                <w:sz w:val="24"/>
                <w:szCs w:val="24"/>
                <w:color w:val="auto"/>
              </w:rPr>
            </w:pPr>
          </w:p>
        </w:tc>
      </w:tr>
      <w:tr>
        <w:trPr>
          <w:trHeight w:val="277"/>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8340" w:type="dxa"/>
            <w:vAlign w:val="bottom"/>
            <w:gridSpan w:val="2"/>
          </w:tcPr>
          <w:p>
            <w:pPr>
              <w:ind w:left="60"/>
              <w:spacing w:after="0"/>
              <w:rPr>
                <w:sz w:val="20"/>
                <w:szCs w:val="20"/>
                <w:color w:val="auto"/>
              </w:rPr>
            </w:pPr>
            <w:r>
              <w:rPr>
                <w:rFonts w:ascii="Arial" w:cs="Arial" w:eastAsia="Arial" w:hAnsi="Arial"/>
                <w:sz w:val="18"/>
                <w:szCs w:val="18"/>
                <w:color w:val="auto"/>
              </w:rPr>
              <w:t>Incorporated by reference as indicated.</w:t>
            </w:r>
          </w:p>
        </w:tc>
      </w:tr>
      <w:tr>
        <w:trPr>
          <w:trHeight w:val="392"/>
        </w:trPr>
        <w:tc>
          <w:tcPr>
            <w:tcW w:w="400" w:type="dxa"/>
            <w:vAlign w:val="bottom"/>
          </w:tcPr>
          <w:p>
            <w:pPr>
              <w:spacing w:after="0"/>
              <w:rPr>
                <w:sz w:val="24"/>
                <w:szCs w:val="24"/>
                <w:color w:val="auto"/>
              </w:rPr>
            </w:pPr>
          </w:p>
        </w:tc>
        <w:tc>
          <w:tcPr>
            <w:tcW w:w="8340" w:type="dxa"/>
            <w:vAlign w:val="bottom"/>
            <w:gridSpan w:val="2"/>
          </w:tcPr>
          <w:p>
            <w:pPr>
              <w:ind w:left="52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419"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24,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0"/>
        <w:spacing w:after="0" w:line="255" w:lineRule="auto"/>
        <w:rPr>
          <w:sz w:val="20"/>
          <w:szCs w:val="20"/>
          <w:color w:val="auto"/>
        </w:rPr>
      </w:pPr>
      <w:r>
        <w:rPr>
          <w:rFonts w:ascii="Arial" w:cs="Arial" w:eastAsia="Arial" w:hAnsi="Arial"/>
          <w:sz w:val="18"/>
          <w:szCs w:val="18"/>
          <w:color w:val="auto"/>
        </w:rPr>
        <w:t>In connection with the Registration Statement on Form S-8 (the “Registration Statement”) being filed by Schlumberger N.V. (Schlumberger Limited), a corporation organized under the laws of Curaçao (“Schlumberger”), with the Securities and Exchange Commission under the Securities Act of 1933, as amended (the “Securities Act”), relating to the registration of 30,000,000 shares of common stock, par value $0.01 per share (“Common Stock”), of Schlumberger (the “2010 Plan Shares”) that may be issued pursuant to the Schlumberger 2010 Omnibus Stock Incentive Plan (the “2010 Plan”), certain legal matters in connection with the 2010 Plan Shares are being passed on for you by me. At your request, this opinion is being furnished for filing as Exhibit 5 to the Registration Statement.</w:t>
      </w:r>
    </w:p>
    <w:p>
      <w:pPr>
        <w:spacing w:after="0" w:line="85" w:lineRule="exact"/>
        <w:rPr>
          <w:sz w:val="20"/>
          <w:szCs w:val="20"/>
          <w:color w:val="auto"/>
        </w:rPr>
      </w:pPr>
    </w:p>
    <w:p>
      <w:pPr>
        <w:jc w:val="both"/>
        <w:ind w:right="120" w:firstLine="450"/>
        <w:spacing w:after="0" w:line="312" w:lineRule="auto"/>
        <w:rPr>
          <w:sz w:val="20"/>
          <w:szCs w:val="20"/>
          <w:color w:val="auto"/>
        </w:rPr>
      </w:pPr>
      <w:r>
        <w:rPr>
          <w:rFonts w:ascii="Arial" w:cs="Arial" w:eastAsia="Arial" w:hAnsi="Arial"/>
          <w:sz w:val="16"/>
          <w:szCs w:val="16"/>
          <w:color w:val="auto"/>
        </w:rPr>
        <w:t>I am a member of the bar of the State of Texas, and not of any other jurisdiction. I am not admitted to practice in, nor do I hold myself out as an expert on the laws of, Curaçao. I have, however, consulted with the law firm of STvB Advocaten (Curaçao), N.V., counsel qualified to practice in Curaçao. Insofar as the opinions expressed below involve conclusions as to matters governed by the laws of Curaçao, I am relying on the opinion of such counsel.</w:t>
      </w:r>
    </w:p>
    <w:p>
      <w:pPr>
        <w:spacing w:after="0" w:line="39" w:lineRule="exact"/>
        <w:rPr>
          <w:sz w:val="20"/>
          <w:szCs w:val="20"/>
          <w:color w:val="auto"/>
        </w:rPr>
      </w:pPr>
    </w:p>
    <w:p>
      <w:pPr>
        <w:ind w:right="260" w:firstLine="450"/>
        <w:spacing w:after="0" w:line="255" w:lineRule="auto"/>
        <w:rPr>
          <w:sz w:val="20"/>
          <w:szCs w:val="20"/>
          <w:color w:val="auto"/>
        </w:rPr>
      </w:pPr>
      <w:r>
        <w:rPr>
          <w:rFonts w:ascii="Arial" w:cs="Arial" w:eastAsia="Arial" w:hAnsi="Arial"/>
          <w:sz w:val="18"/>
          <w:szCs w:val="18"/>
          <w:color w:val="auto"/>
        </w:rPr>
        <w:t>In my capacity as Secretary and General Counsel of Schlumberger, I am familiar with the Articles of Incorporation and Amended and Restated By-Laws of Schlumberger, each as amended to date; have familiarized myself with the matters discussed herein; and have examined all statutes and other records, instruments and documents pertaining to Schlumberger and the matters discussed herein that I deem necessary to examine for the purpose of this opinion. I have assumed that all signatures on all documents examined by me are genuine, that all documents submitted to me as originals are accurate and complete, that all documents submitted to me as copies are true and correct copies of the originals thereof and that all information submitted to me was accurate and complete.</w:t>
      </w:r>
    </w:p>
    <w:p>
      <w:pPr>
        <w:spacing w:after="0" w:line="85" w:lineRule="exact"/>
        <w:rPr>
          <w:sz w:val="20"/>
          <w:szCs w:val="20"/>
          <w:color w:val="auto"/>
        </w:rPr>
      </w:pPr>
    </w:p>
    <w:p>
      <w:pPr>
        <w:ind w:right="40" w:firstLine="450"/>
        <w:spacing w:after="0" w:line="272" w:lineRule="auto"/>
        <w:rPr>
          <w:sz w:val="20"/>
          <w:szCs w:val="20"/>
          <w:color w:val="auto"/>
        </w:rPr>
      </w:pPr>
      <w:r>
        <w:rPr>
          <w:rFonts w:ascii="Arial" w:cs="Arial" w:eastAsia="Arial" w:hAnsi="Arial"/>
          <w:sz w:val="17"/>
          <w:szCs w:val="17"/>
          <w:color w:val="auto"/>
        </w:rPr>
        <w:t>Based on my examination as aforesaid, I am of the opinion that following due authorization of a particular award as provided in and in accordance with the 2010 Plan, the 2010 Plan Shares issuable pursuant to such award will have been duly authorized by all necessary corporate action on the part of Schlumberger. Upon issuance and delivery of such 2010 Plan Shares from time to time pursuant to and in accordance with the terms of the 2010 Plan and the applicable award, including, without limitation, the lapse of any restrictions relating thereto, the satisfaction of any performance conditions associated therewith and any requisite determinations by or pursuant to the authority of the Board of Directors of Schlumberger or a duly constituted authorized committee thereof as provided therein, and, in the case of stock option awards, the payment of the exercise price fixed in such option at least equal to the par value of such 2010 Plan Shares, such 2010 Plan Shares will be validly issued, fully paid and nonassessable.</w:t>
      </w:r>
    </w:p>
    <w:p>
      <w:pPr>
        <w:spacing w:after="0" w:line="70" w:lineRule="exact"/>
        <w:rPr>
          <w:sz w:val="20"/>
          <w:szCs w:val="20"/>
          <w:color w:val="auto"/>
        </w:rPr>
      </w:pPr>
    </w:p>
    <w:p>
      <w:pPr>
        <w:ind w:right="660" w:firstLine="447"/>
        <w:spacing w:after="0" w:line="277" w:lineRule="auto"/>
        <w:rPr>
          <w:sz w:val="20"/>
          <w:szCs w:val="20"/>
          <w:color w:val="auto"/>
        </w:rPr>
      </w:pPr>
      <w:r>
        <w:rPr>
          <w:rFonts w:ascii="Arial" w:cs="Arial" w:eastAsia="Arial" w:hAnsi="Arial"/>
          <w:sz w:val="18"/>
          <w:szCs w:val="18"/>
          <w:color w:val="auto"/>
        </w:rPr>
        <w:t>This opinion is limited to the original issuance of 2010 Plan Shares by Schlumberger and does not cover shares of Common Stock delivered by Schlumberger out of shares reacquired by it.</w:t>
      </w:r>
    </w:p>
    <w:p>
      <w:pPr>
        <w:spacing w:after="0" w:line="62" w:lineRule="exact"/>
        <w:rPr>
          <w:sz w:val="20"/>
          <w:szCs w:val="20"/>
          <w:color w:val="auto"/>
        </w:rPr>
      </w:pPr>
    </w:p>
    <w:p>
      <w:pPr>
        <w:jc w:val="both"/>
        <w:ind w:right="160" w:firstLine="450"/>
        <w:spacing w:after="0" w:line="264" w:lineRule="auto"/>
        <w:rPr>
          <w:sz w:val="20"/>
          <w:szCs w:val="20"/>
          <w:color w:val="auto"/>
        </w:rPr>
      </w:pPr>
      <w:r>
        <w:rPr>
          <w:rFonts w:ascii="Arial" w:cs="Arial" w:eastAsia="Arial" w:hAnsi="Arial"/>
          <w:sz w:val="18"/>
          <w:szCs w:val="18"/>
          <w:color w:val="auto"/>
        </w:rPr>
        <w:t>I consent to the filing of this opinion as an exhibit to the Registration Statement. In giving such consent, I do not thereby concede that I am within the category of persons whose consent is required under Section 7 of the Securities Act or the rules and regulations of the Securities and Exchange Commission promulgated thereunder.</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Alexander C. Juden, Esq.</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Alexander C. Juden, Esq.</w:t>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760" w:firstLine="447"/>
        <w:spacing w:after="0" w:line="264" w:lineRule="auto"/>
        <w:rPr>
          <w:sz w:val="20"/>
          <w:szCs w:val="20"/>
          <w:color w:val="auto"/>
        </w:rPr>
      </w:pPr>
      <w:r>
        <w:rPr>
          <w:rFonts w:ascii="Arial" w:cs="Arial" w:eastAsia="Arial" w:hAnsi="Arial"/>
          <w:sz w:val="18"/>
          <w:szCs w:val="18"/>
          <w:color w:val="auto"/>
        </w:rPr>
        <w:t>We hereby consent to the incorporation by reference in this Registration Statement on Form S-8 of Schlumberger Limited of our report dated February 4, 2011 relating to the consolidated financial statements and the effectiveness of internal control over financial reporting, which appears in Schlumberger Limited’s Annual Report on Form 10-K for the year ended December 31, 2010.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2011</w:t>
      </w:r>
    </w:p>
    <w:p>
      <w:pPr>
        <w:sectPr>
          <w:pgSz w:w="11900" w:h="16838" w:orient="portrait"/>
          <w:cols w:equalWidth="0" w:num="1">
            <w:col w:w="11420"/>
          </w:cols>
          <w:pgMar w:left="240" w:top="553"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24</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 w:firstLine="450"/>
        <w:spacing w:after="0" w:line="287"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Curaçao corporation (the “Corporation”), hereby constitutes and appoints Simon Ayat, Howard Guild and Alexander C. Juden, and each of them, the true and lawful attorneys-in-fact and agents of the undersigned, each of whom shall be authorized to act with or without the others, with full power of substitution and resubstitution, for and in the name, place and stead of the undersigned to execute one or more registration statements (whether on Form S-8 or such other form as may be required), with respect to the registration of 30,000,000 shares of common stock, par value $0.01 per share, of the Corporation to be offered and issued under the Schlumberger Limited 2010 Omnibus Stock Incentive Plan, together with any and all necessary amendments (including post-effective amendments) thereto, and any and all other instruments and documents as may be necessary, advisable or appropriate to enable the Corporation to comply with the Securities Act of 1933, as amended, and all other federal and state securities laws, and to file the same or cause the same to be filed, with all exhibits thereto, with the Securities and Exchange Commission. Said attorneys shall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said attorneys.</w:t>
      </w: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Philippe Camus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L.S. Currie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 Vaman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 Vaman Kamath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Nikolay Kudryavtsev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Simon Ayat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8, 2011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E. 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Elizabeth Anne Moler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3473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Elizabeth Anne Moler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Leo Rafael Reif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Tore I.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Henri Seydoux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5240" w:space="720"/>
        <w:col w:w="546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2019-12-10T03:20:18Z</dcterms:created>
  <dcterms:modified xsi:type="dcterms:W3CDTF">2019-12-10T03:20:18Z</dcterms:modified>
</cp:coreProperties>
</file>