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3"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June 30, 2000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1-4601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4100" w:space="720"/>
            <w:col w:w="5419"/>
          </w:cols>
          <w:pgMar w:left="220" w:top="561" w:right="1440" w:bottom="1440" w:gutter="0" w:footer="0" w:header="0"/>
          <w:type w:val="continuous"/>
        </w:sectPr>
      </w:pPr>
    </w:p>
    <w:p>
      <w:pPr>
        <w:spacing w:after="0" w:line="30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SCHLUMBERGER N.V.</w:t>
      </w:r>
    </w:p>
    <w:p>
      <w:pPr>
        <w:ind w:left="2640"/>
        <w:spacing w:after="0" w:line="237" w:lineRule="auto"/>
        <w:rPr>
          <w:sz w:val="20"/>
          <w:szCs w:val="20"/>
          <w:color w:val="auto"/>
        </w:rPr>
      </w:pPr>
      <w:r>
        <w:rPr>
          <w:rFonts w:ascii="Courier New" w:cs="Courier New" w:eastAsia="Courier New" w:hAnsi="Courier New"/>
          <w:sz w:val="15"/>
          <w:szCs w:val="15"/>
          <w:color w:val="auto"/>
        </w:rPr>
        <w:t>(SCHLUMBERGER LIMITED)</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ind w:left="360"/>
              <w:spacing w:after="0"/>
              <w:rPr>
                <w:sz w:val="20"/>
                <w:szCs w:val="20"/>
                <w:color w:val="auto"/>
              </w:rPr>
            </w:pPr>
            <w:r>
              <w:rPr>
                <w:rFonts w:ascii="Courier New" w:cs="Courier New" w:eastAsia="Courier New" w:hAnsi="Courier New"/>
                <w:sz w:val="15"/>
                <w:szCs w:val="15"/>
                <w:color w:val="auto"/>
              </w:rPr>
              <w:t>NETHERLANDS ANTILLES</w:t>
            </w:r>
          </w:p>
        </w:tc>
        <w:tc>
          <w:tcPr>
            <w:tcW w:w="2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52-0684746</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505"/>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277 PARK AVENUE</w:t>
            </w:r>
          </w:p>
        </w:tc>
        <w:tc>
          <w:tcPr>
            <w:tcW w:w="224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NEW YORK, NEW YORK, U.S.A.</w:t>
            </w:r>
          </w:p>
        </w:tc>
        <w:tc>
          <w:tcPr>
            <w:tcW w:w="22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3"/>
              </w:rPr>
              <w:t>10172</w:t>
            </w: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42 RUE SAINT-DOMINIQUE</w:t>
            </w:r>
          </w:p>
        </w:tc>
        <w:tc>
          <w:tcPr>
            <w:tcW w:w="224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PARIS, FRANCE</w:t>
            </w:r>
          </w:p>
        </w:tc>
        <w:tc>
          <w:tcPr>
            <w:tcW w:w="22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3"/>
              </w:rPr>
              <w:t>75007</w:t>
            </w: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PARKSTRAAT 83</w:t>
            </w:r>
          </w:p>
        </w:tc>
        <w:tc>
          <w:tcPr>
            <w:tcW w:w="2240" w:type="dxa"/>
            <w:vAlign w:val="bottom"/>
          </w:tcPr>
          <w:p>
            <w:pPr>
              <w:spacing w:after="0"/>
              <w:rPr>
                <w:sz w:val="24"/>
                <w:szCs w:val="2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HAGUE,</w:t>
            </w:r>
          </w:p>
        </w:tc>
        <w:tc>
          <w:tcPr>
            <w:tcW w:w="224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NETHERLANDS</w:t>
            </w:r>
          </w:p>
        </w:tc>
        <w:tc>
          <w:tcPr>
            <w:tcW w:w="2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2514 JG</w:t>
            </w: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(Addresses of principal executive</w:t>
            </w:r>
          </w:p>
        </w:tc>
        <w:tc>
          <w:tcPr>
            <w:tcW w:w="2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(Zip Codes)</w:t>
            </w:r>
          </w:p>
        </w:tc>
      </w:tr>
      <w:tr>
        <w:trPr>
          <w:trHeight w:val="168"/>
        </w:trPr>
        <w:tc>
          <w:tcPr>
            <w:tcW w:w="3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offices)</w:t>
            </w:r>
          </w:p>
        </w:tc>
        <w:tc>
          <w:tcPr>
            <w:tcW w:w="2240" w:type="dxa"/>
            <w:vAlign w:val="bottom"/>
          </w:tcPr>
          <w:p>
            <w:pPr>
              <w:spacing w:after="0"/>
              <w:rPr>
                <w:sz w:val="14"/>
                <w:szCs w:val="14"/>
                <w:color w:val="auto"/>
              </w:rPr>
            </w:pPr>
          </w:p>
        </w:tc>
      </w:tr>
    </w:tbl>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200" w:lineRule="exact"/>
        <w:rPr>
          <w:sz w:val="24"/>
          <w:szCs w:val="24"/>
          <w:color w:val="auto"/>
        </w:rPr>
      </w:pPr>
    </w:p>
    <w:p>
      <w:pPr>
        <w:spacing w:after="0" w:line="309"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75" w:lineRule="exact"/>
        <w:rPr>
          <w:sz w:val="24"/>
          <w:szCs w:val="24"/>
          <w:color w:val="auto"/>
        </w:rPr>
      </w:pPr>
    </w:p>
    <w:p>
      <w:pPr>
        <w:ind w:left="98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 w:lineRule="exact"/>
        <w:rPr>
          <w:sz w:val="24"/>
          <w:szCs w:val="24"/>
          <w:color w:val="auto"/>
        </w:rPr>
      </w:pPr>
    </w:p>
    <w:p>
      <w:pPr>
        <w:sectPr>
          <w:pgSz w:w="11900" w:h="16838" w:orient="portrait"/>
          <w:cols w:equalWidth="0" w:num="3">
            <w:col w:w="1240" w:space="440"/>
            <w:col w:w="1720" w:space="720"/>
            <w:col w:w="6119"/>
          </w:cols>
          <w:pgMar w:left="220" w:top="561" w:right="1440" w:bottom="1440" w:gutter="0" w:footer="0" w:header="0"/>
          <w:type w:val="continuous"/>
        </w:sectPr>
      </w:pPr>
    </w:p>
    <w:p>
      <w:pPr>
        <w:spacing w:after="0" w:line="4" w:lineRule="exact"/>
        <w:rPr>
          <w:sz w:val="24"/>
          <w:szCs w:val="24"/>
          <w:color w:val="auto"/>
        </w:rPr>
      </w:pPr>
    </w:p>
    <w:p>
      <w:pPr>
        <w:ind w:left="168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660" w:space="720"/>
            <w:col w:w="5859"/>
          </w:cols>
          <w:pgMar w:left="220" w:top="561" w:right="1440" w:bottom="1440" w:gutter="0" w:footer="0" w:header="0"/>
          <w:type w:val="continuous"/>
        </w:sectPr>
      </w:pPr>
    </w:p>
    <w:p>
      <w:pPr>
        <w:spacing w:after="0" w:line="310"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Class</w:t>
      </w:r>
    </w:p>
    <w:p>
      <w:pPr>
        <w:spacing w:after="0" w:line="10"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July 31, 2000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sectPr>
          <w:pgSz w:w="11900" w:h="16838" w:orient="portrait"/>
          <w:cols w:equalWidth="0" w:num="2">
            <w:col w:w="3060" w:space="720"/>
            <w:col w:w="645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570,017,871</w:t>
      </w:r>
    </w:p>
    <w:p>
      <w:pPr>
        <w:sectPr>
          <w:pgSz w:w="11900" w:h="16838" w:orient="portrait"/>
          <w:cols w:equalWidth="0" w:num="2">
            <w:col w:w="3840" w:space="720"/>
            <w:col w:w="5679"/>
          </w:cols>
          <w:pgMar w:left="220" w:top="56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PART I. FINANCIAL INFORMATION</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4460"/>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4360"/>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7180" w:type="dxa"/>
            <w:vAlign w:val="bottom"/>
            <w:gridSpan w:val="4"/>
          </w:tcPr>
          <w:p>
            <w:pPr>
              <w:jc w:val="right"/>
              <w:ind w:right="1847"/>
              <w:spacing w:after="0" w:line="168" w:lineRule="exact"/>
              <w:rPr>
                <w:sz w:val="20"/>
                <w:szCs w:val="20"/>
                <w:color w:val="auto"/>
              </w:rPr>
            </w:pPr>
            <w:r>
              <w:rPr>
                <w:rFonts w:ascii="Courier New" w:cs="Courier New" w:eastAsia="Courier New" w:hAnsi="Courier New"/>
                <w:sz w:val="15"/>
                <w:szCs w:val="15"/>
                <w:color w:val="auto"/>
              </w:rPr>
              <w:t>(Stated in thousands except per share amounts)</w:t>
            </w:r>
          </w:p>
        </w:tc>
        <w:tc>
          <w:tcPr>
            <w:tcW w:w="2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4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Period Ended June 30,</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1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80" w:type="dxa"/>
            <w:vAlign w:val="bottom"/>
            <w:gridSpan w:val="2"/>
          </w:tcPr>
          <w:p>
            <w:pPr>
              <w:jc w:val="right"/>
              <w:ind w:right="1507"/>
              <w:spacing w:after="0" w:line="168" w:lineRule="exact"/>
              <w:rPr>
                <w:sz w:val="20"/>
                <w:szCs w:val="20"/>
                <w:color w:val="auto"/>
              </w:rPr>
            </w:pPr>
            <w:r>
              <w:rPr>
                <w:rFonts w:ascii="Courier New" w:cs="Courier New" w:eastAsia="Courier New" w:hAnsi="Courier New"/>
                <w:sz w:val="15"/>
                <w:szCs w:val="15"/>
                <w:color w:val="auto"/>
              </w:rPr>
              <w:t>Second Quarter</w:t>
            </w:r>
          </w:p>
        </w:tc>
        <w:tc>
          <w:tcPr>
            <w:tcW w:w="34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Six Months</w:t>
            </w:r>
          </w:p>
        </w:tc>
        <w:tc>
          <w:tcPr>
            <w:tcW w:w="78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4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 (1)</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2000</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000" w:type="dxa"/>
            <w:vAlign w:val="bottom"/>
          </w:tcPr>
          <w:p>
            <w:pPr>
              <w:spacing w:after="0"/>
              <w:rPr>
                <w:sz w:val="24"/>
                <w:szCs w:val="24"/>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$ 2,338,266</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$ 2,011,831</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$ 4,475,708</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$ 4,129,135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&amp; other income</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83,541</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53,753</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159,651</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217,864</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2,421,807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2,065,584</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4,635,359</w:t>
            </w:r>
          </w:p>
        </w:tc>
        <w:tc>
          <w:tcPr>
            <w:tcW w:w="2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4,346,999</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 &amp; services</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1,794,136</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1,582,856</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3,427,759</w:t>
            </w:r>
          </w:p>
        </w:tc>
        <w:tc>
          <w:tcPr>
            <w:tcW w:w="2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3,358,433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130,740</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126,354</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261,782</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258,197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110,988</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106,881</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213,997</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210,164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113,455</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94,904</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217,689</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194,094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65,341</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42,874</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128,437</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87,828</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2,214,660</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1,953,869</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4,249,664</w:t>
            </w:r>
          </w:p>
        </w:tc>
        <w:tc>
          <w:tcPr>
            <w:tcW w:w="2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4,108,716</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1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before taxes</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207,147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111,715</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385,695</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238,283</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Taxes on income</w:t>
            </w:r>
          </w:p>
        </w:tc>
        <w:tc>
          <w:tcPr>
            <w:tcW w:w="1000" w:type="dxa"/>
            <w:vAlign w:val="bottom"/>
          </w:tcPr>
          <w:p>
            <w:pPr>
              <w:spacing w:after="0"/>
              <w:rPr>
                <w:sz w:val="24"/>
                <w:szCs w:val="24"/>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51,224</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20,574</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93,614</w:t>
            </w:r>
          </w:p>
        </w:tc>
        <w:tc>
          <w:tcPr>
            <w:tcW w:w="12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78,099</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1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operations (2)</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155,923</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91,141</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292,081</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160,184</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from discontinued operations,</w:t>
            </w: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tax (3)</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36,146</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56,270</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spacing w:after="0"/>
              <w:rPr>
                <w:sz w:val="24"/>
                <w:szCs w:val="24"/>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$ 155,923</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$ 127,287</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$ 292,081</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$ 216,454</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$ 0.16</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$ 0.51</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$ 0.28</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Discontinued Operations</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0.07</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$ 0.23</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$ 0.51</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$ 0.39</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0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(2)</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$ 0.16</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$ 0.51</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$ 0.28</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Discontinued Operations</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0.06</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$ 0.22</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$ 0.51</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$ 0.38</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569,293</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547,112</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568,090</w:t>
            </w:r>
          </w:p>
        </w:tc>
        <w:tc>
          <w:tcPr>
            <w:tcW w:w="12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546,744</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00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579,707</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563,529</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578,124</w:t>
            </w:r>
          </w:p>
        </w:tc>
        <w:tc>
          <w:tcPr>
            <w:tcW w:w="1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561,722</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included in expenses (4)</w:t>
            </w: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$ 311,550</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$ 276,353</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$ 623,893</w:t>
            </w:r>
          </w:p>
        </w:tc>
        <w:tc>
          <w:tcPr>
            <w:tcW w:w="2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$ 552,570</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$ 0.1875</w:t>
            </w:r>
          </w:p>
        </w:tc>
        <w:tc>
          <w:tcPr>
            <w:tcW w:w="2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$ 0.1875</w:t>
            </w:r>
          </w:p>
        </w:tc>
        <w:tc>
          <w:tcPr>
            <w:tcW w:w="2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$ 0.3750</w:t>
            </w:r>
          </w:p>
        </w:tc>
        <w:tc>
          <w:tcPr>
            <w:tcW w:w="12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$ 0.3750</w:t>
            </w:r>
          </w:p>
        </w:tc>
      </w:tr>
      <w:tr>
        <w:trPr>
          <w:trHeight w:val="168"/>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w:t>
            </w:r>
          </w:p>
        </w:tc>
        <w:tc>
          <w:tcPr>
            <w:tcW w:w="2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80"/>
          </w:cols>
          <w:pgMar w:left="220" w:top="617" w:right="299" w:bottom="853" w:gutter="0" w:footer="0" w:header="0"/>
        </w:sectPr>
      </w:pPr>
    </w:p>
    <w:bookmarkStart w:id="2" w:name="page3"/>
    <w:bookmarkEnd w:id="2"/>
    <w:p>
      <w:pPr>
        <w:ind w:left="350" w:hanging="350"/>
        <w:spacing w:after="0"/>
        <w:tabs>
          <w:tab w:leader="none" w:pos="3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comparative purposes.</w:t>
      </w:r>
    </w:p>
    <w:p>
      <w:pPr>
        <w:spacing w:after="0" w:line="172" w:lineRule="exact"/>
        <w:rPr>
          <w:rFonts w:ascii="Courier New" w:cs="Courier New" w:eastAsia="Courier New" w:hAnsi="Courier New"/>
          <w:sz w:val="15"/>
          <w:szCs w:val="15"/>
          <w:color w:val="auto"/>
        </w:rPr>
      </w:pPr>
    </w:p>
    <w:p>
      <w:pPr>
        <w:jc w:val="both"/>
        <w:ind w:left="-10" w:right="3239" w:firstLine="10"/>
        <w:spacing w:after="0" w:line="258" w:lineRule="auto"/>
        <w:tabs>
          <w:tab w:leader="none" w:pos="25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six months 1999 results from Continuing Operations include a pretax charge of $147 million partially offset by a pretax gain of $103 million (net - $58 million after tax, $0.10 per share - diluted), consisting of the following:</w:t>
      </w:r>
    </w:p>
    <w:p>
      <w:pPr>
        <w:spacing w:after="0" w:line="161" w:lineRule="exact"/>
        <w:rPr>
          <w:sz w:val="20"/>
          <w:szCs w:val="20"/>
          <w:color w:val="auto"/>
        </w:rPr>
      </w:pPr>
    </w:p>
    <w:p>
      <w:pPr>
        <w:ind w:left="430" w:right="3139" w:hanging="343"/>
        <w:spacing w:after="0" w:line="235" w:lineRule="auto"/>
        <w:tabs>
          <w:tab w:leader="none" w:pos="51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$118 million ($118 million after tax) related to the downsizing of its global Oilfield Services activities, including $108 million of severance cost and $10 million for asset impairments.</w:t>
      </w:r>
    </w:p>
    <w:p>
      <w:pPr>
        <w:spacing w:after="0" w:line="174" w:lineRule="exact"/>
        <w:rPr>
          <w:sz w:val="20"/>
          <w:szCs w:val="20"/>
          <w:color w:val="auto"/>
        </w:rPr>
      </w:pPr>
    </w:p>
    <w:p>
      <w:pPr>
        <w:ind w:left="430" w:right="3139" w:hanging="343"/>
        <w:spacing w:after="0" w:line="235" w:lineRule="auto"/>
        <w:tabs>
          <w:tab w:leader="none" w:pos="51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($20 million after tax) related to RMS and Test &amp; Transactions, consisting principally of $16 million of severance cost at several RMS facilities resulting from a downturn in business and $5 million of asset write-downs.</w:t>
      </w:r>
    </w:p>
    <w:p>
      <w:pPr>
        <w:spacing w:after="0" w:line="175" w:lineRule="exact"/>
        <w:rPr>
          <w:sz w:val="20"/>
          <w:szCs w:val="20"/>
          <w:color w:val="auto"/>
        </w:rPr>
      </w:pPr>
    </w:p>
    <w:p>
      <w:pPr>
        <w:ind w:left="430" w:right="3139" w:hanging="343"/>
        <w:spacing w:after="0" w:line="236" w:lineRule="auto"/>
        <w:tabs>
          <w:tab w:leader="none" w:pos="51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RPS. The pretax gain on the sale of financial instruments is included in Interest &amp; other income. The pretax charge of $147 million is classified in Cost of goods sold and services.</w:t>
      </w:r>
    </w:p>
    <w:p>
      <w:pPr>
        <w:sectPr>
          <w:pgSz w:w="11900" w:h="16838" w:orient="portrait"/>
          <w:cols w:equalWidth="0" w:num="1">
            <w:col w:w="10229"/>
          </w:cols>
          <w:pgMar w:left="230" w:top="617" w:right="1440" w:bottom="1440" w:gutter="0" w:footer="0" w:header="0"/>
        </w:sectPr>
      </w:pPr>
    </w:p>
    <w:p>
      <w:pPr>
        <w:spacing w:after="0" w:line="174" w:lineRule="exact"/>
        <w:rPr>
          <w:sz w:val="20"/>
          <w:szCs w:val="20"/>
          <w:color w:val="auto"/>
        </w:rPr>
      </w:pPr>
    </w:p>
    <w:p>
      <w:pPr>
        <w:ind w:left="-10" w:firstLine="10"/>
        <w:spacing w:after="0" w:line="235" w:lineRule="auto"/>
        <w:tabs>
          <w:tab w:leader="none" w:pos="3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 in 1999 include the operating off Sedco Forex business. The six months 1999 results charge of $33 million ($0.06 per share - diluted) for million) and legal claims.</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results of the spun-</w:t>
      </w:r>
    </w:p>
    <w:p>
      <w:pPr>
        <w:spacing w:after="0" w:line="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include an</w:t>
      </w:r>
      <w:r>
        <w:rPr>
          <w:sz w:val="20"/>
          <w:szCs w:val="20"/>
          <w:color w:val="auto"/>
        </w:rPr>
        <w:tab/>
      </w:r>
      <w:r>
        <w:rPr>
          <w:rFonts w:ascii="Courier New" w:cs="Courier New" w:eastAsia="Courier New" w:hAnsi="Courier New"/>
          <w:sz w:val="14"/>
          <w:szCs w:val="14"/>
          <w:color w:val="auto"/>
        </w:rPr>
        <w:t>after-tax</w:t>
      </w:r>
    </w:p>
    <w:p>
      <w:pPr>
        <w:spacing w:after="0"/>
        <w:tabs>
          <w:tab w:leader="none" w:pos="940" w:val="left"/>
        </w:tabs>
        <w:rPr>
          <w:sz w:val="20"/>
          <w:szCs w:val="20"/>
          <w:color w:val="auto"/>
        </w:rPr>
      </w:pPr>
      <w:r>
        <w:rPr>
          <w:rFonts w:ascii="Courier New" w:cs="Courier New" w:eastAsia="Courier New" w:hAnsi="Courier New"/>
          <w:sz w:val="15"/>
          <w:szCs w:val="15"/>
          <w:color w:val="auto"/>
        </w:rPr>
        <w:t>severance</w:t>
      </w:r>
      <w:r>
        <w:rPr>
          <w:sz w:val="20"/>
          <w:szCs w:val="20"/>
          <w:color w:val="auto"/>
        </w:rPr>
        <w:tab/>
      </w:r>
      <w:r>
        <w:rPr>
          <w:rFonts w:ascii="Courier New" w:cs="Courier New" w:eastAsia="Courier New" w:hAnsi="Courier New"/>
          <w:sz w:val="14"/>
          <w:szCs w:val="14"/>
          <w:color w:val="auto"/>
        </w:rPr>
        <w:t>costs ($13</w:t>
      </w:r>
    </w:p>
    <w:p>
      <w:pPr>
        <w:spacing w:after="0" w:line="677" w:lineRule="exact"/>
        <w:rPr>
          <w:sz w:val="20"/>
          <w:szCs w:val="20"/>
          <w:color w:val="auto"/>
        </w:rPr>
      </w:pPr>
    </w:p>
    <w:p>
      <w:pPr>
        <w:sectPr>
          <w:pgSz w:w="11900" w:h="16838" w:orient="portrait"/>
          <w:cols w:equalWidth="0" w:num="2">
            <w:col w:w="5070" w:space="100"/>
            <w:col w:w="5059"/>
          </w:cols>
          <w:pgMar w:left="230" w:top="617" w:right="1440" w:bottom="1440" w:gutter="0" w:footer="0" w:header="0"/>
          <w:type w:val="continuous"/>
        </w:sectPr>
      </w:pPr>
    </w:p>
    <w:p>
      <w:pPr>
        <w:jc w:val="center"/>
        <w:ind w:right="322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1"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17" w:right="1440" w:bottom="1440" w:gutter="0" w:footer="0" w:header="0"/>
          <w:type w:val="continuous"/>
        </w:sectPr>
      </w:pPr>
    </w:p>
    <w:bookmarkStart w:id="3" w:name="page4"/>
    <w:bookmarkEnd w:id="3"/>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tbl>
      <w:tblPr>
        <w:tblLayout w:type="fixed"/>
        <w:tblInd w:w="0" w:type="dxa"/>
        <w:tblCellMar>
          <w:top w:w="0" w:type="dxa"/>
          <w:left w:w="0" w:type="dxa"/>
          <w:bottom w:w="0" w:type="dxa"/>
          <w:right w:w="0" w:type="dxa"/>
        </w:tblCellMar>
      </w:tblPr>
      <w:tr>
        <w:trPr>
          <w:trHeight w:val="168"/>
        </w:trPr>
        <w:tc>
          <w:tcPr>
            <w:tcW w:w="5700" w:type="dxa"/>
            <w:vAlign w:val="bottom"/>
            <w:gridSpan w:val="2"/>
          </w:tcPr>
          <w:p>
            <w:pPr>
              <w:jc w:val="center"/>
              <w:ind w:left="1247"/>
              <w:spacing w:after="0" w:line="168" w:lineRule="exact"/>
              <w:rPr>
                <w:sz w:val="20"/>
                <w:szCs w:val="20"/>
                <w:color w:val="auto"/>
              </w:rPr>
            </w:pPr>
            <w:r>
              <w:rPr>
                <w:rFonts w:ascii="Courier New" w:cs="Courier New" w:eastAsia="Courier New" w:hAnsi="Courier New"/>
                <w:sz w:val="15"/>
                <w:szCs w:val="15"/>
                <w:color w:val="auto"/>
                <w:w w:val="97"/>
              </w:rPr>
              <w:t>and Subsidiary Companies</w:t>
            </w:r>
          </w:p>
        </w:tc>
        <w:tc>
          <w:tcPr>
            <w:tcW w:w="1220" w:type="dxa"/>
            <w:vAlign w:val="bottom"/>
          </w:tcPr>
          <w:p>
            <w:pPr>
              <w:spacing w:after="0"/>
              <w:rPr>
                <w:sz w:val="14"/>
                <w:szCs w:val="14"/>
                <w:color w:val="auto"/>
              </w:rPr>
            </w:pPr>
          </w:p>
        </w:tc>
      </w:tr>
      <w:tr>
        <w:trPr>
          <w:trHeight w:val="336"/>
        </w:trPr>
        <w:tc>
          <w:tcPr>
            <w:tcW w:w="5700" w:type="dxa"/>
            <w:vAlign w:val="bottom"/>
            <w:gridSpan w:val="2"/>
          </w:tcPr>
          <w:p>
            <w:pPr>
              <w:jc w:val="center"/>
              <w:ind w:left="1247"/>
              <w:spacing w:after="0"/>
              <w:rPr>
                <w:sz w:val="20"/>
                <w:szCs w:val="20"/>
                <w:color w:val="auto"/>
              </w:rPr>
            </w:pPr>
            <w:r>
              <w:rPr>
                <w:rFonts w:ascii="Courier New" w:cs="Courier New" w:eastAsia="Courier New" w:hAnsi="Courier New"/>
                <w:sz w:val="15"/>
                <w:szCs w:val="15"/>
                <w:color w:val="auto"/>
                <w:w w:val="96"/>
              </w:rPr>
              <w:t>CONSOLIDATED BALANCE SHEET</w:t>
            </w:r>
          </w:p>
        </w:tc>
        <w:tc>
          <w:tcPr>
            <w:tcW w:w="1220" w:type="dxa"/>
            <w:vAlign w:val="bottom"/>
          </w:tcPr>
          <w:p>
            <w:pPr>
              <w:spacing w:after="0"/>
              <w:rPr>
                <w:sz w:val="24"/>
                <w:szCs w:val="24"/>
                <w:color w:val="auto"/>
              </w:rPr>
            </w:pPr>
          </w:p>
        </w:tc>
      </w:tr>
      <w:tr>
        <w:trPr>
          <w:trHeight w:val="168"/>
        </w:trPr>
        <w:tc>
          <w:tcPr>
            <w:tcW w:w="5700" w:type="dxa"/>
            <w:vAlign w:val="bottom"/>
            <w:gridSpan w:val="2"/>
          </w:tcPr>
          <w:p>
            <w:pPr>
              <w:jc w:val="center"/>
              <w:ind w:left="12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spacing w:after="0"/>
              <w:rPr>
                <w:sz w:val="14"/>
                <w:szCs w:val="14"/>
                <w:color w:val="auto"/>
              </w:rPr>
            </w:pPr>
          </w:p>
        </w:tc>
      </w:tr>
      <w:tr>
        <w:trPr>
          <w:trHeight w:val="168"/>
        </w:trPr>
        <w:tc>
          <w:tcPr>
            <w:tcW w:w="430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rPr>
              <w:t>(Unaudited)</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300" w:type="dxa"/>
            <w:vAlign w:val="bottom"/>
          </w:tcPr>
          <w:p>
            <w:pPr>
              <w:spacing w:after="0"/>
              <w:rPr>
                <w:sz w:val="24"/>
                <w:szCs w:val="24"/>
                <w:color w:val="auto"/>
              </w:rPr>
            </w:pPr>
          </w:p>
        </w:tc>
        <w:tc>
          <w:tcPr>
            <w:tcW w:w="26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Jun. 30,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 31,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 (1)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$3,695,676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$4,389,837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Receivables less allowance for doubtful accounts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(2000 - $79,018; 1999 - $89,030)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2,616,429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2,429,842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1,018,757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956,980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257,642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226,238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273,079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258,532</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7,861,583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8,261,429</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1,307,461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726,496</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INVESTMENTS IN AFFILIATED COMPANIES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612,440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535,434</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10,051,836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9,639,274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(6,298,394)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(6,078,534)</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3,753,442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3,560,740</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MULTICLIENT SEISMIC DATA</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319,234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311,520</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COMPANIES PURCHASED less amortization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1,358,813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1,333,681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272,373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242,616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137,468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109,276</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$15,622,814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$15,081,192</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$2,418,102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$2,282,884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420,334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383,159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loans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468,415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444,221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payable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107,453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106,653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26,344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257,571</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3,440,648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3,474,488</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3,573,545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3,183,174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464,905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451,466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243,758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251,036</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7,722,856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7,360,164</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1,859,961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1,820,186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7,995,648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7,916,612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(1,808,694)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(1,878,612)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(146,957)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(137,158)</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7,899,958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7,721,028</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$15,622,814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$15,081,192</w:t>
            </w:r>
          </w:p>
        </w:tc>
      </w:tr>
      <w:tr>
        <w:trPr>
          <w:trHeight w:val="168"/>
        </w:trPr>
        <w:tc>
          <w:tcPr>
            <w:tcW w:w="430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Restated for comparative purposes.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ind w:left="19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2700" w:type="dxa"/>
            <w:vAlign w:val="bottom"/>
          </w:tcPr>
          <w:p>
            <w:pPr>
              <w:ind w:left="660"/>
              <w:spacing w:after="0" w:line="169" w:lineRule="exact"/>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2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24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5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2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2000</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1999 (1)</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Net income from continuing operations</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$ 292,081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$ 160,184</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cash</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2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 (2)</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623,893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552,570</w:t>
            </w:r>
          </w:p>
        </w:tc>
      </w:tr>
      <w:tr>
        <w:trPr>
          <w:trHeight w:val="168"/>
        </w:trPr>
        <w:tc>
          <w:tcPr>
            <w:tcW w:w="51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2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less dividends received (Dividends:</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2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2000 - $0; 1999 - $616)</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(13,583)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(4,332)</w:t>
            </w: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15,316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18,928</w:t>
            </w: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receivables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(222,935)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126,936</w:t>
            </w: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(57,158)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42,791</w:t>
            </w: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deferred taxes on income</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(23,669)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463</w:t>
            </w: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7"/>
              </w:rPr>
              <w:t>Increase (decrease) in accounts payable and accrued</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4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liabilities</w:t>
            </w:r>
          </w:p>
        </w:tc>
        <w:tc>
          <w:tcPr>
            <w:tcW w:w="270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56,683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(208,995)</w:t>
            </w:r>
          </w:p>
        </w:tc>
      </w:tr>
      <w:tr>
        <w:trPr>
          <w:trHeight w:val="168"/>
        </w:trPr>
        <w:tc>
          <w:tcPr>
            <w:tcW w:w="2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w:t>
            </w:r>
          </w:p>
        </w:tc>
        <w:tc>
          <w:tcPr>
            <w:tcW w:w="2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estimated liability</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12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(59,227)</w:t>
            </w:r>
          </w:p>
        </w:tc>
      </w:tr>
      <w:tr>
        <w:trPr>
          <w:trHeight w:val="168"/>
        </w:trPr>
        <w:tc>
          <w:tcPr>
            <w:tcW w:w="2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Charge</w:t>
            </w:r>
          </w:p>
        </w:tc>
        <w:tc>
          <w:tcPr>
            <w:tcW w:w="270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57,568</w:t>
            </w:r>
          </w:p>
        </w:tc>
      </w:tr>
      <w:tr>
        <w:trPr>
          <w:trHeight w:val="168"/>
        </w:trPr>
        <w:tc>
          <w:tcPr>
            <w:tcW w:w="2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 net</w:t>
            </w:r>
          </w:p>
        </w:tc>
        <w:tc>
          <w:tcPr>
            <w:tcW w:w="270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(105,934)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(13,486)</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603,997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673,400</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Purchase of fixed assets</w:t>
            </w:r>
          </w:p>
        </w:tc>
        <w:tc>
          <w:tcPr>
            <w:tcW w:w="270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(528,960)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(399,596)</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(119,940)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(111,049)</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Sales/retirements of fixed assets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54,060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(14,538)</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investments</w:t>
            </w:r>
          </w:p>
        </w:tc>
        <w:tc>
          <w:tcPr>
            <w:tcW w:w="270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136,309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184,853</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203,572</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Businesses acquired</w:t>
            </w:r>
          </w:p>
        </w:tc>
        <w:tc>
          <w:tcPr>
            <w:tcW w:w="270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(261,446)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(54,581)</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(41,047)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5,871</w:t>
            </w:r>
          </w:p>
        </w:tc>
      </w:tr>
      <w:tr>
        <w:trPr>
          <w:trHeight w:val="168"/>
        </w:trPr>
        <w:tc>
          <w:tcPr>
            <w:tcW w:w="51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(147,654)</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(761,024)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(333,122)</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270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(212,368)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(204,839)</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61,560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52,250</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109,693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38,943</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530,939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620,000</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Payments of principal on long-term debt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(333,943)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(600,000)</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26,937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(194,607)</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182,818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(288,253)</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270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25,791</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52,025</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270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132,589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105,321</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270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$ 158,380</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$ 157,346</w:t>
            </w:r>
          </w:p>
        </w:tc>
      </w:tr>
      <w:tr>
        <w:trPr>
          <w:trHeight w:val="168"/>
        </w:trPr>
        <w:tc>
          <w:tcPr>
            <w:tcW w:w="2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comparative purposes.</w:t>
      </w:r>
    </w:p>
    <w:p>
      <w:pPr>
        <w:ind w:left="440" w:hanging="430"/>
        <w:spacing w:after="0" w:line="237"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3"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and Subsidiary Companies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STOCKHOLDERS' EQUITY</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9" w:lineRule="exact"/>
        <w:rPr>
          <w:sz w:val="20"/>
          <w:szCs w:val="20"/>
          <w:color w:val="auto"/>
        </w:rPr>
      </w:pPr>
    </w:p>
    <w:p>
      <w:pPr>
        <w:ind w:left="920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1120"/>
          </w:cols>
          <w:pgMar w:left="220" w:top="617" w:right="559" w:bottom="1440" w:gutter="0" w:footer="0" w:header="0"/>
        </w:sectPr>
      </w:pPr>
    </w:p>
    <w:p>
      <w:pPr>
        <w:spacing w:after="0" w:line="178"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Translation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10" w:lineRule="exact"/>
        <w:rPr>
          <w:sz w:val="20"/>
          <w:szCs w:val="20"/>
          <w:color w:val="auto"/>
        </w:rPr>
      </w:pPr>
    </w:p>
    <w:p>
      <w:pPr>
        <w:sectPr>
          <w:pgSz w:w="11900" w:h="16838" w:orient="portrait"/>
          <w:cols w:equalWidth="0" w:num="4">
            <w:col w:w="5420" w:space="720"/>
            <w:col w:w="940" w:space="720"/>
            <w:col w:w="1120" w:space="720"/>
            <w:col w:w="1480"/>
          </w:cols>
          <w:pgMar w:left="220" w:top="617" w:right="559" w:bottom="1440" w:gutter="0" w:footer="0" w:header="0"/>
          <w:type w:val="continuous"/>
        </w:sectPr>
      </w:pPr>
    </w:p>
    <w:p>
      <w:pPr>
        <w:ind w:left="2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220" w:top="617" w:right="559" w:bottom="1440" w:gutter="0" w:footer="0" w:header="0"/>
          <w:type w:val="continuous"/>
        </w:sectPr>
      </w:pPr>
    </w:p>
    <w:p>
      <w:pPr>
        <w:spacing w:after="0" w:line="10" w:lineRule="exact"/>
        <w:rPr>
          <w:sz w:val="20"/>
          <w:szCs w:val="20"/>
          <w:color w:val="auto"/>
        </w:rPr>
      </w:pPr>
    </w:p>
    <w:p>
      <w:pPr>
        <w:ind w:left="2280" w:firstLine="350"/>
        <w:spacing w:after="0" w:line="234" w:lineRule="auto"/>
        <w:rPr>
          <w:sz w:val="20"/>
          <w:szCs w:val="20"/>
          <w:color w:val="auto"/>
        </w:rPr>
      </w:pPr>
      <w:r>
        <w:rPr>
          <w:rFonts w:ascii="Courier New" w:cs="Courier New" w:eastAsia="Courier New" w:hAnsi="Courier New"/>
          <w:sz w:val="15"/>
          <w:szCs w:val="15"/>
          <w:color w:val="auto"/>
        </w:rPr>
        <w:t>Issued In Treasury --------------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Adjustment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4">
            <w:col w:w="5600" w:space="180"/>
            <w:col w:w="1480" w:space="280"/>
            <w:col w:w="1560" w:space="260"/>
            <w:col w:w="1760"/>
          </w:cols>
          <w:pgMar w:left="220" w:top="617" w:right="55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2000</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$1,820,186</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$(1,878,612)</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$7,916,612</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$(137,158)</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2"/>
          <w:szCs w:val="12"/>
          <w:color w:val="auto"/>
        </w:rPr>
        <w:t>$</w:t>
        <w:tab/>
        <w:t>-</w:t>
      </w:r>
    </w:p>
    <w:p>
      <w:pPr>
        <w:spacing w:after="0" w:line="200" w:lineRule="exact"/>
        <w:rPr>
          <w:sz w:val="20"/>
          <w:szCs w:val="20"/>
          <w:color w:val="auto"/>
        </w:rPr>
      </w:pPr>
    </w:p>
    <w:p>
      <w:pPr>
        <w:sectPr>
          <w:pgSz w:w="11900" w:h="16838" w:orient="portrait"/>
          <w:cols w:equalWidth="0" w:num="6">
            <w:col w:w="2100" w:space="440"/>
            <w:col w:w="1300" w:space="720"/>
            <w:col w:w="1040" w:space="700"/>
            <w:col w:w="1220" w:space="720"/>
            <w:col w:w="1200" w:space="720"/>
            <w:col w:w="960"/>
          </w:cols>
          <w:pgMar w:left="220" w:top="617"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292,081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292,081</w:t>
      </w:r>
    </w:p>
    <w:p>
      <w:pPr>
        <w:spacing w:after="0" w:line="178" w:lineRule="exact"/>
        <w:rPr>
          <w:sz w:val="20"/>
          <w:szCs w:val="20"/>
          <w:color w:val="auto"/>
        </w:rPr>
      </w:pPr>
    </w:p>
    <w:p>
      <w:pPr>
        <w:sectPr>
          <w:pgSz w:w="11900" w:h="16838" w:orient="portrait"/>
          <w:cols w:equalWidth="0" w:num="3">
            <w:col w:w="5840" w:space="720"/>
            <w:col w:w="3140" w:space="720"/>
            <w:col w:w="700"/>
          </w:cols>
          <w:pgMar w:left="220" w:top="617"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(9,799)</w:t>
      </w:r>
    </w:p>
    <w:p>
      <w:pPr>
        <w:spacing w:after="0" w:line="178" w:lineRule="exact"/>
        <w:rPr>
          <w:sz w:val="20"/>
          <w:szCs w:val="20"/>
          <w:color w:val="auto"/>
        </w:rPr>
      </w:pPr>
    </w:p>
    <w:p>
      <w:pPr>
        <w:sectPr>
          <w:pgSz w:w="11900" w:h="16838" w:orient="portrait"/>
          <w:cols w:equalWidth="0" w:num="3">
            <w:col w:w="7780" w:space="720"/>
            <w:col w:w="1280" w:space="720"/>
            <w:col w:w="620"/>
          </w:cols>
          <w:pgMar w:left="220" w:top="617"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(213,045)</w:t>
      </w:r>
    </w:p>
    <w:p>
      <w:pPr>
        <w:spacing w:after="0" w:line="178" w:lineRule="exact"/>
        <w:rPr>
          <w:sz w:val="20"/>
          <w:szCs w:val="20"/>
          <w:color w:val="auto"/>
        </w:rPr>
      </w:pPr>
    </w:p>
    <w:p>
      <w:pPr>
        <w:sectPr>
          <w:pgSz w:w="11900" w:h="16838" w:orient="portrait"/>
          <w:cols w:equalWidth="0" w:num="2">
            <w:col w:w="5760" w:space="720"/>
            <w:col w:w="4640"/>
          </w:cols>
          <w:pgMar w:left="220" w:top="617"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39,775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69,918</w:t>
      </w:r>
    </w:p>
    <w:p>
      <w:pPr>
        <w:spacing w:after="0" w:line="200" w:lineRule="exact"/>
        <w:rPr>
          <w:sz w:val="20"/>
          <w:szCs w:val="20"/>
          <w:color w:val="auto"/>
        </w:rPr>
      </w:pPr>
    </w:p>
    <w:p>
      <w:pPr>
        <w:sectPr>
          <w:pgSz w:w="11900" w:h="16838" w:orient="portrait"/>
          <w:cols w:equalWidth="0" w:num="3">
            <w:col w:w="2180" w:space="720"/>
            <w:col w:w="1380" w:space="720"/>
            <w:col w:w="6120"/>
          </w:cols>
          <w:pgMar w:left="220" w:top="617" w:right="55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June 30, 2000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$1,859,961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right"/>
        <w:spacing w:after="0" w:line="258" w:lineRule="auto"/>
        <w:rPr>
          <w:sz w:val="20"/>
          <w:szCs w:val="20"/>
          <w:color w:val="auto"/>
        </w:rPr>
      </w:pPr>
      <w:r>
        <w:rPr>
          <w:rFonts w:ascii="Courier New" w:cs="Courier New" w:eastAsia="Courier New" w:hAnsi="Courier New"/>
          <w:sz w:val="14"/>
          <w:szCs w:val="14"/>
          <w:color w:val="auto"/>
        </w:rPr>
        <w:t>--------------------- $(1,808,694)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$7,995,648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$(146,957)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$ 282,282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6">
            <w:col w:w="1940" w:space="340"/>
            <w:col w:w="1220" w:space="280"/>
            <w:col w:w="1820" w:space="180"/>
            <w:col w:w="1480" w:space="280"/>
            <w:col w:w="1560" w:space="260"/>
            <w:col w:w="1760"/>
          </w:cols>
          <w:pgMar w:left="220" w:top="617"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120"/>
          </w:cols>
          <w:pgMar w:left="220" w:top="617" w:right="559" w:bottom="1440" w:gutter="0" w:footer="0" w:header="0"/>
          <w:type w:val="continuous"/>
        </w:sectPr>
      </w:pPr>
    </w:p>
    <w:bookmarkStart w:id="6" w:name="page7"/>
    <w:bookmarkEnd w:id="6"/>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1999 Annual Report. These policies have been consistently applied during the interim period presented in this report. The results of operations for the six month period ended June 30, 2000 are not necessarily indicative of the results of operations that may be expected for the entire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following is a reconciliation from basic earnings per share to diluted earnings per share for the second quarter and the first six months of 2000: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(Stated in thousands except per share amounts)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Average</w:t>
      </w:r>
    </w:p>
    <w:p>
      <w:pPr>
        <w:ind w:left="180"/>
        <w:spacing w:after="0" w:line="237" w:lineRule="auto"/>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Earnings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10" w:lineRule="exact"/>
        <w:rPr>
          <w:sz w:val="20"/>
          <w:szCs w:val="20"/>
          <w:color w:val="auto"/>
        </w:rPr>
      </w:pPr>
    </w:p>
    <w:p>
      <w:pPr>
        <w:sectPr>
          <w:pgSz w:w="11900" w:h="16838" w:orient="portrait"/>
          <w:cols w:equalWidth="0" w:num="4">
            <w:col w:w="3060" w:space="720"/>
            <w:col w:w="1280" w:space="720"/>
            <w:col w:w="1460" w:space="720"/>
            <w:col w:w="2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900" w:space="540"/>
            <w:col w:w="1740" w:space="520"/>
            <w:col w:w="2539"/>
          </w:cols>
          <w:pgMar w:left="220" w:top="617"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$ 155,923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840"/>
        <w:spacing w:after="0"/>
        <w:rPr>
          <w:sz w:val="20"/>
          <w:szCs w:val="20"/>
          <w:color w:val="auto"/>
        </w:rPr>
      </w:pPr>
      <w:r>
        <w:rPr>
          <w:rFonts w:ascii="Courier New" w:cs="Courier New" w:eastAsia="Courier New" w:hAnsi="Courier New"/>
          <w:sz w:val="14"/>
          <w:szCs w:val="14"/>
          <w:color w:val="auto"/>
        </w:rPr>
        <w:t>569,293</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$0.27</w:t>
      </w:r>
    </w:p>
    <w:p>
      <w:pPr>
        <w:spacing w:after="0" w:line="10" w:lineRule="exact"/>
        <w:rPr>
          <w:sz w:val="20"/>
          <w:szCs w:val="20"/>
          <w:color w:val="auto"/>
        </w:rPr>
      </w:pPr>
    </w:p>
    <w:p>
      <w:pPr>
        <w:sectPr>
          <w:pgSz w:w="11900" w:h="16838" w:orient="portrait"/>
          <w:cols w:equalWidth="0" w:num="4">
            <w:col w:w="3320" w:space="720"/>
            <w:col w:w="1720" w:space="720"/>
            <w:col w:w="1460" w:space="720"/>
            <w:col w:w="15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10,414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5840" w:space="720"/>
            <w:col w:w="1740" w:space="720"/>
            <w:col w:w="1219"/>
          </w:cols>
          <w:pgMar w:left="220" w:top="617"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$ 155,923</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579,707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$0.27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4900" w:space="540"/>
            <w:col w:w="1740" w:space="520"/>
            <w:col w:w="2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Six Months</w:t>
      </w:r>
    </w:p>
    <w:p>
      <w:pPr>
        <w:sectPr>
          <w:pgSz w:w="11900" w:h="16838" w:orient="portrait"/>
          <w:cols w:equalWidth="0" w:num="1">
            <w:col w:w="10239"/>
          </w:cols>
          <w:pgMar w:left="220" w:top="617" w:right="1440" w:bottom="1440" w:gutter="0" w:footer="0" w:header="0"/>
          <w:type w:val="continuous"/>
        </w:sectPr>
      </w:pPr>
    </w:p>
    <w:p>
      <w:pPr>
        <w:spacing w:after="0" w:line="171"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Net</w:t>
      </w:r>
    </w:p>
    <w:p>
      <w:pPr>
        <w:ind w:left="3780"/>
        <w:spacing w:after="0" w:line="237" w:lineRule="auto"/>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Average</w:t>
      </w:r>
    </w:p>
    <w:p>
      <w:pPr>
        <w:ind w:left="700"/>
        <w:spacing w:after="0" w:line="237" w:lineRule="auto"/>
        <w:rPr>
          <w:sz w:val="20"/>
          <w:szCs w:val="20"/>
          <w:color w:val="auto"/>
        </w:rPr>
      </w:pPr>
      <w:r>
        <w:rPr>
          <w:rFonts w:ascii="Courier New" w:cs="Courier New" w:eastAsia="Courier New" w:hAnsi="Courier New"/>
          <w:sz w:val="15"/>
          <w:szCs w:val="15"/>
          <w:color w:val="auto"/>
        </w:rPr>
        <w:t>Shares</w:t>
      </w:r>
    </w:p>
    <w:p>
      <w:pPr>
        <w:ind w:left="520"/>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Earnings</w:t>
      </w:r>
    </w:p>
    <w:p>
      <w:pPr>
        <w:ind w:left="440"/>
        <w:spacing w:after="0" w:line="237" w:lineRule="auto"/>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3">
            <w:col w:w="4900" w:space="540"/>
            <w:col w:w="1740" w:space="520"/>
            <w:col w:w="2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$ 292,081</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Courier New" w:cs="Courier New" w:eastAsia="Courier New" w:hAnsi="Courier New"/>
          <w:sz w:val="14"/>
          <w:szCs w:val="14"/>
          <w:color w:val="auto"/>
        </w:rPr>
        <w:t>568,090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$0.51</w:t>
      </w:r>
    </w:p>
    <w:p>
      <w:pPr>
        <w:spacing w:after="0" w:line="10" w:lineRule="exact"/>
        <w:rPr>
          <w:sz w:val="20"/>
          <w:szCs w:val="20"/>
          <w:color w:val="auto"/>
        </w:rPr>
      </w:pPr>
    </w:p>
    <w:p>
      <w:pPr>
        <w:sectPr>
          <w:pgSz w:w="11900" w:h="16838" w:orient="portrait"/>
          <w:cols w:equalWidth="0" w:num="4">
            <w:col w:w="3320" w:space="720"/>
            <w:col w:w="1720" w:space="720"/>
            <w:col w:w="1460" w:space="720"/>
            <w:col w:w="15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10,034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5840" w:space="720"/>
            <w:col w:w="1740" w:space="720"/>
            <w:col w:w="1219"/>
          </w:cols>
          <w:pgMar w:left="220" w:top="617"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$ 292,081</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578,124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$0.51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900" w:space="540"/>
            <w:col w:w="1740" w:space="520"/>
            <w:col w:w="2539"/>
          </w:cols>
          <w:pgMar w:left="220" w:top="6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FOURTH QUARTER CHARGE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 December 1999, Schlumberger recorded a pretax charge of $77 million related to the asset impairments ($56 million) and severance costs ($13 million - 300</w:t>
      </w:r>
    </w:p>
    <w:p>
      <w:pPr>
        <w:sectPr>
          <w:pgSz w:w="11900" w:h="16838" w:orient="portrait"/>
          <w:cols w:equalWidth="0" w:num="1">
            <w:col w:w="10239"/>
          </w:cols>
          <w:pgMar w:left="220" w:top="617" w:right="1440" w:bottom="1440" w:gutter="0" w:footer="0" w:header="0"/>
          <w:type w:val="continuous"/>
        </w:sectPr>
      </w:pPr>
    </w:p>
    <w:p>
      <w:pPr>
        <w:spacing w:after="0" w:line="1"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people) for reductions in the marine seismic fleet and restructuring of its land drilling activity. At June 30, 2000, substantially all costs have been paid.</w:t>
      </w:r>
    </w:p>
    <w:p>
      <w:pPr>
        <w:spacing w:after="0" w:line="32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DISCONTINUED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Discontinued operations, in 1999, reflect the net operating results after taxes of Schlumberger's offshore contract drilling business, Sedco Forex, which was spun-off in December 1999.</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Summarized financial information for the discontinued operations for the six months ended June 30, 1999 is as follows:</w:t>
      </w:r>
    </w:p>
    <w:p>
      <w:pPr>
        <w:spacing w:after="0" w:line="16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million</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million</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after taxes</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million</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Investments in affiliated companies include Schlumberger's 40% investment of $426 million in the MI Drilling Fluids joint venture.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SEGMENT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540"/>
        <w:spacing w:after="0"/>
        <w:rPr>
          <w:sz w:val="20"/>
          <w:szCs w:val="20"/>
          <w:color w:val="auto"/>
        </w:rPr>
      </w:pPr>
      <w:r>
        <w:rPr>
          <w:rFonts w:ascii="Courier New" w:cs="Courier New" w:eastAsia="Courier New" w:hAnsi="Courier New"/>
          <w:sz w:val="15"/>
          <w:szCs w:val="15"/>
          <w:color w:val="auto"/>
        </w:rPr>
        <w:t>(Stated in millions)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80"/>
        <w:spacing w:after="0"/>
        <w:tabs>
          <w:tab w:leader="none" w:pos="1120" w:val="left"/>
          <w:tab w:leader="none" w:pos="1920" w:val="left"/>
          <w:tab w:leader="none" w:pos="3140" w:val="left"/>
          <w:tab w:leader="none" w:pos="3920" w:val="left"/>
          <w:tab w:leader="none" w:pos="4720" w:val="left"/>
          <w:tab w:leader="none" w:pos="7160" w:val="left"/>
        </w:tabs>
        <w:rPr>
          <w:sz w:val="20"/>
          <w:szCs w:val="20"/>
          <w:color w:val="auto"/>
        </w:rPr>
      </w:pPr>
      <w:r>
        <w:rPr>
          <w:rFonts w:ascii="Courier New" w:cs="Courier New" w:eastAsia="Courier New" w:hAnsi="Courier New"/>
          <w:sz w:val="15"/>
          <w:szCs w:val="15"/>
          <w:color w:val="auto"/>
        </w:rPr>
        <w:t>North</w:t>
      </w:r>
      <w:r>
        <w:rPr>
          <w:sz w:val="20"/>
          <w:szCs w:val="20"/>
          <w:color w:val="auto"/>
        </w:rPr>
        <w:tab/>
      </w:r>
      <w:r>
        <w:rPr>
          <w:rFonts w:ascii="Courier New" w:cs="Courier New" w:eastAsia="Courier New" w:hAnsi="Courier New"/>
          <w:sz w:val="15"/>
          <w:szCs w:val="15"/>
          <w:color w:val="auto"/>
        </w:rPr>
        <w:t>Latin</w:t>
      </w:r>
      <w:r>
        <w:rPr>
          <w:sz w:val="20"/>
          <w:szCs w:val="20"/>
          <w:color w:val="auto"/>
        </w:rPr>
        <w:tab/>
      </w:r>
      <w:r>
        <w:rPr>
          <w:rFonts w:ascii="Courier New" w:cs="Courier New" w:eastAsia="Courier New" w:hAnsi="Courier New"/>
          <w:sz w:val="15"/>
          <w:szCs w:val="15"/>
          <w:color w:val="auto"/>
        </w:rPr>
        <w:t>Europe/</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Elims/</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Elims/</w:t>
      </w:r>
    </w:p>
    <w:p>
      <w:pPr>
        <w:ind w:left="180"/>
        <w:spacing w:after="0"/>
        <w:tabs>
          <w:tab w:leader="none" w:pos="1040" w:val="left"/>
          <w:tab w:leader="none" w:pos="1820" w:val="left"/>
          <w:tab w:leader="none" w:pos="3060" w:val="left"/>
          <w:tab w:leader="none" w:pos="3920" w:val="left"/>
          <w:tab w:leader="none" w:pos="4800" w:val="left"/>
          <w:tab w:leader="none" w:pos="5580" w:val="left"/>
          <w:tab w:leader="none" w:pos="6380" w:val="left"/>
          <w:tab w:leader="none" w:pos="7160" w:val="left"/>
          <w:tab w:leader="none" w:pos="7860" w:val="left"/>
        </w:tabs>
        <w:rPr>
          <w:sz w:val="20"/>
          <w:szCs w:val="20"/>
          <w:color w:val="auto"/>
        </w:rPr>
      </w:pPr>
      <w:r>
        <w:rPr>
          <w:rFonts w:ascii="Courier New" w:cs="Courier New" w:eastAsia="Courier New" w:hAnsi="Courier New"/>
          <w:sz w:val="15"/>
          <w:szCs w:val="15"/>
          <w:color w:val="auto"/>
        </w:rPr>
        <w:t>America</w:t>
        <w:tab/>
        <w:t>America</w:t>
        <w:tab/>
        <w:t>CIS/W. Afr.</w:t>
      </w:r>
      <w:r>
        <w:rPr>
          <w:sz w:val="20"/>
          <w:szCs w:val="20"/>
          <w:color w:val="auto"/>
        </w:rPr>
        <w:tab/>
      </w:r>
      <w:r>
        <w:rPr>
          <w:rFonts w:ascii="Courier New" w:cs="Courier New" w:eastAsia="Courier New" w:hAnsi="Courier New"/>
          <w:sz w:val="15"/>
          <w:szCs w:val="15"/>
          <w:color w:val="auto"/>
        </w:rPr>
        <w:t>Eastern</w:t>
        <w:tab/>
        <w:t>Other</w:t>
      </w:r>
      <w:r>
        <w:rPr>
          <w:sz w:val="20"/>
          <w:szCs w:val="20"/>
          <w:color w:val="auto"/>
        </w:rPr>
        <w:tab/>
      </w:r>
      <w:r>
        <w:rPr>
          <w:rFonts w:ascii="Courier New" w:cs="Courier New" w:eastAsia="Courier New" w:hAnsi="Courier New"/>
          <w:sz w:val="15"/>
          <w:szCs w:val="15"/>
          <w:color w:val="auto"/>
        </w:rPr>
        <w:t>OFS</w:t>
      </w:r>
      <w:r>
        <w:rPr>
          <w:sz w:val="20"/>
          <w:szCs w:val="20"/>
          <w:color w:val="auto"/>
        </w:rPr>
        <w:tab/>
      </w:r>
      <w:r>
        <w:rPr>
          <w:rFonts w:ascii="Courier New" w:cs="Courier New" w:eastAsia="Courier New" w:hAnsi="Courier New"/>
          <w:sz w:val="15"/>
          <w:szCs w:val="15"/>
          <w:color w:val="auto"/>
        </w:rPr>
        <w:t>RMS</w:t>
      </w:r>
      <w:r>
        <w:rPr>
          <w:sz w:val="20"/>
          <w:szCs w:val="20"/>
          <w:color w:val="auto"/>
        </w:rPr>
        <w:tab/>
      </w:r>
      <w:r>
        <w:rPr>
          <w:rFonts w:ascii="Courier New" w:cs="Courier New" w:eastAsia="Courier New" w:hAnsi="Courier New"/>
          <w:sz w:val="15"/>
          <w:szCs w:val="15"/>
          <w:color w:val="auto"/>
        </w:rPr>
        <w:t>T&amp;T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Consolidated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500" w:space="600"/>
            <w:col w:w="944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Revenue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Income</w:t>
      </w:r>
    </w:p>
    <w:p>
      <w:pPr>
        <w:spacing w:after="0" w:line="237" w:lineRule="auto"/>
        <w:rPr>
          <w:sz w:val="20"/>
          <w:szCs w:val="20"/>
          <w:color w:val="auto"/>
        </w:rPr>
      </w:pPr>
      <w:r>
        <w:rPr>
          <w:rFonts w:ascii="Courier New" w:cs="Courier New" w:eastAsia="Courier New" w:hAnsi="Courier New"/>
          <w:sz w:val="15"/>
          <w:szCs w:val="15"/>
          <w:color w:val="auto"/>
        </w:rPr>
        <w:t>Income Tax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Pretax Segment Income</w:t>
      </w:r>
    </w:p>
    <w:p>
      <w:pPr>
        <w:spacing w:after="0" w:line="20" w:lineRule="exact"/>
        <w:rPr>
          <w:sz w:val="20"/>
          <w:szCs w:val="20"/>
          <w:color w:val="auto"/>
        </w:rPr>
      </w:pPr>
      <w:r>
        <w:rPr>
          <w:sz w:val="20"/>
          <w:szCs w:val="20"/>
          <w:color w:val="auto"/>
        </w:rPr>
        <w:br w:type="column"/>
      </w:r>
    </w:p>
    <w:p>
      <w:pPr>
        <w:ind w:left="280"/>
        <w:spacing w:after="0"/>
        <w:tabs>
          <w:tab w:leader="none" w:pos="1300" w:val="left"/>
          <w:tab w:leader="none" w:pos="2440" w:val="left"/>
          <w:tab w:leader="none" w:pos="3320" w:val="left"/>
          <w:tab w:leader="none" w:pos="4020" w:val="left"/>
          <w:tab w:leader="none" w:pos="4720" w:val="left"/>
          <w:tab w:leader="none" w:pos="5580" w:val="left"/>
          <w:tab w:leader="none" w:pos="6380" w:val="left"/>
          <w:tab w:leader="none" w:pos="7240" w:val="left"/>
          <w:tab w:leader="none" w:pos="8380" w:val="left"/>
        </w:tabs>
        <w:rPr>
          <w:sz w:val="20"/>
          <w:szCs w:val="20"/>
          <w:color w:val="auto"/>
        </w:rPr>
      </w:pPr>
      <w:r>
        <w:rPr>
          <w:rFonts w:ascii="Courier New" w:cs="Courier New" w:eastAsia="Courier New" w:hAnsi="Courier New"/>
          <w:sz w:val="15"/>
          <w:szCs w:val="15"/>
          <w:color w:val="auto"/>
        </w:rPr>
        <w:t>$1,066</w:t>
      </w:r>
      <w:r>
        <w:rPr>
          <w:sz w:val="20"/>
          <w:szCs w:val="20"/>
          <w:color w:val="auto"/>
        </w:rPr>
        <w:tab/>
      </w:r>
      <w:r>
        <w:rPr>
          <w:rFonts w:ascii="Courier New" w:cs="Courier New" w:eastAsia="Courier New" w:hAnsi="Courier New"/>
          <w:sz w:val="15"/>
          <w:szCs w:val="15"/>
          <w:color w:val="auto"/>
        </w:rPr>
        <w:t>$511</w:t>
      </w:r>
      <w:r>
        <w:rPr>
          <w:sz w:val="20"/>
          <w:szCs w:val="20"/>
          <w:color w:val="auto"/>
        </w:rPr>
        <w:tab/>
      </w:r>
      <w:r>
        <w:rPr>
          <w:rFonts w:ascii="Courier New" w:cs="Courier New" w:eastAsia="Courier New" w:hAnsi="Courier New"/>
          <w:sz w:val="15"/>
          <w:szCs w:val="15"/>
          <w:color w:val="auto"/>
        </w:rPr>
        <w:t>$723</w:t>
      </w:r>
      <w:r>
        <w:rPr>
          <w:sz w:val="20"/>
          <w:szCs w:val="20"/>
          <w:color w:val="auto"/>
        </w:rPr>
        <w:tab/>
      </w:r>
      <w:r>
        <w:rPr>
          <w:rFonts w:ascii="Courier New" w:cs="Courier New" w:eastAsia="Courier New" w:hAnsi="Courier New"/>
          <w:sz w:val="15"/>
          <w:szCs w:val="15"/>
          <w:color w:val="auto"/>
        </w:rPr>
        <w:t>$805</w:t>
      </w:r>
      <w:r>
        <w:rPr>
          <w:sz w:val="20"/>
          <w:szCs w:val="20"/>
          <w:color w:val="auto"/>
        </w:rPr>
        <w:tab/>
      </w: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$3,214</w:t>
      </w:r>
      <w:r>
        <w:rPr>
          <w:sz w:val="20"/>
          <w:szCs w:val="20"/>
          <w:color w:val="auto"/>
        </w:rPr>
        <w:tab/>
      </w:r>
      <w:r>
        <w:rPr>
          <w:rFonts w:ascii="Courier New" w:cs="Courier New" w:eastAsia="Courier New" w:hAnsi="Courier New"/>
          <w:sz w:val="15"/>
          <w:szCs w:val="15"/>
          <w:color w:val="auto"/>
        </w:rPr>
        <w:t>$645</w:t>
      </w:r>
      <w:r>
        <w:rPr>
          <w:sz w:val="20"/>
          <w:szCs w:val="20"/>
          <w:color w:val="auto"/>
        </w:rPr>
        <w:tab/>
      </w:r>
      <w:r>
        <w:rPr>
          <w:rFonts w:ascii="Courier New" w:cs="Courier New" w:eastAsia="Courier New" w:hAnsi="Courier New"/>
          <w:sz w:val="15"/>
          <w:szCs w:val="15"/>
          <w:color w:val="auto"/>
        </w:rPr>
        <w:t>$657</w:t>
      </w:r>
      <w:r>
        <w:rPr>
          <w:sz w:val="20"/>
          <w:szCs w:val="20"/>
          <w:color w:val="auto"/>
        </w:rPr>
        <w:tab/>
      </w: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5"/>
          <w:szCs w:val="15"/>
          <w:color w:val="auto"/>
        </w:rPr>
        <w:t>$4,476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tabs>
          <w:tab w:leader="none" w:pos="1380" w:val="left"/>
          <w:tab w:leader="none" w:pos="2520" w:val="left"/>
          <w:tab w:leader="none" w:pos="3320" w:val="left"/>
          <w:tab w:leader="none" w:pos="4180" w:val="left"/>
          <w:tab w:leader="none" w:pos="4880" w:val="left"/>
          <w:tab w:leader="none" w:pos="5680" w:val="left"/>
          <w:tab w:leader="none" w:pos="6460" w:val="left"/>
          <w:tab w:leader="none" w:pos="7240" w:val="left"/>
          <w:tab w:leader="none" w:pos="856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$268</w:t>
      </w:r>
      <w:r>
        <w:rPr>
          <w:sz w:val="20"/>
          <w:szCs w:val="20"/>
          <w:color w:val="auto"/>
        </w:rPr>
        <w:tab/>
      </w: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$277</w:t>
      </w:r>
    </w:p>
    <w:p>
      <w:pPr>
        <w:ind w:left="620"/>
        <w:spacing w:after="0" w:line="237" w:lineRule="auto"/>
        <w:tabs>
          <w:tab w:leader="none" w:pos="1480" w:val="left"/>
          <w:tab w:leader="none" w:pos="2620" w:val="left"/>
          <w:tab w:leader="none" w:pos="3480" w:val="left"/>
          <w:tab w:leader="none" w:pos="4180" w:val="left"/>
          <w:tab w:leader="none" w:pos="4980" w:val="left"/>
          <w:tab w:leader="none" w:pos="5840" w:val="left"/>
          <w:tab w:leader="none" w:pos="6540" w:val="left"/>
          <w:tab w:leader="none" w:pos="7340" w:val="left"/>
          <w:tab w:leader="none" w:pos="874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tabs>
          <w:tab w:leader="none" w:pos="1380" w:val="left"/>
          <w:tab w:leader="none" w:pos="2520" w:val="left"/>
          <w:tab w:leader="none" w:pos="3320" w:val="left"/>
          <w:tab w:leader="none" w:pos="4100" w:val="left"/>
          <w:tab w:leader="none" w:pos="4880" w:val="left"/>
          <w:tab w:leader="none" w:pos="5680" w:val="left"/>
          <w:tab w:leader="none" w:pos="6460" w:val="left"/>
          <w:tab w:leader="none" w:pos="7240" w:val="left"/>
          <w:tab w:leader="none" w:pos="8560" w:val="left"/>
        </w:tabs>
        <w:rPr>
          <w:sz w:val="20"/>
          <w:szCs w:val="20"/>
          <w:color w:val="auto"/>
        </w:rPr>
      </w:pPr>
      <w:r>
        <w:rPr>
          <w:rFonts w:ascii="Courier New" w:cs="Courier New" w:eastAsia="Courier New" w:hAnsi="Courier New"/>
          <w:sz w:val="15"/>
          <w:szCs w:val="15"/>
          <w:color w:val="auto"/>
        </w:rPr>
        <w:t>$129</w:t>
      </w:r>
      <w:r>
        <w:rPr>
          <w:sz w:val="20"/>
          <w:szCs w:val="20"/>
          <w:color w:val="auto"/>
        </w:rPr>
        <w:tab/>
      </w: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$153</w:t>
      </w:r>
      <w:r>
        <w:rPr>
          <w:sz w:val="20"/>
          <w:szCs w:val="20"/>
          <w:color w:val="auto"/>
        </w:rPr>
        <w:tab/>
      </w: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$391</w:t>
      </w:r>
      <w:r>
        <w:rPr>
          <w:sz w:val="20"/>
          <w:szCs w:val="20"/>
          <w:color w:val="auto"/>
        </w:rPr>
        <w:tab/>
      </w: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$369</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1840" w:space="260"/>
            <w:col w:w="9440"/>
          </w:cols>
          <w:pgMar w:left="220" w:top="617" w:right="139" w:bottom="1440" w:gutter="0" w:footer="0" w:header="0"/>
          <w:type w:val="continuous"/>
        </w:sectPr>
      </w:pPr>
    </w:p>
    <w:p>
      <w:pPr>
        <w:spacing w:after="0" w:line="4" w:lineRule="exact"/>
        <w:rPr>
          <w:sz w:val="20"/>
          <w:szCs w:val="20"/>
          <w:color w:val="auto"/>
        </w:rPr>
      </w:pPr>
    </w:p>
    <w:p>
      <w:pPr>
        <w:spacing w:after="0" w:line="385" w:lineRule="auto"/>
        <w:rPr>
          <w:sz w:val="20"/>
          <w:szCs w:val="20"/>
          <w:color w:val="auto"/>
        </w:rPr>
      </w:pPr>
      <w:r>
        <w:rPr>
          <w:rFonts w:ascii="Courier New" w:cs="Courier New" w:eastAsia="Courier New" w:hAnsi="Courier New"/>
          <w:sz w:val="14"/>
          <w:szCs w:val="14"/>
          <w:color w:val="auto"/>
        </w:rPr>
        <w:t>Interest Income Interest Expense Pretax Income</w:t>
      </w:r>
    </w:p>
    <w:p>
      <w:pPr>
        <w:spacing w:after="0" w:line="20" w:lineRule="exact"/>
        <w:rPr>
          <w:sz w:val="20"/>
          <w:szCs w:val="20"/>
          <w:color w:val="auto"/>
        </w:rPr>
      </w:pPr>
      <w:r>
        <w:rPr>
          <w:sz w:val="20"/>
          <w:szCs w:val="20"/>
          <w:color w:val="auto"/>
        </w:rPr>
        <w:br w:type="column"/>
      </w:r>
    </w:p>
    <w:p>
      <w:pPr>
        <w:ind w:left="8660"/>
        <w:spacing w:after="0" w:line="238" w:lineRule="auto"/>
        <w:rPr>
          <w:sz w:val="20"/>
          <w:szCs w:val="20"/>
          <w:color w:val="auto"/>
        </w:rPr>
      </w:pPr>
      <w:r>
        <w:rPr>
          <w:rFonts w:ascii="Courier New" w:cs="Courier New" w:eastAsia="Courier New" w:hAnsi="Courier New"/>
          <w:sz w:val="15"/>
          <w:szCs w:val="15"/>
          <w:color w:val="auto"/>
        </w:rPr>
        <w:t>144</w:t>
      </w:r>
    </w:p>
    <w:p>
      <w:pPr>
        <w:ind w:left="1400"/>
        <w:spacing w:after="0"/>
        <w:tabs>
          <w:tab w:leader="none" w:pos="856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(127)</w:t>
      </w:r>
    </w:p>
    <w:p>
      <w:pPr>
        <w:spacing w:after="0" w:line="5" w:lineRule="exact"/>
        <w:rPr>
          <w:sz w:val="20"/>
          <w:szCs w:val="20"/>
          <w:color w:val="auto"/>
        </w:rPr>
      </w:pPr>
    </w:p>
    <w:p>
      <w:pPr>
        <w:ind w:left="82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580"/>
        <w:spacing w:after="0"/>
        <w:rPr>
          <w:sz w:val="20"/>
          <w:szCs w:val="20"/>
          <w:color w:val="auto"/>
        </w:rPr>
      </w:pPr>
      <w:r>
        <w:rPr>
          <w:rFonts w:ascii="Courier New" w:cs="Courier New" w:eastAsia="Courier New" w:hAnsi="Courier New"/>
          <w:sz w:val="15"/>
          <w:szCs w:val="15"/>
          <w:color w:val="auto"/>
        </w:rPr>
        <w:t>$386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400" w:space="700"/>
            <w:col w:w="9440"/>
          </w:cols>
          <w:pgMar w:left="220" w:top="617"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9520" w:type="dxa"/>
            <w:vAlign w:val="bottom"/>
            <w:gridSpan w:val="11"/>
          </w:tcPr>
          <w:p>
            <w:pPr>
              <w:jc w:val="right"/>
              <w:ind w:right="87"/>
              <w:spacing w:after="0"/>
              <w:rPr>
                <w:sz w:val="20"/>
                <w:szCs w:val="20"/>
                <w:color w:val="auto"/>
              </w:rPr>
            </w:pPr>
            <w:r>
              <w:rPr>
                <w:rFonts w:ascii="Courier New" w:cs="Courier New" w:eastAsia="Courier New" w:hAnsi="Courier New"/>
                <w:sz w:val="15"/>
                <w:szCs w:val="15"/>
                <w:color w:val="auto"/>
                <w:w w:val="97"/>
              </w:rPr>
              <w:t>----------------------------------------------------------------------------------------------------------</w:t>
            </w:r>
          </w:p>
        </w:tc>
      </w:tr>
      <w:tr>
        <w:trPr>
          <w:trHeight w:val="168"/>
        </w:trPr>
        <w:tc>
          <w:tcPr>
            <w:tcW w:w="2020" w:type="dxa"/>
            <w:vAlign w:val="bottom"/>
          </w:tcPr>
          <w:p>
            <w:pPr>
              <w:spacing w:after="0"/>
              <w:rPr>
                <w:sz w:val="14"/>
                <w:szCs w:val="14"/>
                <w:color w:val="auto"/>
              </w:rPr>
            </w:pPr>
          </w:p>
        </w:tc>
        <w:tc>
          <w:tcPr>
            <w:tcW w:w="1140" w:type="dxa"/>
            <w:vAlign w:val="bottom"/>
          </w:tcPr>
          <w:p>
            <w:pPr>
              <w:jc w:val="right"/>
              <w:ind w:right="291"/>
              <w:spacing w:after="0" w:line="168" w:lineRule="exact"/>
              <w:rPr>
                <w:sz w:val="20"/>
                <w:szCs w:val="20"/>
                <w:color w:val="auto"/>
              </w:rPr>
            </w:pPr>
            <w:r>
              <w:rPr>
                <w:rFonts w:ascii="Courier New" w:cs="Courier New" w:eastAsia="Courier New" w:hAnsi="Courier New"/>
                <w:sz w:val="15"/>
                <w:szCs w:val="15"/>
                <w:color w:val="auto"/>
              </w:rPr>
              <w:t>North</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Latin</w:t>
            </w:r>
          </w:p>
        </w:tc>
        <w:tc>
          <w:tcPr>
            <w:tcW w:w="11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Europe/</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Elims/</w:t>
            </w:r>
          </w:p>
        </w:tc>
        <w:tc>
          <w:tcPr>
            <w:tcW w:w="8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Elims/</w:t>
            </w:r>
          </w:p>
        </w:tc>
        <w:tc>
          <w:tcPr>
            <w:tcW w:w="164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Six Months 1999</w:t>
            </w:r>
          </w:p>
        </w:tc>
        <w:tc>
          <w:tcPr>
            <w:tcW w:w="114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America</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America</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CIS/W. Afr.</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Eastern</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OFS</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RMS</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T&amp;T</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Other</w:t>
            </w: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95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$742</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$452</w:t>
            </w:r>
          </w:p>
        </w:tc>
        <w:tc>
          <w:tcPr>
            <w:tcW w:w="48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$813</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$815</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$2,912</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$687</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$4,129</w:t>
            </w:r>
          </w:p>
        </w:tc>
      </w:tr>
      <w:tr>
        <w:trPr>
          <w:trHeight w:val="168"/>
        </w:trPr>
        <w:tc>
          <w:tcPr>
            <w:tcW w:w="2020" w:type="dxa"/>
            <w:vAlign w:val="bottom"/>
          </w:tcPr>
          <w:p>
            <w:pPr>
              <w:spacing w:after="0"/>
              <w:rPr>
                <w:sz w:val="14"/>
                <w:szCs w:val="14"/>
                <w:color w:val="auto"/>
              </w:rPr>
            </w:pPr>
          </w:p>
        </w:tc>
        <w:tc>
          <w:tcPr>
            <w:tcW w:w="9520" w:type="dxa"/>
            <w:vAlign w:val="bottom"/>
            <w:gridSpan w:val="11"/>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114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 (1)</w:t>
            </w:r>
          </w:p>
        </w:tc>
        <w:tc>
          <w:tcPr>
            <w:tcW w:w="114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2020" w:type="dxa"/>
            <w:vAlign w:val="bottom"/>
          </w:tcPr>
          <w:p>
            <w:pPr>
              <w:spacing w:after="0"/>
              <w:rPr>
                <w:sz w:val="14"/>
                <w:szCs w:val="14"/>
                <w:color w:val="auto"/>
              </w:rPr>
            </w:pPr>
          </w:p>
        </w:tc>
        <w:tc>
          <w:tcPr>
            <w:tcW w:w="9520" w:type="dxa"/>
            <w:vAlign w:val="bottom"/>
            <w:gridSpan w:val="11"/>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Segment Income</w:t>
            </w:r>
          </w:p>
        </w:tc>
        <w:tc>
          <w:tcPr>
            <w:tcW w:w="1140" w:type="dxa"/>
            <w:vAlign w:val="bottom"/>
          </w:tcPr>
          <w:p>
            <w:pPr>
              <w:jc w:val="right"/>
              <w:ind w:right="191"/>
              <w:spacing w:after="0" w:line="168" w:lineRule="exact"/>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$257</w:t>
            </w:r>
          </w:p>
        </w:tc>
      </w:tr>
      <w:tr>
        <w:trPr>
          <w:trHeight w:val="168"/>
        </w:trPr>
        <w:tc>
          <w:tcPr>
            <w:tcW w:w="2020" w:type="dxa"/>
            <w:vAlign w:val="bottom"/>
          </w:tcPr>
          <w:p>
            <w:pPr>
              <w:spacing w:after="0"/>
              <w:rPr>
                <w:sz w:val="14"/>
                <w:szCs w:val="14"/>
                <w:color w:val="auto"/>
              </w:rPr>
            </w:pPr>
          </w:p>
        </w:tc>
        <w:tc>
          <w:tcPr>
            <w:tcW w:w="7880" w:type="dxa"/>
            <w:vAlign w:val="bottom"/>
            <w:gridSpan w:val="10"/>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64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Financial</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8"/>
        </w:trPr>
        <w:tc>
          <w:tcPr>
            <w:tcW w:w="2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Inst.</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 &amp; Other</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2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202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2"/>
              </w:rPr>
              <w:t>----------------------------------------------------------------------------------------------</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2100" w:right="4620" w:hanging="341"/>
        <w:spacing w:after="0" w:line="234" w:lineRule="auto"/>
        <w:tabs>
          <w:tab w:leader="none" w:pos="2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excludes a net charge of $14 million related to the charge.</w:t>
      </w:r>
    </w:p>
    <w:p>
      <w:pPr>
        <w:spacing w:after="0" w:line="200" w:lineRule="exact"/>
        <w:rPr>
          <w:sz w:val="20"/>
          <w:szCs w:val="20"/>
          <w:color w:val="auto"/>
        </w:rPr>
      </w:pPr>
    </w:p>
    <w:p>
      <w:pPr>
        <w:spacing w:after="0" w:line="310" w:lineRule="exact"/>
        <w:rPr>
          <w:sz w:val="20"/>
          <w:szCs w:val="20"/>
          <w:color w:val="auto"/>
        </w:rPr>
      </w:pPr>
    </w:p>
    <w:p>
      <w:pPr>
        <w:ind w:right="4540"/>
        <w:spacing w:after="0" w:line="261"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40"/>
          </w:cols>
          <w:pgMar w:left="220" w:top="617" w:right="139"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BUSINESS REVIEW</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Resource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Oilfield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Management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Test &amp;</w:t>
            </w:r>
          </w:p>
        </w:tc>
        <w:tc>
          <w:tcPr>
            <w:tcW w:w="7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Transactions (2)</w:t>
            </w: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2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280" w:type="dxa"/>
            <w:vAlign w:val="bottom"/>
          </w:tcPr>
          <w:p>
            <w:pPr>
              <w:spacing w:after="0"/>
              <w:rPr>
                <w:sz w:val="14"/>
                <w:szCs w:val="14"/>
                <w:color w:val="auto"/>
              </w:rPr>
            </w:pPr>
          </w:p>
        </w:tc>
        <w:tc>
          <w:tcPr>
            <w:tcW w:w="8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3"/>
              </w:rPr>
              <w:t>% chg</w:t>
            </w:r>
          </w:p>
        </w:tc>
        <w:tc>
          <w:tcPr>
            <w:tcW w:w="18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chg</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chg</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12"/>
              <w:spacing w:after="0"/>
              <w:rPr>
                <w:sz w:val="20"/>
                <w:szCs w:val="20"/>
                <w:color w:val="auto"/>
              </w:rPr>
            </w:pPr>
            <w:r>
              <w:rPr>
                <w:rFonts w:ascii="Courier New" w:cs="Courier New" w:eastAsia="Courier New" w:hAnsi="Courier New"/>
                <w:sz w:val="15"/>
                <w:szCs w:val="15"/>
                <w:color w:val="auto"/>
              </w:rPr>
              <w:t>1,685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1,409</w:t>
            </w: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321</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342</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256</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219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w:t>
            </w:r>
          </w:p>
        </w:tc>
      </w:tr>
      <w:tr>
        <w:trPr>
          <w:trHeight w:val="336"/>
        </w:trPr>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Resource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Oilfield</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ind w:left="660"/>
              <w:spacing w:after="0" w:line="168" w:lineRule="exact"/>
              <w:rPr>
                <w:sz w:val="20"/>
                <w:szCs w:val="20"/>
                <w:color w:val="auto"/>
              </w:rPr>
            </w:pPr>
            <w:r>
              <w:rPr>
                <w:rFonts w:ascii="Courier New" w:cs="Courier New" w:eastAsia="Courier New" w:hAnsi="Courier New"/>
                <w:sz w:val="15"/>
                <w:szCs w:val="15"/>
                <w:color w:val="auto"/>
              </w:rPr>
              <w:t>Management</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Test &amp;</w:t>
            </w:r>
          </w:p>
        </w:tc>
        <w:tc>
          <w:tcPr>
            <w:tcW w:w="76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Services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Transactions (2)</w:t>
            </w:r>
          </w:p>
        </w:tc>
      </w:tr>
      <w:tr>
        <w:trPr>
          <w:trHeight w:val="168"/>
        </w:trPr>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2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Six Months</w:t>
            </w:r>
          </w:p>
        </w:tc>
        <w:tc>
          <w:tcPr>
            <w:tcW w:w="280" w:type="dxa"/>
            <w:vAlign w:val="bottom"/>
          </w:tcPr>
          <w:p>
            <w:pPr>
              <w:spacing w:after="0"/>
              <w:rPr>
                <w:sz w:val="14"/>
                <w:szCs w:val="14"/>
                <w:color w:val="auto"/>
              </w:rPr>
            </w:pPr>
          </w:p>
        </w:tc>
        <w:tc>
          <w:tcPr>
            <w:tcW w:w="8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3"/>
              </w:rPr>
              <w:t>% chg</w:t>
            </w:r>
          </w:p>
        </w:tc>
        <w:tc>
          <w:tcPr>
            <w:tcW w:w="18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chg</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chg</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3,214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2,912</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645</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526</w:t>
            </w:r>
          </w:p>
        </w:tc>
        <w:tc>
          <w:tcPr>
            <w:tcW w:w="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391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w:t>
            </w:r>
          </w:p>
        </w:tc>
        <w:tc>
          <w:tcPr>
            <w:tcW w:w="7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43%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firstLine="10"/>
        <w:spacing w:after="0" w:line="234"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operating income represents income before taxes, excluding interest expense, interest income and the first quarter 1999 net charge.</w:t>
      </w:r>
    </w:p>
    <w:p>
      <w:pPr>
        <w:spacing w:after="0" w:line="173" w:lineRule="exact"/>
        <w:rPr>
          <w:rFonts w:ascii="Courier New" w:cs="Courier New" w:eastAsia="Courier New" w:hAnsi="Courier New"/>
          <w:sz w:val="15"/>
          <w:szCs w:val="15"/>
          <w:color w:val="auto"/>
        </w:rPr>
      </w:pPr>
    </w:p>
    <w:p>
      <w:pPr>
        <w:ind w:right="3579" w:firstLine="10"/>
        <w:spacing w:after="0" w:line="234"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results include Schlumberger Omnes, formerly a joint venture, which was 100% acquired during the third quarter 1999.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ind w:left="180" w:hanging="170"/>
        <w:spacing w:after="0" w:line="237"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Operations.</w:t>
      </w:r>
    </w:p>
    <w:p>
      <w:pPr>
        <w:ind w:left="180" w:hanging="170"/>
        <w:spacing w:after="0" w:line="237" w:lineRule="auto"/>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Second Quarter 2000</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second quarter operating revenue of $2.34 billion was 16% higher than the same period last year. Income from continuing operations increased 71% to $156 million compared with $91 million last year. Per share net income from continuing operations increased to $0.27 (diluted) versus $0.16 (diluted).</w:t>
      </w:r>
    </w:p>
    <w:p>
      <w:pPr>
        <w:spacing w:after="0" w:line="17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Oilfield Services operating revenue increased 10% versus the prior quarter while the worldwide M-I rig count decreased by 1%. Compared with the same period last year, revenue increased 20% as the worldwide M-I rig count grew 40%.</w:t>
      </w:r>
    </w:p>
    <w:p>
      <w:pPr>
        <w:spacing w:after="0" w:line="16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Resource Management Services (RMS) operating revenue was 6% lower than in the second quarter of 1999. Excluding the adverse effects of currency exchange rates, revenue increased 1%. Test &amp; Transactions operating revenue, including Omnes, increased 37% compared with the same quarter last year.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Oilfield Services operating revenue in the second quarter increased 10% sequentially with improvements in all geographic Areas. Led by activity in North America, revenue increased 20% versus the same period last year. Compared with the prior quarter and the same period last year, revenue increased in all four geographic Areas as the worldwide M-I rig count decreased 1% sequentially and increased 40% year-over-year.</w:t>
      </w:r>
    </w:p>
    <w:p>
      <w:pPr>
        <w:spacing w:after="0" w:line="175"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Pretax operating income in the second quarter increased 27% sequentially and 86% versus the same period last year.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ind w:right="3239"/>
        <w:spacing w:after="0" w:line="235" w:lineRule="auto"/>
        <w:rPr>
          <w:sz w:val="20"/>
          <w:szCs w:val="20"/>
          <w:color w:val="auto"/>
        </w:rPr>
      </w:pPr>
      <w:r>
        <w:rPr>
          <w:rFonts w:ascii="Courier New" w:cs="Courier New" w:eastAsia="Courier New" w:hAnsi="Courier New"/>
          <w:sz w:val="15"/>
          <w:szCs w:val="15"/>
          <w:color w:val="auto"/>
        </w:rPr>
        <w:t>The quarter was characterized by increasing oil and gas demand, firmer oil and gas prices and the relatively low level of excess production capacity, which led to increased demand for oilfield services as oil companies began increasing their exploration and production spending.</w:t>
      </w:r>
    </w:p>
    <w:p>
      <w:pPr>
        <w:spacing w:after="0" w:line="17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During the quarter Schlumberger undertook a number of strategic positioning steps:</w:t>
      </w:r>
    </w:p>
    <w:p>
      <w:pPr>
        <w:spacing w:after="0" w:line="173" w:lineRule="exact"/>
        <w:rPr>
          <w:sz w:val="20"/>
          <w:szCs w:val="20"/>
          <w:color w:val="auto"/>
        </w:rPr>
      </w:pPr>
    </w:p>
    <w:p>
      <w:pPr>
        <w:ind w:right="3239" w:firstLine="97"/>
        <w:spacing w:after="0" w:line="236" w:lineRule="auto"/>
        <w:tabs>
          <w:tab w:leader="none" w:pos="2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31, Schlumberger and Baker Hughes signed a memorandum of understanding under which the Schlumberger surface seismic business, Geco-Prakla, would join with the Western Geophysical seismic unit of Baker Hughes to form a new venture to be called Western GECO. As part of the formation of the venture, Baker Hughes would receive $500 million in cash from Schlumberger. The new venture would be owned 70% by Schlumberger and 30% by Baker Hughes. The creation of Western GECO is subject to the completion of a definitive agreement, and to regulatory and board approvals.</w:t>
      </w:r>
    </w:p>
    <w:p>
      <w:pPr>
        <w:spacing w:after="0" w:line="177" w:lineRule="exact"/>
        <w:rPr>
          <w:sz w:val="20"/>
          <w:szCs w:val="20"/>
          <w:color w:val="auto"/>
        </w:rPr>
      </w:pPr>
    </w:p>
    <w:p>
      <w:pPr>
        <w:ind w:right="3239" w:firstLine="97"/>
        <w:spacing w:after="0" w:line="255" w:lineRule="auto"/>
        <w:tabs>
          <w:tab w:leader="none" w:pos="262"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enhance its Oilfield Services product offering for reservoir optimization, Schlumberger acquired Operational Services, Inc. (OSI) on April 28. OSI provides clients with a systematic approach to production management through efficient systems and processes, including contract operations management of oil and gas production, gas processing, co-generation facilities, contract maintenance services for large rotating equipment, and stand-alone operational engineering consulting services. The acquisition price was $13 million.</w:t>
      </w:r>
    </w:p>
    <w:p>
      <w:pPr>
        <w:spacing w:after="0" w:line="166" w:lineRule="exact"/>
        <w:rPr>
          <w:sz w:val="20"/>
          <w:szCs w:val="20"/>
          <w:color w:val="auto"/>
        </w:rPr>
      </w:pPr>
    </w:p>
    <w:p>
      <w:pPr>
        <w:ind w:right="3319" w:firstLine="97"/>
        <w:spacing w:after="0" w:line="255" w:lineRule="auto"/>
        <w:tabs>
          <w:tab w:leader="none" w:pos="26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anticipation of growth in subsea completions and deepwater field developments, Schlumberger purchased, for $11 million, a 40% share of Framo Engineering AS, a leader in subsea hydrocarbon processing. Based in Bergen, Norway, Framo has developed a range of products and services that substantially increase hydrocarbon production. The combination of Framo Engineering subsea products and services with Schlumberger downhole equipment and reservoir knowledge offers a single source for selecting, integrating and operating advanced technical solutions to optimize recovery in subsea developments.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North America, second quarter revenue of $555 million increased 9% sequentially and 57% compared with the second quarter of 1999 as the M-I rig count decreased 7% sequentially and increased 76% year-over-year. Pretax operating income of $67 million increased 9% sequentially and 419% versus the same period last year. Sequentially, revenue increased in all regions, except Canada, which was down due to the normal seasonal reduction in drilling activity. All Product Groups posted significant year-over-year revenue gains, with drilling bits, seismic and pressure pumping services showing the largest year-over-year increases.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Latin America, second quarter revenue of $262 million increased 5% sequentially and 10% year-over-year as the M-I rig count increased 5% sequentially and 19% versus the same period last year. Pretax operating income of $15 million showed a strong 87% improvement, both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ind w:right="3499"/>
        <w:spacing w:after="0" w:line="256" w:lineRule="auto"/>
        <w:rPr>
          <w:sz w:val="20"/>
          <w:szCs w:val="20"/>
          <w:color w:val="auto"/>
        </w:rPr>
      </w:pPr>
      <w:r>
        <w:rPr>
          <w:rFonts w:ascii="Courier New" w:cs="Courier New" w:eastAsia="Courier New" w:hAnsi="Courier New"/>
          <w:sz w:val="14"/>
          <w:szCs w:val="14"/>
          <w:color w:val="auto"/>
        </w:rPr>
        <w:t>sequentially and year-over-year. Revenue increased in all GeoMarket regions, both sequentially and year-over-year, with southern Latin America posting the largest percentage increase, offset partly by lower marine seismic revenue during the quarter due to the movement of seismic vessels to other markets.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Second quarter revenue of $385 million in the Europe/CIS/West Africa Area increased 14% sequentially and was up 1% compared with the same quarter last year. The M-I rig count, excluding the CIS, was up 7% versus the first quarter of 2000, and up 2% over the same period last year. Pretax operating income of $41 million increased 73% sequentially and 59% year-over-year. Second quarter revenue this year excludes drilling fluids revenue as a result of the M-I drilling fluids joint venture. CIS and West Africa showed the largest revenue gains, both sequentially and compared with last year. In the Area, sequential revenue growth was led by pressure pumping, wireline and seismic services.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completed an installation of its intelligent completion system in a North Sea field for Norsk Hydro. The system was installed ahead of schedule, leading to the highest producing well in the field, and was used to eliminate gas breakthrough while optimizing oil production levels.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Second quarter revenue of $424 million in the Other Eastern Hemisphere Area increased 12% sequentially and 10% year-over-year, while the M-I rig count increased 4% sequentially and 7% year-over-year. Pretax operating income of $89 million increased 38% sequentially and 28% year-over-year. Geographically, the Gulf region in the Middle East and Indonesia posted the largest year-over-year revenue gains. Product Group revenue increased sequentially and year-over-year, led by Reservoir Development.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Resource Management Services second quarter revenue decreased 6% versus the same period in 1999. In national currencies, revenue rose 1% versus the same period last year. Orders increased 1% (up 8% in national currencies) versus the same period last year.</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Excluding the impact of CellNet and the special provisions last year, second quarter pretax operating income improved compared with the same period a year ago.</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North America, second quarter revenue rose 12% versus the same period last year, while orders increased by 53%. The large increase in orders was led by higher demand for the CENTRON* static electricity meter and by new CellNet business. In May, RMS North America acquired the assets of CellNet Data Systems, the leading provider of telemetry technology for the development and deployment of large-scale automatic meter reading (AMR) systems. Revenue was realized from reading fees from already-deployed CellNet networks, primarily at AmerenUE, Northern States Power and Puget Sound Energy. In addition revenue during the quarter included a contribution from sales of the Metricom UtiliNet radios.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2" w:name="page13"/>
    <w:bookmarkEnd w:id="12"/>
    <w:p>
      <w:pPr>
        <w:ind w:right="3579"/>
        <w:spacing w:after="0" w:line="256" w:lineRule="auto"/>
        <w:rPr>
          <w:sz w:val="20"/>
          <w:szCs w:val="20"/>
          <w:color w:val="auto"/>
        </w:rPr>
      </w:pPr>
      <w:r>
        <w:rPr>
          <w:rFonts w:ascii="Courier New" w:cs="Courier New" w:eastAsia="Courier New" w:hAnsi="Courier New"/>
          <w:sz w:val="14"/>
          <w:szCs w:val="14"/>
          <w:color w:val="auto"/>
        </w:rPr>
        <w:t>In Europe, second quarter revenue and orders both declined 17% (down 7% in national currencies) versus the same period last year. Gas revenue in the UK increased significantly due to strong residential meter demand including an agreement for the sale of over 650,000 U6 gas meters in 2000.</w:t>
      </w:r>
    </w:p>
    <w:p>
      <w:pPr>
        <w:spacing w:after="0" w:line="16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Revenue in South America benefited from economic recovery in Chile and in Brazil. Both countries reported increased orders over 1999 with electricity particularly strong in Brazil. For South America overall, however, revenue was flat in the second quarter versus the prior year while orders decreased 5%.</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Asia, second quarter revenue climbed 8% versus the same period in 1999. The increase in revenue resulted, in part, from sales in India and increased exports from Asia to other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Test &amp; Transactions second quarter revenue and orders, including Omnes, increased 37% and 33%, respectively, compared with the same quarter last year.</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Second quarter revenue for Cards increased 28% over the same period last year, and orders rose 29%. The revenue results reflect continued strength in shipments for GSM (Global Systems for Mobile Communications) SIM (Subscriber Identity Module) cards. Orders were strong in Asia, particularly in China where the first order for high-end Simera* (Java***-programmable) SIM cards was received. Orders during the quarter were driven by mobile communications markets in Asia and included the first order for new 3G (third-generation) mobile standard SIM cards in Japan as well as orders from the launch of the Simera GAIT* TDMA card in April and the Simera Airflex* CDMA card in June.</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Including Omnes, which is not included in the 1999 second quarter revenue, Network Solutions second quarter revenue increased 149% versus the same period last year and orders increased 47%. Revenue during the quarter included a contribution from the delivery of mobile communications applications to customers in China, Australia and France. These applications permit cell phone customers to access Internet-based services via their cell phones and pave the way for secure mobile-commerce and mobile-banking growth. Orders also included a contract for the design and systems integration of a data center for a telecommunications client in the Caribbean as well as the first integrated mobile communications solution covering cards, readers and service administration platforms. The Xpert Connect* web-based automated help desk for high-volume user access was introduced during the quarter.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E-Transactions Solutions second quarter revenue declined 17% from the same period last year, which included exceptional revenue for the RATP (the Paris Regional Transportation Administration). Orders increased by 33% year-over-year. The order improvement spanned all activities and geographic markets. Two integrated railway ticketing solutions tenders were won in France during the quarter. New introductions in the MagIC* e-payment and Flexio* off-street parking product lines also contributed to the order growth.</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3" w:name="page14"/>
    <w:bookmarkEnd w:id="13"/>
    <w:p>
      <w:pPr>
        <w:ind w:right="3239"/>
        <w:spacing w:after="0" w:line="236" w:lineRule="auto"/>
        <w:rPr>
          <w:sz w:val="20"/>
          <w:szCs w:val="20"/>
          <w:color w:val="auto"/>
        </w:rPr>
      </w:pPr>
      <w:r>
        <w:rPr>
          <w:rFonts w:ascii="Courier New" w:cs="Courier New" w:eastAsia="Courier New" w:hAnsi="Courier New"/>
          <w:sz w:val="15"/>
          <w:szCs w:val="15"/>
          <w:color w:val="auto"/>
        </w:rPr>
        <w:t>Semiconductor Solutions second quarter revenue increased 36% over last year, and orders increased 39%. However, in the memory chip market, manufacturers are delaying their buildup of RDRAM** production, affecting orders for the RDX2400* test system. Strong demand in both the Asian and European markets for SOC (System On a Chip) semiconductor test equipment, combined with continued demand for Probe and Verification Systems, led the growth in revenue and orders, assisted by the introduction of the EXA3000* SOC tester due to its early acceptance in the critical Asian marketplace. The growth of the SABER* semiconductor consulting and solutions integration business and customer service business reflects the continued expansion of solutions activities within Test &amp; Transactions.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Interest and other income includes Interest income of $74 million and Equity in Net Earnings of Affiliated Companies of $10 million, of which $8 million is related to the drilling fluids joint venture with Smith International. Compared to last year, Interest income increased by $20 million mainly due to the higher average returns on investments, from 4.7% to 6.1%, while Equity in Net Earnings of Affiliated Companies increased by $10 million due primarily to the drilling fluids joint venture income. Gross margin was 23% compared to 21% for the same period last year. Research and engineering and marketing expenses increased by 3% and 4%, respectively. General expense as a percentage of operating revenue increased from 4.7% to 4.9%. Interest expenses increased by $22 million as average borrowing rates increased from 5.4% to 6.7% and average debt balances increased slightly. The effective tax rate increased by 6 percentage points to 25% reflecting higher pretax income in the United States.</w:t>
      </w:r>
    </w:p>
    <w:p>
      <w:pPr>
        <w:spacing w:after="0" w:line="15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First Six Months 2000</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First half operating revenue of $4.48 billion was 8% higher than the same period last year. Excluding the first quarter 1999 charge, income from continuing operations of $292 million and diluted earnings per share from continuing operations of $0.51 were both 34% above the same period last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Operating revenue increased by 10% with North and South America accounting for most of this. Pretax operating income increased by 43%. The M-I rig count increased by 30% over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of $1.07 billion increased 44% compared with the first 6 months of 1999, pretax operating income increased by 339%. The M-I rig count increased by 63%. Revenue increased across all oilfield services. The increasing oilfield services demand led to improvement in pricing levels, particularly for wireline, pressure pumping, and logging-while-drilling (LWD)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Latin America revenue increased by $59 million, a 13% increase. The pretax operating income increased by 61%, and the M-I rig count by 11%.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ind w:right="3679"/>
        <w:spacing w:after="0" w:line="234" w:lineRule="auto"/>
        <w:rPr>
          <w:sz w:val="20"/>
          <w:szCs w:val="20"/>
          <w:color w:val="auto"/>
        </w:rPr>
      </w:pPr>
      <w:r>
        <w:rPr>
          <w:rFonts w:ascii="Courier New" w:cs="Courier New" w:eastAsia="Courier New" w:hAnsi="Courier New"/>
          <w:sz w:val="15"/>
          <w:szCs w:val="15"/>
          <w:color w:val="auto"/>
        </w:rPr>
        <w:t>Revenue increased in all regions although some marine vessels were moved to other 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Revenue of $723 million decreased by 11% compared to prior year. Pretax operating income fell by 3% and the M-I rig count increased by 3%. CIS was the only region to show an increase in revenue.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Revenue decreased 1% to $804 million. Compared to the same period last year pretax operating income was down 3% and the M-I rig count decreased 2%. Middle East revenue increased by 1% while Asia decreased by 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Resources Management Services revenue was down 6%. Excluding the special provision last year, pretax operating income increased by $3 million. This was due mainly to the significant increases in UK &amp; Southern Africa and South American regions, partially offset by the loss at CellNet.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Revenue in North America was up 8% including CellNet; excluding CellNet revenue grew by 5%. Orders grew by 32%, this large increase was led by higher demand for CENTRON* static electricity meters and by new CellNet business.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Europe revenue and orders were down by 16% and 20%, respectively. The continued pressure on prices affected electricity revenue, while gas revenue has increased significantly in the UK.</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South America revenue grew by 7% and orders grew by 11%. Brazil showed improvement over last year mainly in electricity. In Asia revenue and orders grew by 17% and 5%,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Revenue including Omnes was 25% higher than last year and pretax operating income remained flat. Orders grew by 42% compared to last year.</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Cards continue to grow with an increase in revenue of 25% and orders of 34%. This is reflecting a strong Asian market for the product. Semiconductor revenue and orders grew by 8% and 33%, respectively, over last year. The revenue for e-Transactions fell by 17% while orders grew by 20%. The largest increase in revenue was in Network Solutions, including Omnes which grew by 137% and orders grew by 128%.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and other income includes Interest income of $146 million and Equity in Net Earnings of Affiliated Companies of $14 million. Compared to last year, Interest income increased by $33 million mainly due to the higher average returns on investments, from 4.8% to 6.0%, while Equity in Net Earnings of Affiliated Companies was $12 million higher reflecting the drilling fluids joint venture income. The 1999 Interest and other income included a $103 million gain on the sale of financial instruments relating to the sale of Retail Petroleum Systems. Gross margin increased from 19% to 23% as 1999 included $147 million of charges. Excluding these charges gross margin in 1999 was 22%. Research and engineering and marketing expenses increased by 1% and 2%, respectively.</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5" w:name="page16"/>
    <w:bookmarkEnd w:id="15"/>
    <w:p>
      <w:pPr>
        <w:ind w:right="3319"/>
        <w:spacing w:after="0" w:line="236" w:lineRule="auto"/>
        <w:rPr>
          <w:sz w:val="20"/>
          <w:szCs w:val="20"/>
          <w:color w:val="auto"/>
        </w:rPr>
      </w:pPr>
      <w:r>
        <w:rPr>
          <w:rFonts w:ascii="Courier New" w:cs="Courier New" w:eastAsia="Courier New" w:hAnsi="Courier New"/>
          <w:sz w:val="15"/>
          <w:szCs w:val="15"/>
          <w:color w:val="auto"/>
        </w:rPr>
        <w:t>General expenses as a percentage of operating revenue increased from 4.7% to 4.9%. Interest expense increased $41 million as average borrowing rates increased from 5.4% to 6.6%. The effective tax rate, excluding the 1999 charges is 24% versus 23% for the same period last year due to higher pretax income in the United States which was nearly offset by a favorable country profitability mix in Other Eastern, RMS and Test &amp; Transactions.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second quarter 2000, Schlumberger acquired Operational Services, Inc. for $13 million. OSI provides a systematic approach to production management through efficient systems and processes. The acquisition was accounted for using the purchase method of accounting, and cost in excess of net assets acquired is being amortized on a straight-line basis over 15 years.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 the second quarter of 2000, Schlumberger completed the acquisition of substantially all of the assets of CellNet Data Systems, Inc. at a cost of $209 million. CellNet is a provider of telemetry services for the development and deployment of large-scale automatic meter reading systems. The acquisition was handled through Chapter 11 procedure and was approved by the bankruptcy court.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June 1998, the Financial Accounting Standards Board (FASB) issued SFAS 133, "Accounting for Derivative Instruments and Hedging Activities," which requires that Schlumberger recognize all derivative instruments as either assets or liabilities in the statement of financial position and measure those instruments at fair value. The standard is effective in the year 2001 for Schlumberger.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Schlumberger does not anticipate that the implementation of the new standard in 2001 will have a material effect on the consolidated financial position and results of operations.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which provides guidance and interpretations of the application of generally accepted accounting principles to revenue recognition. Adoption of this bulletin is not expected to have a material effect on the Company's consolidated financial position or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Schlumberger cautions that, except for historical information, statements in this Form 10-Q report and elsewhere may constitute forward-looking statements. These include statements as to expectation, beliefs and future financial performance, such as statements regarding growth opportunities for Schlumberger in those industries. These statements involve a number of risks, uncertainties, assumptions and other factors that could cause actual results to differ materially from those in the forward-looking statements. Such factors include, continuing customer commitment to certain key oilfield projects; changes in E&amp;P spending by major oil companies; the extent and timing of utilities' investment in integrated solutions to utility management; growth in demand for smart cards in e-commerce and Internet-enabled solutions and completion of the Western GECO transactions as currently contemplated by the parties.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200" w:lineRule="exact"/>
        <w:rPr>
          <w:sz w:val="20"/>
          <w:szCs w:val="20"/>
          <w:color w:val="auto"/>
        </w:rPr>
      </w:pPr>
    </w:p>
    <w:p>
      <w:pPr>
        <w:spacing w:after="0" w:line="308" w:lineRule="exact"/>
        <w:rPr>
          <w:sz w:val="20"/>
          <w:szCs w:val="20"/>
          <w:color w:val="auto"/>
        </w:rPr>
      </w:pPr>
    </w:p>
    <w:p>
      <w:pPr>
        <w:ind w:left="620" w:hanging="610"/>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ind w:left="620" w:hanging="610"/>
        <w:spacing w:after="0" w:line="237"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Rambus and RDRAM are registered trademarks of Rambus, Inc.</w:t>
      </w:r>
    </w:p>
    <w:p>
      <w:pPr>
        <w:ind w:left="620" w:hanging="610"/>
        <w:spacing w:after="0" w:line="237"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JAVA is a registered trademark of Sun Microsystems,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ind w:left="22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w:t>
        <w:tab/>
        <w: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7" w:lineRule="auto"/>
        <w:rPr>
          <w:sz w:val="20"/>
          <w:szCs w:val="20"/>
          <w:color w:val="auto"/>
        </w:rPr>
      </w:pPr>
      <w:r>
        <w:rPr>
          <w:rFonts w:ascii="Courier New" w:cs="Courier New" w:eastAsia="Courier New" w:hAnsi="Courier New"/>
          <w:sz w:val="15"/>
          <w:szCs w:val="15"/>
          <w:color w:val="auto"/>
        </w:rPr>
        <w:t>- -----------------------------------------</w:t>
      </w:r>
    </w:p>
    <w:p>
      <w:pPr>
        <w:ind w:left="440" w:hanging="430"/>
        <w:spacing w:after="0" w:line="238"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None</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Report on Form 8-K filed with the Commission on May 31, 2000 to report the signing of a memorandum of understanding with Baker Hughes Inc. under which the Schlumberger surface seismic business, Geco Prakla, would join with the Baker Hughes surface seismic business, Western Geophysical, to form a new venture to be called Western GECO.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953" w:right="1440" w:bottom="1440" w:gutter="0" w:footer="0" w:header="0"/>
        </w:sectPr>
      </w:pPr>
    </w:p>
    <w:bookmarkStart w:id="17" w:name="page18"/>
    <w:bookmarkEnd w:id="17"/>
    <w:p>
      <w:pPr>
        <w:ind w:left="3160"/>
        <w:spacing w:after="0"/>
        <w:rPr>
          <w:sz w:val="20"/>
          <w:szCs w:val="20"/>
          <w:color w:val="auto"/>
        </w:rPr>
      </w:pPr>
      <w:r>
        <w:rPr>
          <w:rFonts w:ascii="Courier New" w:cs="Courier New" w:eastAsia="Courier New" w:hAnsi="Courier New"/>
          <w:sz w:val="15"/>
          <w:szCs w:val="15"/>
          <w:color w:val="auto"/>
        </w:rPr>
        <w:t>SIGNATURE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80" w:right="3319" w:firstLine="52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200" w:lineRule="exact"/>
        <w:rPr>
          <w:sz w:val="20"/>
          <w:szCs w:val="20"/>
          <w:color w:val="auto"/>
        </w:rPr>
      </w:pPr>
    </w:p>
    <w:p>
      <w:pPr>
        <w:spacing w:after="0" w:line="305"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5"/>
          <w:szCs w:val="15"/>
          <w:color w:val="auto"/>
        </w:rPr>
        <w:t>Schlumberger Limited</w:t>
      </w:r>
    </w:p>
    <w:p>
      <w:pPr>
        <w:jc w:val="center"/>
        <w:ind w:right="-132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right"/>
        <w:ind w:right="860"/>
        <w:spacing w:after="0" w:line="234" w:lineRule="auto"/>
        <w:rPr>
          <w:sz w:val="20"/>
          <w:szCs w:val="20"/>
          <w:color w:val="auto"/>
        </w:rPr>
      </w:pPr>
      <w:r>
        <w:rPr>
          <w:rFonts w:ascii="Courier New" w:cs="Courier New" w:eastAsia="Courier New" w:hAnsi="Courier New"/>
          <w:sz w:val="15"/>
          <w:szCs w:val="15"/>
          <w:color w:val="auto"/>
        </w:rPr>
        <w:t>Date: August 8, 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/s/Jack Liu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5"/>
          <w:szCs w:val="15"/>
          <w:color w:val="auto"/>
        </w:rPr>
        <w:t>Jack Liu</w:t>
      </w:r>
    </w:p>
    <w:p>
      <w:pPr>
        <w:ind w:left="3340"/>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Chief Financial Officer and</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Chief Accounting Officer</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type w:val="continuous"/>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479"/>
        <w:spacing w:after="0" w:line="261" w:lineRule="auto"/>
        <w:rPr>
          <w:sz w:val="20"/>
          <w:szCs w:val="20"/>
          <w:color w:val="auto"/>
        </w:rPr>
      </w:pPr>
      <w:r>
        <w:rPr>
          <w:rFonts w:ascii="Courier New" w:cs="Courier New" w:eastAsia="Courier New" w:hAnsi="Courier New"/>
          <w:sz w:val="14"/>
          <w:szCs w:val="14"/>
          <w:color w:val="auto"/>
        </w:rPr>
        <w:t>This schedule contains summary financial information extracted from Form 10-Q and is qualified in its entirety by reference to such financial statements.</w:t>
      </w:r>
    </w:p>
    <w:p>
      <w:pPr>
        <w:spacing w:after="0" w:line="15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6-MOS</w:t>
      </w:r>
    </w:p>
    <w:p>
      <w:pPr>
        <w:ind w:left="2240"/>
        <w:spacing w:after="0" w:line="237" w:lineRule="auto"/>
        <w:rPr>
          <w:sz w:val="20"/>
          <w:szCs w:val="20"/>
          <w:color w:val="auto"/>
        </w:rPr>
      </w:pPr>
      <w:r>
        <w:rPr>
          <w:rFonts w:ascii="Courier New" w:cs="Courier New" w:eastAsia="Courier New" w:hAnsi="Courier New"/>
          <w:sz w:val="15"/>
          <w:szCs w:val="15"/>
          <w:color w:val="auto"/>
        </w:rPr>
        <w:t>DEC-31-2000</w:t>
      </w:r>
    </w:p>
    <w:p>
      <w:pPr>
        <w:ind w:left="2500"/>
        <w:spacing w:after="0" w:line="238" w:lineRule="auto"/>
        <w:rPr>
          <w:sz w:val="20"/>
          <w:szCs w:val="20"/>
          <w:color w:val="auto"/>
        </w:rPr>
      </w:pPr>
      <w:r>
        <w:rPr>
          <w:rFonts w:ascii="Courier New" w:cs="Courier New" w:eastAsia="Courier New" w:hAnsi="Courier New"/>
          <w:sz w:val="15"/>
          <w:szCs w:val="15"/>
          <w:color w:val="auto"/>
        </w:rPr>
        <w:t>JAN-01-2000</w:t>
      </w:r>
    </w:p>
    <w:p>
      <w:pPr>
        <w:ind w:left="2680"/>
        <w:spacing w:after="0" w:line="237" w:lineRule="auto"/>
        <w:rPr>
          <w:sz w:val="20"/>
          <w:szCs w:val="20"/>
          <w:color w:val="auto"/>
        </w:rPr>
      </w:pPr>
      <w:r>
        <w:rPr>
          <w:rFonts w:ascii="Courier New" w:cs="Courier New" w:eastAsia="Courier New" w:hAnsi="Courier New"/>
          <w:sz w:val="15"/>
          <w:szCs w:val="15"/>
          <w:color w:val="auto"/>
        </w:rPr>
        <w:t>JUN-30-2000</w:t>
      </w:r>
    </w:p>
    <w:p>
      <w:pPr>
        <w:ind w:left="3380"/>
        <w:spacing w:after="0" w:line="238" w:lineRule="auto"/>
        <w:rPr>
          <w:sz w:val="20"/>
          <w:szCs w:val="20"/>
          <w:color w:val="auto"/>
        </w:rPr>
      </w:pPr>
      <w:r>
        <w:rPr>
          <w:rFonts w:ascii="Courier New" w:cs="Courier New" w:eastAsia="Courier New" w:hAnsi="Courier New"/>
          <w:sz w:val="15"/>
          <w:szCs w:val="15"/>
          <w:color w:val="auto"/>
        </w:rPr>
        <w:t>3,695,676</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2,394,539</w:t>
      </w:r>
    </w:p>
    <w:p>
      <w:pPr>
        <w:ind w:left="2940"/>
        <w:spacing w:after="0" w:line="237" w:lineRule="auto"/>
        <w:rPr>
          <w:sz w:val="20"/>
          <w:szCs w:val="20"/>
          <w:color w:val="auto"/>
        </w:rPr>
      </w:pPr>
      <w:r>
        <w:rPr>
          <w:rFonts w:ascii="Courier New" w:cs="Courier New" w:eastAsia="Courier New" w:hAnsi="Courier New"/>
          <w:sz w:val="15"/>
          <w:szCs w:val="15"/>
          <w:color w:val="auto"/>
        </w:rPr>
        <w:t>(79,018)</w:t>
      </w:r>
    </w:p>
    <w:p>
      <w:pPr>
        <w:ind w:left="2940"/>
        <w:spacing w:after="0" w:line="238" w:lineRule="auto"/>
        <w:rPr>
          <w:sz w:val="20"/>
          <w:szCs w:val="20"/>
          <w:color w:val="auto"/>
        </w:rPr>
      </w:pPr>
      <w:r>
        <w:rPr>
          <w:rFonts w:ascii="Courier New" w:cs="Courier New" w:eastAsia="Courier New" w:hAnsi="Courier New"/>
          <w:sz w:val="15"/>
          <w:szCs w:val="15"/>
          <w:color w:val="auto"/>
        </w:rPr>
        <w:t>1,018,757</w:t>
      </w:r>
    </w:p>
    <w:p>
      <w:pPr>
        <w:ind w:left="2500"/>
        <w:spacing w:after="0" w:line="238" w:lineRule="auto"/>
        <w:rPr>
          <w:sz w:val="20"/>
          <w:szCs w:val="20"/>
          <w:color w:val="auto"/>
        </w:rPr>
      </w:pPr>
      <w:r>
        <w:rPr>
          <w:rFonts w:ascii="Courier New" w:cs="Courier New" w:eastAsia="Courier New" w:hAnsi="Courier New"/>
          <w:sz w:val="15"/>
          <w:szCs w:val="15"/>
          <w:color w:val="auto"/>
        </w:rPr>
        <w:t>7,861,583</w:t>
      </w:r>
    </w:p>
    <w:p>
      <w:pPr>
        <w:ind w:left="3300"/>
        <w:spacing w:after="0" w:line="237" w:lineRule="auto"/>
        <w:rPr>
          <w:sz w:val="20"/>
          <w:szCs w:val="20"/>
          <w:color w:val="auto"/>
        </w:rPr>
      </w:pPr>
      <w:r>
        <w:rPr>
          <w:rFonts w:ascii="Courier New" w:cs="Courier New" w:eastAsia="Courier New" w:hAnsi="Courier New"/>
          <w:sz w:val="15"/>
          <w:szCs w:val="15"/>
          <w:color w:val="auto"/>
        </w:rPr>
        <w:t>10,051,836</w:t>
      </w:r>
    </w:p>
    <w:p>
      <w:pPr>
        <w:ind w:left="2500"/>
        <w:spacing w:after="0" w:line="238" w:lineRule="auto"/>
        <w:rPr>
          <w:sz w:val="20"/>
          <w:szCs w:val="20"/>
          <w:color w:val="auto"/>
        </w:rPr>
      </w:pPr>
      <w:r>
        <w:rPr>
          <w:rFonts w:ascii="Courier New" w:cs="Courier New" w:eastAsia="Courier New" w:hAnsi="Courier New"/>
          <w:sz w:val="15"/>
          <w:szCs w:val="15"/>
          <w:color w:val="auto"/>
        </w:rPr>
        <w:t>(6,298,394)</w:t>
      </w:r>
    </w:p>
    <w:p>
      <w:pPr>
        <w:ind w:left="2600"/>
        <w:spacing w:after="0" w:line="237" w:lineRule="auto"/>
        <w:rPr>
          <w:sz w:val="20"/>
          <w:szCs w:val="20"/>
          <w:color w:val="auto"/>
        </w:rPr>
      </w:pPr>
      <w:r>
        <w:rPr>
          <w:rFonts w:ascii="Courier New" w:cs="Courier New" w:eastAsia="Courier New" w:hAnsi="Courier New"/>
          <w:sz w:val="15"/>
          <w:szCs w:val="15"/>
          <w:color w:val="auto"/>
        </w:rPr>
        <w:t>15,622,814</w:t>
      </w:r>
    </w:p>
    <w:p>
      <w:pPr>
        <w:ind w:left="2060"/>
        <w:spacing w:after="0" w:line="238" w:lineRule="auto"/>
        <w:rPr>
          <w:sz w:val="20"/>
          <w:szCs w:val="20"/>
          <w:color w:val="auto"/>
        </w:rPr>
      </w:pPr>
      <w:r>
        <w:rPr>
          <w:rFonts w:ascii="Courier New" w:cs="Courier New" w:eastAsia="Courier New" w:hAnsi="Courier New"/>
          <w:sz w:val="15"/>
          <w:szCs w:val="15"/>
          <w:color w:val="auto"/>
        </w:rPr>
        <w:t>3,440,648</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1,859,961</w:t>
      </w:r>
    </w:p>
    <w:p>
      <w:pPr>
        <w:ind w:left="3040"/>
        <w:spacing w:after="0" w:line="238" w:lineRule="auto"/>
        <w:rPr>
          <w:sz w:val="20"/>
          <w:szCs w:val="20"/>
          <w:color w:val="auto"/>
        </w:rPr>
      </w:pPr>
      <w:r>
        <w:rPr>
          <w:rFonts w:ascii="Courier New" w:cs="Courier New" w:eastAsia="Courier New" w:hAnsi="Courier New"/>
          <w:sz w:val="15"/>
          <w:szCs w:val="15"/>
          <w:color w:val="auto"/>
        </w:rPr>
        <w:t>6,039,997</w:t>
      </w:r>
    </w:p>
    <w:p>
      <w:pPr>
        <w:ind w:left="1360"/>
        <w:spacing w:after="0" w:line="237" w:lineRule="auto"/>
        <w:rPr>
          <w:sz w:val="20"/>
          <w:szCs w:val="20"/>
          <w:color w:val="auto"/>
        </w:rPr>
      </w:pPr>
      <w:r>
        <w:rPr>
          <w:rFonts w:ascii="Courier New" w:cs="Courier New" w:eastAsia="Courier New" w:hAnsi="Courier New"/>
          <w:sz w:val="15"/>
          <w:szCs w:val="15"/>
          <w:color w:val="auto"/>
        </w:rPr>
        <w:t>15,622,814</w:t>
      </w:r>
    </w:p>
    <w:p>
      <w:pPr>
        <w:ind w:left="3300"/>
        <w:spacing w:after="0" w:line="238" w:lineRule="auto"/>
        <w:rPr>
          <w:sz w:val="20"/>
          <w:szCs w:val="20"/>
          <w:color w:val="auto"/>
        </w:rPr>
      </w:pPr>
      <w:r>
        <w:rPr>
          <w:rFonts w:ascii="Courier New" w:cs="Courier New" w:eastAsia="Courier New" w:hAnsi="Courier New"/>
          <w:sz w:val="15"/>
          <w:szCs w:val="15"/>
          <w:color w:val="auto"/>
        </w:rPr>
        <w:t>2,025,840</w:t>
      </w:r>
    </w:p>
    <w:p>
      <w:pPr>
        <w:ind w:left="2500"/>
        <w:spacing w:after="0" w:line="237" w:lineRule="auto"/>
        <w:rPr>
          <w:sz w:val="20"/>
          <w:szCs w:val="20"/>
          <w:color w:val="auto"/>
        </w:rPr>
      </w:pPr>
      <w:r>
        <w:rPr>
          <w:rFonts w:ascii="Courier New" w:cs="Courier New" w:eastAsia="Courier New" w:hAnsi="Courier New"/>
          <w:sz w:val="15"/>
          <w:szCs w:val="15"/>
          <w:color w:val="auto"/>
        </w:rPr>
        <w:t>4,475,708</w:t>
      </w:r>
    </w:p>
    <w:p>
      <w:pPr>
        <w:ind w:left="3460"/>
        <w:spacing w:after="0" w:line="238" w:lineRule="auto"/>
        <w:rPr>
          <w:sz w:val="20"/>
          <w:szCs w:val="20"/>
          <w:color w:val="auto"/>
        </w:rPr>
      </w:pPr>
      <w:r>
        <w:rPr>
          <w:rFonts w:ascii="Courier New" w:cs="Courier New" w:eastAsia="Courier New" w:hAnsi="Courier New"/>
          <w:sz w:val="15"/>
          <w:szCs w:val="15"/>
          <w:color w:val="auto"/>
        </w:rPr>
        <w:t>1,249,450</w:t>
      </w:r>
    </w:p>
    <w:p>
      <w:pPr>
        <w:ind w:left="2760"/>
        <w:spacing w:after="0" w:line="238" w:lineRule="auto"/>
        <w:rPr>
          <w:sz w:val="20"/>
          <w:szCs w:val="20"/>
          <w:color w:val="auto"/>
        </w:rPr>
      </w:pPr>
      <w:r>
        <w:rPr>
          <w:rFonts w:ascii="Courier New" w:cs="Courier New" w:eastAsia="Courier New" w:hAnsi="Courier New"/>
          <w:sz w:val="15"/>
          <w:szCs w:val="15"/>
          <w:color w:val="auto"/>
        </w:rPr>
        <w:t>3,427,759</w:t>
      </w:r>
    </w:p>
    <w:p>
      <w:pPr>
        <w:ind w:left="2680"/>
        <w:spacing w:after="0" w:line="237" w:lineRule="auto"/>
        <w:rPr>
          <w:sz w:val="20"/>
          <w:szCs w:val="20"/>
          <w:color w:val="auto"/>
        </w:rPr>
      </w:pPr>
      <w:r>
        <w:rPr>
          <w:rFonts w:ascii="Courier New" w:cs="Courier New" w:eastAsia="Courier New" w:hAnsi="Courier New"/>
          <w:sz w:val="15"/>
          <w:szCs w:val="15"/>
          <w:color w:val="auto"/>
        </w:rPr>
        <w:t>821,905</w:t>
      </w:r>
    </w:p>
    <w:p>
      <w:pPr>
        <w:ind w:left="2760"/>
        <w:spacing w:after="0" w:line="238" w:lineRule="auto"/>
        <w:rPr>
          <w:sz w:val="20"/>
          <w:szCs w:val="20"/>
          <w:color w:val="auto"/>
        </w:rPr>
      </w:pPr>
      <w:r>
        <w:rPr>
          <w:rFonts w:ascii="Courier New" w:cs="Courier New" w:eastAsia="Courier New" w:hAnsi="Courier New"/>
          <w:sz w:val="15"/>
          <w:szCs w:val="15"/>
          <w:color w:val="auto"/>
        </w:rPr>
        <w:t>15,316</w:t>
      </w:r>
    </w:p>
    <w:p>
      <w:pPr>
        <w:ind w:left="2500"/>
        <w:spacing w:after="0" w:line="237" w:lineRule="auto"/>
        <w:rPr>
          <w:sz w:val="20"/>
          <w:szCs w:val="20"/>
          <w:color w:val="auto"/>
        </w:rPr>
      </w:pPr>
      <w:r>
        <w:rPr>
          <w:rFonts w:ascii="Courier New" w:cs="Courier New" w:eastAsia="Courier New" w:hAnsi="Courier New"/>
          <w:sz w:val="15"/>
          <w:szCs w:val="15"/>
          <w:color w:val="auto"/>
        </w:rPr>
        <w:t>128,437</w:t>
      </w:r>
    </w:p>
    <w:p>
      <w:pPr>
        <w:ind w:left="2760"/>
        <w:spacing w:after="0" w:line="238" w:lineRule="auto"/>
        <w:rPr>
          <w:sz w:val="20"/>
          <w:szCs w:val="20"/>
          <w:color w:val="auto"/>
        </w:rPr>
      </w:pPr>
      <w:r>
        <w:rPr>
          <w:rFonts w:ascii="Courier New" w:cs="Courier New" w:eastAsia="Courier New" w:hAnsi="Courier New"/>
          <w:sz w:val="15"/>
          <w:szCs w:val="15"/>
          <w:color w:val="auto"/>
        </w:rPr>
        <w:t>385,695</w:t>
      </w:r>
    </w:p>
    <w:p>
      <w:pPr>
        <w:ind w:left="3120"/>
        <w:spacing w:after="0" w:line="237" w:lineRule="auto"/>
        <w:rPr>
          <w:sz w:val="20"/>
          <w:szCs w:val="20"/>
          <w:color w:val="auto"/>
        </w:rPr>
      </w:pPr>
      <w:r>
        <w:rPr>
          <w:rFonts w:ascii="Courier New" w:cs="Courier New" w:eastAsia="Courier New" w:hAnsi="Courier New"/>
          <w:sz w:val="15"/>
          <w:szCs w:val="15"/>
          <w:color w:val="auto"/>
        </w:rPr>
        <w:t>93,614</w:t>
      </w:r>
    </w:p>
    <w:p>
      <w:pPr>
        <w:ind w:left="2420"/>
        <w:spacing w:after="0" w:line="238" w:lineRule="auto"/>
        <w:rPr>
          <w:sz w:val="20"/>
          <w:szCs w:val="20"/>
          <w:color w:val="auto"/>
        </w:rPr>
      </w:pPr>
      <w:r>
        <w:rPr>
          <w:rFonts w:ascii="Courier New" w:cs="Courier New" w:eastAsia="Courier New" w:hAnsi="Courier New"/>
          <w:sz w:val="15"/>
          <w:szCs w:val="15"/>
          <w:color w:val="auto"/>
        </w:rPr>
        <w:t>292,081</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292,081</w:t>
      </w:r>
    </w:p>
    <w:p>
      <w:pPr>
        <w:ind w:left="3380"/>
        <w:spacing w:after="0" w:line="238" w:lineRule="auto"/>
        <w:rPr>
          <w:sz w:val="20"/>
          <w:szCs w:val="20"/>
          <w:color w:val="auto"/>
        </w:rPr>
      </w:pPr>
      <w:r>
        <w:rPr>
          <w:rFonts w:ascii="Courier New" w:cs="Courier New" w:eastAsia="Courier New" w:hAnsi="Courier New"/>
          <w:sz w:val="15"/>
          <w:szCs w:val="15"/>
          <w:color w:val="auto"/>
        </w:rPr>
        <w:t>0.51</w:t>
      </w:r>
    </w:p>
    <w:p>
      <w:pPr>
        <w:ind w:left="3200"/>
        <w:spacing w:after="0" w:line="237" w:lineRule="auto"/>
        <w:rPr>
          <w:sz w:val="20"/>
          <w:szCs w:val="20"/>
          <w:color w:val="auto"/>
        </w:rPr>
      </w:pPr>
      <w:r>
        <w:rPr>
          <w:rFonts w:ascii="Courier New" w:cs="Courier New" w:eastAsia="Courier New" w:hAnsi="Courier New"/>
          <w:sz w:val="15"/>
          <w:szCs w:val="15"/>
          <w:color w:val="auto"/>
        </w:rPr>
        <w:t>0.51</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2019-12-13T06:42:52Z</dcterms:created>
  <dcterms:modified xsi:type="dcterms:W3CDTF">2019-12-13T06:42:52Z</dcterms:modified>
</cp:coreProperties>
</file>