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333-231029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Schlumberger Investment SA</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89"/>
              </w:rPr>
              <w:t>$350,000,000 2.650% Senior Notes due 2030</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70"/>
              <w:spacing w:after="0"/>
              <w:rPr>
                <w:sz w:val="20"/>
                <w:szCs w:val="20"/>
                <w:color w:val="auto"/>
              </w:rPr>
            </w:pPr>
            <w:r>
              <w:rPr>
                <w:rFonts w:ascii="Arial" w:cs="Arial" w:eastAsia="Arial" w:hAnsi="Arial"/>
                <w:sz w:val="18"/>
                <w:szCs w:val="18"/>
                <w:b w:val="1"/>
                <w:bCs w:val="1"/>
                <w:color w:val="auto"/>
                <w:w w:val="90"/>
              </w:rPr>
              <w:t>Pricing Term Sheet</w:t>
            </w:r>
          </w:p>
        </w:tc>
      </w:tr>
      <w:tr>
        <w:trPr>
          <w:trHeight w:val="324"/>
        </w:trPr>
        <w:tc>
          <w:tcPr>
            <w:tcW w:w="3240" w:type="dxa"/>
            <w:vAlign w:val="bottom"/>
          </w:tcPr>
          <w:p>
            <w:pPr>
              <w:spacing w:after="0"/>
              <w:rPr>
                <w:sz w:val="24"/>
                <w:szCs w:val="24"/>
                <w:color w:val="auto"/>
              </w:rPr>
            </w:pPr>
          </w:p>
        </w:tc>
        <w:tc>
          <w:tcPr>
            <w:tcW w:w="7780" w:type="dxa"/>
            <w:vAlign w:val="bottom"/>
          </w:tcPr>
          <w:p>
            <w:pPr>
              <w:jc w:val="center"/>
              <w:ind w:right="3150"/>
              <w:spacing w:after="0"/>
              <w:rPr>
                <w:sz w:val="20"/>
                <w:szCs w:val="20"/>
                <w:color w:val="auto"/>
              </w:rPr>
            </w:pPr>
            <w:r>
              <w:rPr>
                <w:rFonts w:ascii="Arial" w:cs="Arial" w:eastAsia="Arial" w:hAnsi="Arial"/>
                <w:sz w:val="18"/>
                <w:szCs w:val="18"/>
                <w:b w:val="1"/>
                <w:bCs w:val="1"/>
                <w:color w:val="auto"/>
                <w:w w:val="89"/>
              </w:rPr>
              <w:t>August 4, 2020</w:t>
            </w:r>
          </w:p>
        </w:tc>
      </w:tr>
      <w:tr>
        <w:trPr>
          <w:trHeight w:val="243"/>
        </w:trPr>
        <w:tc>
          <w:tcPr>
            <w:tcW w:w="3240" w:type="dxa"/>
            <w:vAlign w:val="bottom"/>
            <w:tcBorders>
              <w:bottom w:val="single" w:sz="8" w:color="auto"/>
            </w:tcBorders>
          </w:tcPr>
          <w:p>
            <w:pPr>
              <w:spacing w:after="0"/>
              <w:rPr>
                <w:sz w:val="21"/>
                <w:szCs w:val="21"/>
                <w:color w:val="auto"/>
              </w:rPr>
            </w:pPr>
          </w:p>
        </w:tc>
        <w:tc>
          <w:tcPr>
            <w:tcW w:w="7780" w:type="dxa"/>
            <w:vAlign w:val="bottom"/>
            <w:tcBorders>
              <w:bottom w:val="single" w:sz="8" w:color="auto"/>
            </w:tcBorders>
          </w:tcPr>
          <w:p>
            <w:pPr>
              <w:spacing w:after="0"/>
              <w:rPr>
                <w:sz w:val="21"/>
                <w:szCs w:val="21"/>
                <w:color w:val="auto"/>
              </w:rPr>
            </w:pP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Issuer:</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Schlumberger Investment SA</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Guarantor:</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Schlumberger Limited</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Title: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2.650% Senior Notes due 2030 (the “Notes”)</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Issue Format:</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SEC registered</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Guarantor Ratings (Moody’s/S&amp;P)*:</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A2 (Negative) / A (Negative)</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Original Principal Amount:</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$900,000,000 as issued on June 26, 2020 (the “Existing Notes”)</w:t>
            </w:r>
          </w:p>
        </w:tc>
      </w:tr>
      <w:tr>
        <w:trPr>
          <w:trHeight w:val="195"/>
        </w:trPr>
        <w:tc>
          <w:tcPr>
            <w:tcW w:w="3240" w:type="dxa"/>
            <w:vAlign w:val="bottom"/>
          </w:tcPr>
          <w:p>
            <w:pPr>
              <w:spacing w:after="0"/>
              <w:rPr>
                <w:sz w:val="16"/>
                <w:szCs w:val="16"/>
                <w:color w:val="auto"/>
              </w:rPr>
            </w:pPr>
          </w:p>
        </w:tc>
        <w:tc>
          <w:tcPr>
            <w:tcW w:w="7780" w:type="dxa"/>
            <w:vAlign w:val="bottom"/>
          </w:tcPr>
          <w:p>
            <w:pPr>
              <w:ind w:left="2500"/>
              <w:spacing w:after="0" w:line="195" w:lineRule="exact"/>
              <w:rPr>
                <w:sz w:val="20"/>
                <w:szCs w:val="20"/>
                <w:color w:val="auto"/>
              </w:rPr>
            </w:pPr>
            <w:r>
              <w:rPr>
                <w:rFonts w:ascii="Arial" w:cs="Arial" w:eastAsia="Arial" w:hAnsi="Arial"/>
                <w:sz w:val="18"/>
                <w:szCs w:val="18"/>
                <w:color w:val="auto"/>
              </w:rPr>
              <w:t>$350,000,000 (after giving effect to this issuance of the Notes,</w:t>
            </w:r>
          </w:p>
        </w:tc>
      </w:tr>
      <w:tr>
        <w:trPr>
          <w:trHeight w:val="216"/>
        </w:trPr>
        <w:tc>
          <w:tcPr>
            <w:tcW w:w="3240" w:type="dxa"/>
            <w:vAlign w:val="bottom"/>
          </w:tcPr>
          <w:p>
            <w:pPr>
              <w:spacing w:after="0"/>
              <w:rPr>
                <w:sz w:val="18"/>
                <w:szCs w:val="18"/>
                <w:color w:val="auto"/>
              </w:rPr>
            </w:pPr>
          </w:p>
        </w:tc>
        <w:tc>
          <w:tcPr>
            <w:tcW w:w="7780" w:type="dxa"/>
            <w:vAlign w:val="bottom"/>
          </w:tcPr>
          <w:p>
            <w:pPr>
              <w:ind w:left="2500"/>
              <w:spacing w:after="0"/>
              <w:rPr>
                <w:sz w:val="20"/>
                <w:szCs w:val="20"/>
                <w:color w:val="auto"/>
              </w:rPr>
            </w:pPr>
            <w:r>
              <w:rPr>
                <w:rFonts w:ascii="Arial" w:cs="Arial" w:eastAsia="Arial" w:hAnsi="Arial"/>
                <w:sz w:val="18"/>
                <w:szCs w:val="18"/>
                <w:color w:val="auto"/>
              </w:rPr>
              <w:t>$1,250,000,000 aggregate principal amount of the Notes will be</w:t>
            </w:r>
          </w:p>
        </w:tc>
      </w:tr>
      <w:tr>
        <w:trPr>
          <w:trHeight w:val="23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TAP Amount:</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outstanding)</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Coupon:</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2.650%</w:t>
            </w:r>
          </w:p>
        </w:tc>
      </w:tr>
      <w:tr>
        <w:trPr>
          <w:trHeight w:val="195"/>
        </w:trPr>
        <w:tc>
          <w:tcPr>
            <w:tcW w:w="3240" w:type="dxa"/>
            <w:vAlign w:val="bottom"/>
          </w:tcPr>
          <w:p>
            <w:pPr>
              <w:spacing w:after="0"/>
              <w:rPr>
                <w:sz w:val="16"/>
                <w:szCs w:val="16"/>
                <w:color w:val="auto"/>
              </w:rPr>
            </w:pPr>
          </w:p>
        </w:tc>
        <w:tc>
          <w:tcPr>
            <w:tcW w:w="7780" w:type="dxa"/>
            <w:vAlign w:val="bottom"/>
          </w:tcPr>
          <w:p>
            <w:pPr>
              <w:ind w:left="2500"/>
              <w:spacing w:after="0" w:line="195" w:lineRule="exact"/>
              <w:rPr>
                <w:sz w:val="20"/>
                <w:szCs w:val="20"/>
                <w:color w:val="auto"/>
              </w:rPr>
            </w:pPr>
            <w:r>
              <w:rPr>
                <w:rFonts w:ascii="Arial" w:cs="Arial" w:eastAsia="Arial" w:hAnsi="Arial"/>
                <w:sz w:val="18"/>
                <w:szCs w:val="18"/>
                <w:color w:val="auto"/>
                <w:w w:val="97"/>
              </w:rPr>
              <w:t>The price to be paid by each investor in the offering, plus aggregate</w:t>
            </w:r>
          </w:p>
        </w:tc>
      </w:tr>
      <w:tr>
        <w:trPr>
          <w:trHeight w:val="23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Price to Public:</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accrued interest of $1,159,375 from June 26, 2020</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Payment Dates:</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26 and December 26, beginning December 26, 2020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Trade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August 4, 2020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Settlement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August 11, 2020</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Maturity Date:</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June 26, 2030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Make-Whole Call:</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T + 30 basis points</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Par Call:</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At any time on or after March 26, 2030</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Benchmark Treasury:</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UST 0.625% due May 15, 2030</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Treasury Yield:</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Dependent on price to be paid</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Spread to Benchmark Treasury:</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Dependent on price to be paid</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Reoffer Yield:</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Dependent on price to be paid</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CUSIP:</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806854 AJ4</w:t>
            </w:r>
          </w:p>
        </w:tc>
      </w:tr>
      <w:tr>
        <w:trPr>
          <w:trHeight w:val="209"/>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ISIN:</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US806854AJ48</w:t>
            </w:r>
          </w:p>
        </w:tc>
      </w:tr>
      <w:tr>
        <w:trPr>
          <w:trHeight w:val="210"/>
        </w:trPr>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Sole Book-Running Manager:</w:t>
            </w:r>
          </w:p>
        </w:tc>
        <w:tc>
          <w:tcPr>
            <w:tcW w:w="7780" w:type="dxa"/>
            <w:vAlign w:val="bottom"/>
            <w:tcBorders>
              <w:bottom w:val="single" w:sz="8" w:color="auto"/>
            </w:tcBorders>
          </w:tcPr>
          <w:p>
            <w:pPr>
              <w:ind w:left="2500"/>
              <w:spacing w:after="0"/>
              <w:rPr>
                <w:sz w:val="20"/>
                <w:szCs w:val="20"/>
                <w:color w:val="auto"/>
              </w:rPr>
            </w:pPr>
            <w:r>
              <w:rPr>
                <w:rFonts w:ascii="Arial" w:cs="Arial" w:eastAsia="Arial" w:hAnsi="Arial"/>
                <w:sz w:val="18"/>
                <w:szCs w:val="18"/>
                <w:color w:val="auto"/>
              </w:rPr>
              <w:t>Citigroup Global Markets Inc.</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6"/>
          <w:szCs w:val="16"/>
          <w:b w:val="1"/>
          <w:bCs w:val="1"/>
          <w:i w:val="1"/>
          <w:iCs w:val="1"/>
          <w:color w:val="auto"/>
        </w:rPr>
        <w:t>*Note: A securities rating is not a recommendation to buy, sell or hold securities and may be subject to revision or withdrawal at any time.</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**Settlement and Sale of the Notes</w:t>
      </w:r>
    </w:p>
    <w:p>
      <w:pPr>
        <w:spacing w:after="0" w:line="121" w:lineRule="exact"/>
        <w:rPr>
          <w:sz w:val="24"/>
          <w:szCs w:val="24"/>
          <w:color w:val="auto"/>
        </w:rPr>
      </w:pPr>
    </w:p>
    <w:p>
      <w:pPr>
        <w:ind w:right="140"/>
        <w:spacing w:after="0" w:line="259" w:lineRule="auto"/>
        <w:rPr>
          <w:sz w:val="20"/>
          <w:szCs w:val="20"/>
          <w:color w:val="auto"/>
        </w:rPr>
      </w:pPr>
      <w:r>
        <w:rPr>
          <w:rFonts w:ascii="Arial" w:cs="Arial" w:eastAsia="Arial" w:hAnsi="Arial"/>
          <w:sz w:val="18"/>
          <w:szCs w:val="18"/>
          <w:color w:val="auto"/>
        </w:rPr>
        <w:t>The Issuer expects to deliver the Notes against payment for the Notes on or about August 11, 2020 which will be the fifth business day following August 4, 2020, the date of the pricing of the Notes. Since trades in the secondary market generally settle in two business days, purchasers who wish to trade Notes on any date prior to the second business day before delivery will be required, by virtue of the fact that the Notes initially will settle in T+5, to specify alternative settlement arrangements to prevent a failed settlement.</w:t>
      </w:r>
    </w:p>
    <w:p>
      <w:pPr>
        <w:spacing w:after="0" w:line="183" w:lineRule="exact"/>
        <w:rPr>
          <w:sz w:val="24"/>
          <w:szCs w:val="24"/>
          <w:color w:val="auto"/>
        </w:rPr>
      </w:pPr>
    </w:p>
    <w:p>
      <w:pPr>
        <w:ind w:right="100"/>
        <w:spacing w:after="0" w:line="303" w:lineRule="auto"/>
        <w:rPr>
          <w:sz w:val="20"/>
          <w:szCs w:val="20"/>
          <w:color w:val="auto"/>
        </w:rPr>
      </w:pPr>
      <w:r>
        <w:rPr>
          <w:rFonts w:ascii="Arial" w:cs="Arial" w:eastAsia="Arial" w:hAnsi="Arial"/>
          <w:sz w:val="16"/>
          <w:szCs w:val="16"/>
          <w:b w:val="1"/>
          <w:bCs w:val="1"/>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 site at www.sec.gov. Alternatively, you can request a copy of the prospectus by calling Citigroup Global Markets Inc. toll-free at 1-800-831-9146.</w:t>
      </w:r>
    </w:p>
    <w:sectPr>
      <w:pgSz w:w="11900" w:h="16838" w:orient="portrait"/>
      <w:cols w:equalWidth="0" w:num="1">
        <w:col w:w="11020"/>
      </w:cols>
      <w:pgMar w:left="440" w:top="229"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2020-08-04T15:58:00Z</dcterms:created>
  <dcterms:modified xsi:type="dcterms:W3CDTF">2020-08-04T15:58:00Z</dcterms:modified>
</cp:coreProperties>
</file>