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02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Ralston Dianne B.</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(Last)</w:t>
            </w:r>
          </w:p>
        </w:tc>
        <w:tc>
          <w:tcPr>
            <w:tcW w:w="1020" w:type="dxa"/>
            <w:vAlign w:val="bottom"/>
          </w:tcPr>
          <w:p>
            <w:pPr>
              <w:ind w:left="20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5599 SAN FELIPE, 17TH FLOOR</w:t>
            </w:r>
          </w:p>
        </w:tc>
      </w:tr>
      <w:tr>
        <w:trPr>
          <w:trHeight w:val="208"/>
        </w:trPr>
        <w:tc>
          <w:tcPr>
            <w:tcW w:w="40" w:type="dxa"/>
            <w:vAlign w:val="bottom"/>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r>
      <w:tr>
        <w:trPr>
          <w:trHeight w:val="269"/>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77056</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r>
      <w:tr>
        <w:trPr>
          <w:trHeight w:val="220"/>
        </w:trPr>
        <w:tc>
          <w:tcPr>
            <w:tcW w:w="80" w:type="dxa"/>
            <w:vAlign w:val="bottom"/>
          </w:tcPr>
          <w:p>
            <w:pPr>
              <w:spacing w:after="0"/>
              <w:rPr>
                <w:sz w:val="19"/>
                <w:szCs w:val="19"/>
                <w:color w:val="auto"/>
              </w:rPr>
            </w:pPr>
          </w:p>
        </w:tc>
        <w:tc>
          <w:tcPr>
            <w:tcW w:w="3740" w:type="dxa"/>
            <w:vAlign w:val="bottom"/>
            <w:gridSpan w:val="3"/>
          </w:tcPr>
          <w:p>
            <w:pPr>
              <w:spacing w:after="0" w:line="213"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SCHLUMBERGER LIMITED/NV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SLB</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gridSpan w:val="2"/>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r>
      <w:tr>
        <w:trPr>
          <w:trHeight w:val="148"/>
        </w:trPr>
        <w:tc>
          <w:tcPr>
            <w:tcW w:w="80" w:type="dxa"/>
            <w:vAlign w:val="bottom"/>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2900" w:type="dxa"/>
            <w:vAlign w:val="bottom"/>
            <w:tcBorders>
              <w:top w:val="single" w:sz="8" w:color="0000EE"/>
            </w:tcBorders>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60" w:type="dxa"/>
            <w:vAlign w:val="bottom"/>
          </w:tcPr>
          <w:p>
            <w:pPr>
              <w:ind w:left="400"/>
              <w:spacing w:after="0" w:line="148" w:lineRule="exact"/>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line="148" w:lineRule="exact"/>
              <w:rPr>
                <w:sz w:val="20"/>
                <w:szCs w:val="20"/>
                <w:color w:val="auto"/>
              </w:rPr>
            </w:pPr>
            <w:r>
              <w:rPr>
                <w:rFonts w:ascii="Arial" w:cs="Arial" w:eastAsia="Arial" w:hAnsi="Arial"/>
                <w:sz w:val="13"/>
                <w:szCs w:val="13"/>
                <w:color w:val="auto"/>
              </w:rPr>
              <w:t>10% Owner</w:t>
            </w:r>
          </w:p>
        </w:tc>
      </w:tr>
      <w:tr>
        <w:trPr>
          <w:trHeight w:val="125"/>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90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tcPr>
          <w:p>
            <w:pPr>
              <w:ind w:left="400"/>
              <w:spacing w:after="0" w:line="126" w:lineRule="exact"/>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line="126" w:lineRule="exact"/>
              <w:rPr>
                <w:sz w:val="20"/>
                <w:szCs w:val="20"/>
                <w:color w:val="auto"/>
              </w:rPr>
            </w:pPr>
            <w:r>
              <w:rPr>
                <w:rFonts w:ascii="Arial" w:cs="Arial" w:eastAsia="Arial" w:hAnsi="Arial"/>
                <w:sz w:val="13"/>
                <w:szCs w:val="13"/>
                <w:color w:val="auto"/>
              </w:rPr>
              <w:t>Other (specify</w:t>
            </w:r>
          </w:p>
        </w:tc>
      </w:tr>
      <w:tr>
        <w:trPr>
          <w:trHeight w:val="18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r>
      <w:tr>
        <w:trPr>
          <w:trHeight w:val="253"/>
        </w:trPr>
        <w:tc>
          <w:tcPr>
            <w:tcW w:w="31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03/07/2025</w:t>
            </w:r>
          </w:p>
        </w:tc>
        <w:tc>
          <w:tcPr>
            <w:tcW w:w="7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100" w:type="dxa"/>
            <w:vAlign w:val="bottom"/>
            <w:gridSpan w:val="2"/>
          </w:tcPr>
          <w:p>
            <w:pPr>
              <w:ind w:left="540"/>
              <w:spacing w:after="0"/>
              <w:rPr>
                <w:sz w:val="20"/>
                <w:szCs w:val="20"/>
                <w:color w:val="auto"/>
              </w:rPr>
            </w:pPr>
            <w:r>
              <w:rPr>
                <w:rFonts w:ascii="Times New Roman" w:cs="Times New Roman" w:eastAsia="Times New Roman" w:hAnsi="Times New Roman"/>
                <w:sz w:val="17"/>
                <w:szCs w:val="17"/>
                <w:color w:val="0000FF"/>
              </w:rPr>
              <w:t>Chief Legal Officer &amp; Sec</w:t>
            </w:r>
          </w:p>
        </w:tc>
      </w:tr>
      <w:tr>
        <w:trPr>
          <w:trHeight w:val="248"/>
        </w:trPr>
        <w:tc>
          <w:tcPr>
            <w:tcW w:w="80" w:type="dxa"/>
            <w:vAlign w:val="bottom"/>
            <w:tcBorders>
              <w:bottom w:val="single" w:sz="8" w:color="2C2C2C"/>
            </w:tcBorders>
          </w:tcPr>
          <w:p>
            <w:pPr>
              <w:spacing w:after="0"/>
              <w:rPr>
                <w:sz w:val="21"/>
                <w:szCs w:val="21"/>
                <w:color w:val="auto"/>
              </w:rPr>
            </w:pPr>
          </w:p>
        </w:tc>
        <w:tc>
          <w:tcPr>
            <w:tcW w:w="120" w:type="dxa"/>
            <w:vAlign w:val="bottom"/>
            <w:tcBorders>
              <w:bottom w:val="single" w:sz="8" w:color="2C2C2C"/>
            </w:tcBorders>
          </w:tcPr>
          <w:p>
            <w:pPr>
              <w:spacing w:after="0"/>
              <w:rPr>
                <w:sz w:val="21"/>
                <w:szCs w:val="21"/>
                <w:color w:val="auto"/>
              </w:rPr>
            </w:pPr>
          </w:p>
        </w:tc>
        <w:tc>
          <w:tcPr>
            <w:tcW w:w="290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3100" w:type="dxa"/>
            <w:vAlign w:val="bottom"/>
            <w:tcBorders>
              <w:bottom w:val="single" w:sz="8" w:color="2C2C2C"/>
            </w:tcBorders>
            <w:gridSpan w:val="2"/>
          </w:tcPr>
          <w:p>
            <w:pPr>
              <w:spacing w:after="0"/>
              <w:rPr>
                <w:sz w:val="21"/>
                <w:szCs w:val="2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16"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4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60" w:type="dxa"/>
            <w:vAlign w:val="bottom"/>
            <w:tcBorders>
              <w:bottom w:val="single" w:sz="8" w:color="2C2C2C"/>
            </w:tcBorders>
            <w:gridSpan w:val="3"/>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$0.01 Par Value Per</w:t>
            </w:r>
          </w:p>
        </w:tc>
        <w:tc>
          <w:tcPr>
            <w:tcW w:w="1540" w:type="dxa"/>
            <w:vAlign w:val="bottom"/>
            <w:gridSpan w:val="2"/>
            <w:vMerge w:val="restart"/>
          </w:tcPr>
          <w:p>
            <w:pPr>
              <w:ind w:left="600"/>
              <w:spacing w:after="0"/>
              <w:rPr>
                <w:sz w:val="20"/>
                <w:szCs w:val="20"/>
                <w:color w:val="auto"/>
              </w:rPr>
            </w:pPr>
            <w:r>
              <w:rPr>
                <w:rFonts w:ascii="Times New Roman" w:cs="Times New Roman" w:eastAsia="Times New Roman" w:hAnsi="Times New Roman"/>
                <w:sz w:val="17"/>
                <w:szCs w:val="17"/>
                <w:color w:val="0000FF"/>
              </w:rPr>
              <w:t>03/07/2025</w:t>
            </w: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11,384</w:t>
            </w:r>
            <w:r>
              <w:rPr>
                <w:rFonts w:ascii="Times New Roman" w:cs="Times New Roman" w:eastAsia="Times New Roman" w:hAnsi="Times New Roman"/>
                <w:sz w:val="22"/>
                <w:szCs w:val="22"/>
                <w:color w:val="008000"/>
                <w:vertAlign w:val="superscript"/>
              </w:rPr>
              <w:t>(1)</w:t>
            </w:r>
          </w:p>
        </w:tc>
        <w:tc>
          <w:tcPr>
            <w:tcW w:w="42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20" w:type="dxa"/>
            <w:vAlign w:val="bottom"/>
          </w:tcPr>
          <w:p>
            <w:pPr>
              <w:spacing w:after="0"/>
              <w:rPr>
                <w:sz w:val="21"/>
                <w:szCs w:val="21"/>
                <w:color w:val="auto"/>
              </w:rPr>
            </w:pPr>
          </w:p>
        </w:tc>
        <w:tc>
          <w:tcPr>
            <w:tcW w:w="400" w:type="dxa"/>
            <w:vAlign w:val="bottom"/>
            <w:gridSpan w:val="2"/>
            <w:vMerge w:val="restart"/>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200" w:type="dxa"/>
            <w:vAlign w:val="bottom"/>
          </w:tcPr>
          <w:p>
            <w:pPr>
              <w:spacing w:after="0"/>
              <w:rPr>
                <w:sz w:val="21"/>
                <w:szCs w:val="21"/>
                <w:color w:val="auto"/>
              </w:rPr>
            </w:pPr>
          </w:p>
        </w:tc>
        <w:tc>
          <w:tcPr>
            <w:tcW w:w="12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246,408</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420" w:type="dxa"/>
            <w:vAlign w:val="bottom"/>
          </w:tcPr>
          <w:p>
            <w:pPr>
              <w:spacing w:after="0"/>
              <w:rPr>
                <w:sz w:val="4"/>
                <w:szCs w:val="4"/>
                <w:color w:val="auto"/>
              </w:rPr>
            </w:pPr>
          </w:p>
        </w:tc>
        <w:tc>
          <w:tcPr>
            <w:tcW w:w="22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60" w:type="dxa"/>
            <w:vAlign w:val="bottom"/>
            <w:tcBorders>
              <w:bottom w:val="single" w:sz="8" w:color="2C2C2C"/>
            </w:tcBorders>
            <w:gridSpan w:val="3"/>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$0.01 Par Value Per</w:t>
            </w:r>
          </w:p>
        </w:tc>
        <w:tc>
          <w:tcPr>
            <w:tcW w:w="1540" w:type="dxa"/>
            <w:vAlign w:val="bottom"/>
            <w:gridSpan w:val="2"/>
            <w:vMerge w:val="restart"/>
          </w:tcPr>
          <w:p>
            <w:pPr>
              <w:ind w:left="600"/>
              <w:spacing w:after="0"/>
              <w:rPr>
                <w:sz w:val="20"/>
                <w:szCs w:val="20"/>
                <w:color w:val="auto"/>
              </w:rPr>
            </w:pPr>
            <w:r>
              <w:rPr>
                <w:rFonts w:ascii="Times New Roman" w:cs="Times New Roman" w:eastAsia="Times New Roman" w:hAnsi="Times New Roman"/>
                <w:sz w:val="17"/>
                <w:szCs w:val="17"/>
                <w:color w:val="0000FF"/>
              </w:rPr>
              <w:t>03/07/2025</w:t>
            </w: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vMerge w:val="restart"/>
          </w:tcPr>
          <w:p>
            <w:pPr>
              <w:jc w:val="right"/>
              <w:ind w:right="73"/>
              <w:spacing w:after="0"/>
              <w:rPr>
                <w:sz w:val="20"/>
                <w:szCs w:val="20"/>
                <w:color w:val="auto"/>
              </w:rPr>
            </w:pPr>
            <w:r>
              <w:rPr>
                <w:rFonts w:ascii="Times New Roman" w:cs="Times New Roman" w:eastAsia="Times New Roman" w:hAnsi="Times New Roman"/>
                <w:sz w:val="17"/>
                <w:szCs w:val="17"/>
                <w:color w:val="0000FF"/>
              </w:rPr>
              <w:t>4,480</w:t>
            </w:r>
          </w:p>
        </w:tc>
        <w:tc>
          <w:tcPr>
            <w:tcW w:w="42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Pr>
          <w:p>
            <w:pPr>
              <w:spacing w:after="0"/>
              <w:rPr>
                <w:sz w:val="21"/>
                <w:szCs w:val="21"/>
                <w:color w:val="auto"/>
              </w:rPr>
            </w:pPr>
          </w:p>
        </w:tc>
        <w:tc>
          <w:tcPr>
            <w:tcW w:w="600" w:type="dxa"/>
            <w:vAlign w:val="bottom"/>
            <w:gridSpan w:val="3"/>
            <w:vMerge w:val="restart"/>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40.87</w:t>
            </w:r>
          </w:p>
        </w:tc>
        <w:tc>
          <w:tcPr>
            <w:tcW w:w="12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241,928</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540" w:type="dxa"/>
            <w:vAlign w:val="bottom"/>
            <w:gridSpan w:val="2"/>
            <w:vMerge w:val="continue"/>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42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gridSpan w:val="3"/>
            <w:vMerge w:val="continue"/>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8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0"/>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260" w:type="dxa"/>
            <w:vAlign w:val="bottom"/>
            <w:gridSpan w:val="10"/>
          </w:tcPr>
          <w:p>
            <w:pPr>
              <w:ind w:left="4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4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00" w:firstLine="7"/>
        <w:spacing w:after="0" w:line="244"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Company granted performance share units ("PSUs") to the reporting person on January 19, 2022. Vesting of the PSUs was based on three-year Company performance relative to select key competitors. Most of these competitors had not reported their 2024 audited financial results when the Company's compensation committee met in January 2025 to certify performance under the PSUs. As a result, the Company's compensation committee approved the issuance of 80% of the shares that the committee determined had been earned according to the information available to the committee at the time. As of March 7, 2025, all such competitors had reported their 2024 audited financial results. Shares of common stock reported hereunder represent shares finally determined to have been earned under the PSUs.</w:t>
      </w:r>
    </w:p>
    <w:p>
      <w:pPr>
        <w:spacing w:after="0" w:line="46"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 xml:space="preserve">/s/ Samantha Blons, Attorney- </w:t>
      </w:r>
      <w:r>
        <w:rPr>
          <w:rFonts w:ascii="Times New Roman" w:cs="Times New Roman" w:eastAsia="Times New Roman" w:hAnsi="Times New Roman"/>
          <w:sz w:val="34"/>
          <w:szCs w:val="34"/>
          <w:color w:val="0000FF"/>
          <w:vertAlign w:val="subscript"/>
        </w:rPr>
        <w:t>03/11/2025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-28575</wp:posOffset>
            </wp:positionV>
            <wp:extent cx="13322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223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49720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614246" TargetMode="External"/><Relationship Id="rId14" Type="http://schemas.openxmlformats.org/officeDocument/2006/relationships/hyperlink" Target="http://www.sec.gov/cgi-bin/browse-edgar?action=getcompany&amp;CIK=00000873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2025-03-11T16:22:25Z</dcterms:created>
  <dcterms:modified xsi:type="dcterms:W3CDTF">2025-03-11T16:22:25Z</dcterms:modified>
</cp:coreProperties>
</file>