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sz w:val="20"/>
        </w:rPr>
      </w:pPr>
      <w:bookmarkStart w:id="0" w:name="d13955d425.htm"/>
      <w:bookmarkStart w:id="1" w:name="ksd13955d425"/>
      <w:bookmarkEnd w:id="0"/>
      <w:bookmarkEnd w:id="1"/>
      <w:r>
        <w:rPr>
          <w:rFonts w:ascii="ARIAL" w:hAnsi="ARIAL"/>
          <w:sz w:val="20"/>
        </w:rPr>
        <w:t xml:space="preserve">Filed by Schlumberger N.V. </w:t>
      </w:r>
    </w:p>
    <w:p>
      <w:pPr>
        <w:pStyle w:val="TextBody"/>
        <w:bidi w:val="0"/>
        <w:spacing w:before="0" w:after="0"/>
        <w:jc w:val="right"/>
        <w:rPr>
          <w:rFonts w:ascii="ARIAL" w:hAnsi="ARIAL"/>
          <w:sz w:val="20"/>
        </w:rPr>
      </w:pPr>
      <w:r>
        <w:rPr>
          <w:rFonts w:ascii="ARIAL" w:hAnsi="ARIAL"/>
          <w:sz w:val="20"/>
        </w:rPr>
        <w:t xml:space="preserve">pursuant to Rule 425 under the Securities Act of 1933 </w:t>
      </w:r>
    </w:p>
    <w:p>
      <w:pPr>
        <w:pStyle w:val="TextBody"/>
        <w:bidi w:val="0"/>
        <w:spacing w:before="0" w:after="0"/>
        <w:jc w:val="right"/>
        <w:rPr>
          <w:rFonts w:ascii="ARIAL" w:hAnsi="ARIAL"/>
          <w:sz w:val="20"/>
        </w:rPr>
      </w:pPr>
      <w:r>
        <w:rPr>
          <w:rFonts w:ascii="ARIAL" w:hAnsi="ARIAL"/>
          <w:sz w:val="20"/>
        </w:rPr>
        <w:t xml:space="preserve">and deemed filed pursuant to Rule 14a-12 </w:t>
      </w:r>
    </w:p>
    <w:p>
      <w:pPr>
        <w:pStyle w:val="TextBody"/>
        <w:bidi w:val="0"/>
        <w:spacing w:before="0" w:after="0"/>
        <w:jc w:val="right"/>
        <w:rPr>
          <w:rFonts w:ascii="ARIAL" w:hAnsi="ARIAL"/>
          <w:sz w:val="20"/>
        </w:rPr>
      </w:pPr>
      <w:r>
        <w:rPr>
          <w:rFonts w:ascii="ARIAL" w:hAnsi="ARIAL"/>
          <w:sz w:val="20"/>
        </w:rPr>
        <w:t xml:space="preserve">under the Securities Exchange Act of 1934 </w:t>
      </w:r>
    </w:p>
    <w:p>
      <w:pPr>
        <w:pStyle w:val="TextBody"/>
        <w:bidi w:val="0"/>
        <w:spacing w:before="0" w:after="0"/>
        <w:jc w:val="right"/>
        <w:rPr>
          <w:rFonts w:ascii="ARIAL" w:hAnsi="ARIAL"/>
          <w:sz w:val="20"/>
        </w:rPr>
      </w:pPr>
      <w:r>
        <w:rPr>
          <w:rFonts w:ascii="ARIAL" w:hAnsi="ARIAL"/>
          <w:sz w:val="20"/>
        </w:rPr>
        <w:t xml:space="preserve">Subject Company: ChampionX Corporation </w:t>
      </w:r>
    </w:p>
    <w:p>
      <w:pPr>
        <w:pStyle w:val="TextBody"/>
        <w:bidi w:val="0"/>
        <w:spacing w:before="0" w:after="0"/>
        <w:jc w:val="right"/>
        <w:rPr>
          <w:rFonts w:ascii="ARIAL" w:hAnsi="ARIAL"/>
          <w:sz w:val="20"/>
        </w:rPr>
      </w:pPr>
      <w:r>
        <w:rPr>
          <w:rFonts w:ascii="ARIAL" w:hAnsi="ARIAL"/>
          <w:sz w:val="20"/>
        </w:rPr>
        <w:t xml:space="preserve">Filers SEC File No.: 001-38441 </w:t>
      </w:r>
    </w:p>
    <w:p>
      <w:pPr>
        <w:pStyle w:val="TextBody"/>
        <w:bidi w:val="0"/>
        <w:spacing w:before="0" w:after="0"/>
        <w:jc w:val="right"/>
        <w:rPr>
          <w:rFonts w:ascii="ARIAL" w:hAnsi="ARIAL"/>
          <w:sz w:val="20"/>
        </w:rPr>
      </w:pPr>
      <w:r>
        <w:rPr>
          <w:rFonts w:ascii="ARIAL" w:hAnsi="ARIAL"/>
          <w:sz w:val="20"/>
        </w:rPr>
        <w:t xml:space="preserve">Date: April 2, 2024 </w:t>
      </w:r>
    </w:p>
    <w:p>
      <w:pPr>
        <w:pStyle w:val="TextBody"/>
        <w:bidi w:val="0"/>
        <w:spacing w:before="240" w:after="0"/>
        <w:jc w:val="left"/>
        <w:rPr>
          <w:rFonts w:ascii="ARIAL" w:hAnsi="ARIAL"/>
          <w:b/>
          <w:color w:val="0214DC"/>
          <w:sz w:val="20"/>
        </w:rPr>
      </w:pPr>
      <w:r>
        <w:rPr>
          <w:rFonts w:ascii="ARIAL" w:hAnsi="ARIAL"/>
          <w:b/>
          <w:color w:val="0214DC"/>
          <w:sz w:val="20"/>
        </w:rPr>
        <w:t xml:space="preserve">Customer Communications </w:t>
      </w:r>
    </w:p>
    <w:p>
      <w:pPr>
        <w:pStyle w:val="TextBody"/>
        <w:bidi w:val="0"/>
        <w:spacing w:before="240" w:after="0"/>
        <w:jc w:val="left"/>
        <w:rPr>
          <w:rFonts w:ascii="ARIAL" w:hAnsi="ARIAL"/>
          <w:sz w:val="20"/>
        </w:rPr>
      </w:pPr>
      <w:r>
        <w:rPr>
          <w:rFonts w:ascii="ARIAL" w:hAnsi="ARIAL"/>
          <w:sz w:val="20"/>
        </w:rPr>
        <w:t xml:space="preserve">Sales and Commercial Team: </w:t>
      </w:r>
    </w:p>
    <w:p>
      <w:pPr>
        <w:pStyle w:val="TextBody"/>
        <w:bidi w:val="0"/>
        <w:spacing w:before="120" w:after="0"/>
        <w:jc w:val="left"/>
        <w:rPr>
          <w:rFonts w:ascii="ARIAL" w:hAnsi="ARIAL"/>
          <w:sz w:val="20"/>
        </w:rPr>
      </w:pPr>
      <w:r>
        <w:rPr>
          <w:rFonts w:ascii="ARIAL" w:hAnsi="ARIAL"/>
          <w:sz w:val="20"/>
        </w:rPr>
        <w:t xml:space="preserve">In order to support any customer inquiries following </w:t>
      </w:r>
      <w:r>
        <w:rPr>
          <w:rFonts w:ascii="ARIAL" w:hAnsi="ARIAL"/>
          <w:sz w:val="20"/>
          <w:u w:val="single"/>
        </w:rPr>
        <w:t>todays announcement</w:t>
      </w:r>
      <w:r>
        <w:rPr>
          <w:rFonts w:ascii="ARIAL" w:hAnsi="ARIAL"/>
          <w:sz w:val="20"/>
        </w:rPr>
        <w:t xml:space="preserve"> of our intent to acquire ChampionX, we are providing you with some guidance. </w:t>
      </w:r>
    </w:p>
    <w:p>
      <w:pPr>
        <w:pStyle w:val="TextBody"/>
        <w:bidi w:val="0"/>
        <w:spacing w:before="240" w:after="0"/>
        <w:jc w:val="left"/>
        <w:rPr>
          <w:rFonts w:ascii="ARIAL" w:hAnsi="ARIAL"/>
          <w:sz w:val="20"/>
        </w:rPr>
      </w:pPr>
      <w:r>
        <w:rPr>
          <w:rFonts w:ascii="ARIAL" w:hAnsi="ARIAL"/>
          <w:sz w:val="20"/>
        </w:rPr>
        <w:t xml:space="preserve">Should you receive inquiries from customers, please take the following steps: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ARIAL" w:hAnsi="ARIAL"/>
                <w:sz w:val="20"/>
              </w:rPr>
            </w:pPr>
            <w:r>
              <w:rPr>
                <w:rFonts w:ascii="ARIAL" w:hAnsi="ARIAL"/>
                <w:sz w:val="20"/>
              </w:rPr>
              <w:t xml:space="preserve">Organize a phone call or meeting with customers to address any questions or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ARIAL" w:hAnsi="ARIAL"/>
                <w:sz w:val="20"/>
              </w:rPr>
            </w:pPr>
            <w:r>
              <w:rPr>
                <w:rFonts w:ascii="ARIAL" w:hAnsi="ARIAL"/>
                <w:sz w:val="20"/>
              </w:rPr>
              <w:t xml:space="preserve">Share the benefits of the acquisition for customers from our </w:t>
            </w:r>
            <w:r>
              <w:rPr>
                <w:rFonts w:ascii="ARIAL" w:hAnsi="ARIAL"/>
                <w:sz w:val="20"/>
                <w:u w:val="single"/>
              </w:rPr>
              <w:t>Talking Points</w:t>
            </w:r>
            <w:r>
              <w:rPr>
                <w:rFonts w:ascii="ARIAL" w:hAnsi="ARIAL"/>
                <w:sz w:val="20"/>
              </w:rPr>
              <w:t xml:space="preserve"> page.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Adhere strictly to the key messages and information outlined in the Talking Points. If questions are not answered on that page or in the </w:t>
            </w:r>
            <w:r>
              <w:rPr>
                <w:rFonts w:ascii="ARIAL" w:hAnsi="ARIAL"/>
                <w:sz w:val="20"/>
                <w:u w:val="single"/>
              </w:rPr>
              <w:t>FAQs</w:t>
            </w:r>
            <w:r>
              <w:rPr>
                <w:rFonts w:ascii="ARIAL" w:hAnsi="ARIAL"/>
                <w:sz w:val="20"/>
              </w:rPr>
              <w:t xml:space="preserve">, please seek guidance from counsel. </w:t>
            </w:r>
          </w:p>
        </w:tc>
      </w:tr>
    </w:tbl>
    <w:p>
      <w:pPr>
        <w:pStyle w:val="TextBody"/>
        <w:bidi w:val="0"/>
        <w:spacing w:before="360" w:after="0"/>
        <w:jc w:val="left"/>
        <w:rPr>
          <w:rFonts w:ascii="ARIAL" w:hAnsi="ARIAL"/>
          <w:b/>
          <w:sz w:val="20"/>
        </w:rPr>
      </w:pPr>
      <w:r>
        <w:rPr>
          <w:rFonts w:ascii="ARIAL" w:hAnsi="ARIAL"/>
          <w:b/>
          <w:sz w:val="20"/>
        </w:rPr>
        <w:t xml:space="preserve">IMPORTANT: Due to the legal requirements surrounding this transaction, please do not email any details about the transaction to your customers. </w:t>
      </w:r>
    </w:p>
    <w:p>
      <w:pPr>
        <w:pStyle w:val="TextBody"/>
        <w:bidi w:val="0"/>
        <w:spacing w:before="120" w:after="0"/>
        <w:jc w:val="left"/>
        <w:rPr>
          <w:rFonts w:ascii="ARIAL" w:hAnsi="ARIAL"/>
          <w:sz w:val="20"/>
        </w:rPr>
      </w:pPr>
      <w:r>
        <w:rPr>
          <w:rFonts w:ascii="ARIAL" w:hAnsi="ARIAL"/>
          <w:sz w:val="20"/>
        </w:rPr>
        <w:t xml:space="preserve">SLB and ChampionX will continue to operate independently until the transaction closes. You should maintain regular communication with your usual point of contact regarding business matters that fall outside the scope of this acquisition transaction, just as you would under normal circumstances. It is business as usual. </w:t>
      </w:r>
    </w:p>
    <w:p>
      <w:pPr>
        <w:pStyle w:val="TextBody"/>
        <w:bidi w:val="0"/>
        <w:spacing w:before="36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ARIAL" w:hAnsi="ARIAL"/>
          <w:sz w:val="20"/>
        </w:rPr>
      </w:pPr>
      <w:r>
        <w:rPr>
          <w:rFonts w:ascii="ARIAL" w:hAnsi="ARIAL"/>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ARIAL" w:hAnsi="ARIAL"/>
          <w:sz w:val="20"/>
        </w:rPr>
      </w:pPr>
      <w:r>
        <w:rPr>
          <w:rFonts w:ascii="ARIAL" w:hAnsi="ARIAL"/>
          <w:sz w:val="20"/>
        </w:rPr>
        <w:t xml:space="preserve">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360" w:after="0"/>
        <w:jc w:val="left"/>
        <w:rPr>
          <w:rFonts w:ascii="ARIAL" w:hAnsi="ARIAL"/>
          <w:b/>
          <w:sz w:val="20"/>
        </w:rPr>
      </w:pPr>
      <w:r>
        <w:rPr>
          <w:rFonts w:ascii="ARIAL" w:hAnsi="ARIAL"/>
          <w:b/>
          <w:sz w:val="20"/>
        </w:rPr>
        <w:t xml:space="preserve">Participants in the Solicitation </w:t>
      </w:r>
    </w:p>
    <w:p>
      <w:pPr>
        <w:pStyle w:val="TextBody"/>
        <w:bidi w:val="0"/>
        <w:spacing w:before="120" w:after="0"/>
        <w:jc w:val="left"/>
        <w:rPr>
          <w:rFonts w:ascii="ARIAL" w:hAnsi="ARIAL"/>
          <w:sz w:val="20"/>
        </w:rPr>
      </w:pPr>
      <w:r>
        <w:rPr>
          <w:rFonts w:ascii="ARIAL" w:hAnsi="ARIAL"/>
          <w:sz w:val="20"/>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otherwise, is set forth in ChampionXs proxy statement for its 2023 Annual Meeting of Stockholders (https://www.sec.gov/ix?doc=/Archives/edgar/data/1723089/000172308923000073/championx-20230327.htm),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2265</Words>
  <Characters>12380</Characters>
  <CharactersWithSpaces>14418</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