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Laureles Saul R.</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260"/>
              <w:spacing w:after="0"/>
              <w:rPr>
                <w:sz w:val="20"/>
                <w:szCs w:val="20"/>
                <w:color w:val="auto"/>
              </w:rPr>
            </w:pPr>
            <w:r>
              <w:rPr>
                <w:rFonts w:ascii="Arial" w:cs="Arial" w:eastAsia="Arial" w:hAnsi="Arial"/>
                <w:sz w:val="17"/>
                <w:szCs w:val="17"/>
                <w:color w:val="0000FF"/>
              </w:rPr>
              <w:t>Director, Corporate Legal</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539</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19,284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132</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19,152</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spacing w:after="0" w:line="43"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Saul R. Laureles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03/16/2021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286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2021-03-16T08:48:52Z</dcterms:created>
  <dcterms:modified xsi:type="dcterms:W3CDTF">2021-03-16T08:48:52Z</dcterms:modified>
</cp:coreProperties>
</file>