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FORM 8-K</w:t>
      </w:r>
    </w:p>
    <w:p>
      <w:pPr>
        <w:spacing w:after="0" w:line="158" w:lineRule="exact"/>
        <w:rPr>
          <w:sz w:val="24"/>
          <w:szCs w:val="24"/>
          <w:color w:val="auto"/>
        </w:rPr>
      </w:pPr>
    </w:p>
    <w:p>
      <w:pPr>
        <w:jc w:val="center"/>
        <w:ind w:right="-140"/>
        <w:spacing w:after="0"/>
        <w:rPr>
          <w:sz w:val="20"/>
          <w:szCs w:val="20"/>
          <w:color w:val="auto"/>
        </w:rPr>
      </w:pPr>
      <w:r>
        <w:rPr>
          <w:rFonts w:ascii="Arial" w:cs="Arial" w:eastAsia="Arial" w:hAnsi="Arial"/>
          <w:sz w:val="24"/>
          <w:szCs w:val="24"/>
          <w:b w:val="1"/>
          <w:bCs w:val="1"/>
          <w:color w:val="auto"/>
        </w:rPr>
        <w:t>CURRENT REPORT</w:t>
      </w:r>
    </w:p>
    <w:p>
      <w:pPr>
        <w:spacing w:after="0" w:line="23" w:lineRule="exact"/>
        <w:rPr>
          <w:sz w:val="24"/>
          <w:szCs w:val="24"/>
          <w:color w:val="auto"/>
        </w:rPr>
      </w:pPr>
    </w:p>
    <w:p>
      <w:pPr>
        <w:jc w:val="center"/>
        <w:ind w:right="-1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Date of Report (date of earliest event reported): January 23,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2333625</wp:posOffset>
            </wp:positionH>
            <wp:positionV relativeFrom="paragraph">
              <wp:posOffset>126365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7" w:lineRule="exact"/>
        <w:rPr>
          <w:sz w:val="24"/>
          <w:szCs w:val="24"/>
          <w:color w:val="auto"/>
        </w:rPr>
      </w:pPr>
    </w:p>
    <w:p>
      <w:pPr>
        <w:jc w:val="center"/>
        <w:ind w:right="-14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1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jc w:val="center"/>
              <w:ind w:right="1778"/>
              <w:spacing w:after="0"/>
              <w:rPr>
                <w:sz w:val="20"/>
                <w:szCs w:val="20"/>
                <w:color w:val="auto"/>
              </w:rPr>
            </w:pPr>
            <w:r>
              <w:rPr>
                <w:rFonts w:ascii="Arial" w:cs="Arial" w:eastAsia="Arial" w:hAnsi="Arial"/>
                <w:sz w:val="18"/>
                <w:szCs w:val="18"/>
                <w:b w:val="1"/>
                <w:bCs w:val="1"/>
                <w:color w:val="auto"/>
                <w:w w:val="88"/>
              </w:rPr>
              <w:t>Netherlands Antilles</w:t>
            </w:r>
          </w:p>
        </w:tc>
        <w:tc>
          <w:tcPr>
            <w:tcW w:w="2800" w:type="dxa"/>
            <w:vAlign w:val="bottom"/>
          </w:tcPr>
          <w:p>
            <w:pPr>
              <w:jc w:val="right"/>
              <w:ind w:right="1202"/>
              <w:spacing w:after="0"/>
              <w:rPr>
                <w:sz w:val="20"/>
                <w:szCs w:val="20"/>
                <w:color w:val="auto"/>
              </w:rPr>
            </w:pPr>
            <w:r>
              <w:rPr>
                <w:rFonts w:ascii="Arial" w:cs="Arial" w:eastAsia="Arial" w:hAnsi="Arial"/>
                <w:sz w:val="18"/>
                <w:szCs w:val="18"/>
                <w:b w:val="1"/>
                <w:bCs w:val="1"/>
                <w:color w:val="auto"/>
              </w:rPr>
              <w:t>1-4601</w:t>
            </w:r>
          </w:p>
        </w:tc>
        <w:tc>
          <w:tcPr>
            <w:tcW w:w="2860" w:type="dxa"/>
            <w:vAlign w:val="bottom"/>
          </w:tcPr>
          <w:p>
            <w:pPr>
              <w:jc w:val="center"/>
              <w:ind w:left="174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400" w:type="dxa"/>
            <w:vAlign w:val="bottom"/>
          </w:tcPr>
          <w:p>
            <w:pPr>
              <w:jc w:val="center"/>
              <w:ind w:right="177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88"/>
              </w:rPr>
              <w:t>(Commission File Number)</w:t>
            </w:r>
          </w:p>
        </w:tc>
        <w:tc>
          <w:tcPr>
            <w:tcW w:w="286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400" w:type="dxa"/>
            <w:vAlign w:val="bottom"/>
          </w:tcPr>
          <w:p>
            <w:pPr>
              <w:jc w:val="center"/>
              <w:ind w:right="1758"/>
              <w:spacing w:after="0"/>
              <w:rPr>
                <w:sz w:val="20"/>
                <w:szCs w:val="20"/>
                <w:color w:val="auto"/>
              </w:rPr>
            </w:pPr>
            <w:r>
              <w:rPr>
                <w:rFonts w:ascii="Arial" w:cs="Arial" w:eastAsia="Arial" w:hAnsi="Arial"/>
                <w:sz w:val="14"/>
                <w:szCs w:val="14"/>
                <w:b w:val="1"/>
                <w:bCs w:val="1"/>
                <w:color w:val="auto"/>
                <w:w w:val="89"/>
              </w:rPr>
              <w:t>of incorporation)</w:t>
            </w:r>
          </w:p>
        </w:tc>
        <w:tc>
          <w:tcPr>
            <w:tcW w:w="2800" w:type="dxa"/>
            <w:vAlign w:val="bottom"/>
          </w:tcPr>
          <w:p>
            <w:pPr>
              <w:spacing w:after="0"/>
              <w:rPr>
                <w:sz w:val="15"/>
                <w:szCs w:val="15"/>
                <w:color w:val="auto"/>
              </w:rPr>
            </w:pPr>
          </w:p>
        </w:tc>
        <w:tc>
          <w:tcPr>
            <w:tcW w:w="2860" w:type="dxa"/>
            <w:vAlign w:val="bottom"/>
          </w:tcPr>
          <w:p>
            <w:pPr>
              <w:jc w:val="center"/>
              <w:ind w:left="1721"/>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3400" w:type="dxa"/>
            <w:vAlign w:val="bottom"/>
          </w:tcPr>
          <w:p>
            <w:pPr>
              <w:jc w:val="center"/>
              <w:ind w:left="18"/>
              <w:spacing w:after="0"/>
              <w:rPr>
                <w:sz w:val="20"/>
                <w:szCs w:val="20"/>
                <w:color w:val="auto"/>
              </w:rPr>
            </w:pPr>
            <w:r>
              <w:rPr>
                <w:rFonts w:ascii="Arial" w:cs="Arial" w:eastAsia="Arial" w:hAnsi="Arial"/>
                <w:sz w:val="18"/>
                <w:szCs w:val="18"/>
                <w:b w:val="1"/>
                <w:bCs w:val="1"/>
                <w:color w:val="auto"/>
                <w:w w:val="86"/>
              </w:rPr>
              <w:t>153 East 53</w:t>
            </w:r>
            <w:r>
              <w:rPr>
                <w:rFonts w:ascii="Arial" w:cs="Arial" w:eastAsia="Arial" w:hAnsi="Arial"/>
                <w:sz w:val="22"/>
                <w:szCs w:val="22"/>
                <w:b w:val="1"/>
                <w:bCs w:val="1"/>
                <w:color w:val="auto"/>
                <w:w w:val="86"/>
                <w:vertAlign w:val="superscript"/>
              </w:rPr>
              <w:t>rd</w:t>
            </w:r>
            <w:r>
              <w:rPr>
                <w:rFonts w:ascii="Arial" w:cs="Arial" w:eastAsia="Arial" w:hAnsi="Arial"/>
                <w:sz w:val="18"/>
                <w:szCs w:val="18"/>
                <w:b w:val="1"/>
                <w:bCs w:val="1"/>
                <w:color w:val="auto"/>
                <w:w w:val="86"/>
              </w:rPr>
              <w:t xml:space="preserve"> Street, 57</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280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3400" w:type="dxa"/>
            <w:vAlign w:val="bottom"/>
          </w:tcPr>
          <w:p>
            <w:pPr>
              <w:jc w:val="center"/>
              <w:ind w:left="18"/>
              <w:spacing w:after="0"/>
              <w:rPr>
                <w:sz w:val="20"/>
                <w:szCs w:val="20"/>
                <w:color w:val="auto"/>
              </w:rPr>
            </w:pPr>
            <w:r>
              <w:rPr>
                <w:rFonts w:ascii="Arial" w:cs="Arial" w:eastAsia="Arial" w:hAnsi="Arial"/>
                <w:sz w:val="18"/>
                <w:szCs w:val="18"/>
                <w:b w:val="1"/>
                <w:bCs w:val="1"/>
                <w:color w:val="auto"/>
                <w:w w:val="90"/>
              </w:rPr>
              <w:t>New York, New York</w:t>
            </w:r>
          </w:p>
        </w:tc>
        <w:tc>
          <w:tcPr>
            <w:tcW w:w="2800" w:type="dxa"/>
            <w:vAlign w:val="bottom"/>
          </w:tcPr>
          <w:p>
            <w:pPr>
              <w:spacing w:after="0"/>
              <w:rPr>
                <w:sz w:val="19"/>
                <w:szCs w:val="19"/>
                <w:color w:val="auto"/>
              </w:rPr>
            </w:pPr>
          </w:p>
        </w:tc>
        <w:tc>
          <w:tcPr>
            <w:tcW w:w="2860" w:type="dxa"/>
            <w:vAlign w:val="bottom"/>
          </w:tcPr>
          <w:p>
            <w:pPr>
              <w:jc w:val="right"/>
              <w:ind w:right="1001"/>
              <w:spacing w:after="0"/>
              <w:rPr>
                <w:sz w:val="20"/>
                <w:szCs w:val="20"/>
                <w:color w:val="auto"/>
              </w:rPr>
            </w:pPr>
            <w:r>
              <w:rPr>
                <w:rFonts w:ascii="Arial" w:cs="Arial" w:eastAsia="Arial" w:hAnsi="Arial"/>
                <w:sz w:val="18"/>
                <w:szCs w:val="18"/>
                <w:b w:val="1"/>
                <w:bCs w:val="1"/>
                <w:color w:val="auto"/>
              </w:rPr>
              <w:t>10022-4624</w:t>
            </w:r>
          </w:p>
        </w:tc>
      </w:tr>
      <w:tr>
        <w:trPr>
          <w:trHeight w:val="271"/>
        </w:trPr>
        <w:tc>
          <w:tcPr>
            <w:tcW w:w="3400" w:type="dxa"/>
            <w:vAlign w:val="bottom"/>
          </w:tcPr>
          <w:p>
            <w:pPr>
              <w:jc w:val="center"/>
              <w:ind w:left="18"/>
              <w:spacing w:after="0"/>
              <w:rPr>
                <w:sz w:val="20"/>
                <w:szCs w:val="20"/>
                <w:color w:val="auto"/>
              </w:rPr>
            </w:pPr>
            <w:r>
              <w:rPr>
                <w:rFonts w:ascii="Arial" w:cs="Arial" w:eastAsia="Arial" w:hAnsi="Arial"/>
                <w:sz w:val="18"/>
                <w:szCs w:val="18"/>
                <w:b w:val="1"/>
                <w:bCs w:val="1"/>
                <w:color w:val="auto"/>
                <w:w w:val="88"/>
              </w:rPr>
              <w:t>42, rue Saint-Dominique</w:t>
            </w:r>
          </w:p>
        </w:tc>
        <w:tc>
          <w:tcPr>
            <w:tcW w:w="280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228"/>
        </w:trPr>
        <w:tc>
          <w:tcPr>
            <w:tcW w:w="3400" w:type="dxa"/>
            <w:vAlign w:val="bottom"/>
          </w:tcPr>
          <w:p>
            <w:pPr>
              <w:jc w:val="center"/>
              <w:ind w:left="18"/>
              <w:spacing w:after="0"/>
              <w:rPr>
                <w:sz w:val="20"/>
                <w:szCs w:val="20"/>
                <w:color w:val="auto"/>
              </w:rPr>
            </w:pPr>
            <w:r>
              <w:rPr>
                <w:rFonts w:ascii="Arial" w:cs="Arial" w:eastAsia="Arial" w:hAnsi="Arial"/>
                <w:sz w:val="18"/>
                <w:szCs w:val="18"/>
                <w:b w:val="1"/>
                <w:bCs w:val="1"/>
                <w:color w:val="auto"/>
                <w:w w:val="90"/>
              </w:rPr>
              <w:t>Paris, France</w:t>
            </w:r>
          </w:p>
        </w:tc>
        <w:tc>
          <w:tcPr>
            <w:tcW w:w="2800" w:type="dxa"/>
            <w:vAlign w:val="bottom"/>
          </w:tcPr>
          <w:p>
            <w:pPr>
              <w:spacing w:after="0"/>
              <w:rPr>
                <w:sz w:val="19"/>
                <w:szCs w:val="19"/>
                <w:color w:val="auto"/>
              </w:rPr>
            </w:pPr>
          </w:p>
        </w:tc>
        <w:tc>
          <w:tcPr>
            <w:tcW w:w="2860" w:type="dxa"/>
            <w:vAlign w:val="bottom"/>
          </w:tcPr>
          <w:p>
            <w:pPr>
              <w:jc w:val="right"/>
              <w:ind w:right="1201"/>
              <w:spacing w:after="0"/>
              <w:rPr>
                <w:sz w:val="20"/>
                <w:szCs w:val="20"/>
                <w:color w:val="auto"/>
              </w:rPr>
            </w:pPr>
            <w:r>
              <w:rPr>
                <w:rFonts w:ascii="Arial" w:cs="Arial" w:eastAsia="Arial" w:hAnsi="Arial"/>
                <w:sz w:val="18"/>
                <w:szCs w:val="18"/>
                <w:b w:val="1"/>
                <w:bCs w:val="1"/>
                <w:color w:val="auto"/>
              </w:rPr>
              <w:t>75007</w:t>
            </w:r>
          </w:p>
        </w:tc>
      </w:tr>
      <w:tr>
        <w:trPr>
          <w:trHeight w:val="271"/>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0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216"/>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28"/>
        </w:trPr>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00" w:type="dxa"/>
            <w:vAlign w:val="bottom"/>
          </w:tcPr>
          <w:p>
            <w:pPr>
              <w:spacing w:after="0"/>
              <w:rPr>
                <w:sz w:val="19"/>
                <w:szCs w:val="19"/>
                <w:color w:val="auto"/>
              </w:rPr>
            </w:pPr>
          </w:p>
        </w:tc>
        <w:tc>
          <w:tcPr>
            <w:tcW w:w="2860" w:type="dxa"/>
            <w:vAlign w:val="bottom"/>
          </w:tcPr>
          <w:p>
            <w:pPr>
              <w:jc w:val="center"/>
              <w:ind w:right="1"/>
              <w:spacing w:after="0"/>
              <w:rPr>
                <w:sz w:val="20"/>
                <w:szCs w:val="20"/>
                <w:color w:val="auto"/>
              </w:rPr>
            </w:pPr>
            <w:r>
              <w:rPr>
                <w:rFonts w:ascii="Arial" w:cs="Arial" w:eastAsia="Arial" w:hAnsi="Arial"/>
                <w:sz w:val="18"/>
                <w:szCs w:val="18"/>
                <w:b w:val="1"/>
                <w:bCs w:val="1"/>
                <w:color w:val="auto"/>
                <w:w w:val="89"/>
              </w:rPr>
              <w:t>2514 JG</w:t>
            </w:r>
          </w:p>
        </w:tc>
      </w:tr>
      <w:tr>
        <w:trPr>
          <w:trHeight w:val="312"/>
        </w:trPr>
        <w:tc>
          <w:tcPr>
            <w:tcW w:w="3400" w:type="dxa"/>
            <w:vAlign w:val="bottom"/>
          </w:tcPr>
          <w:p>
            <w:pPr>
              <w:jc w:val="center"/>
              <w:ind w:left="1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00" w:type="dxa"/>
            <w:vAlign w:val="bottom"/>
          </w:tcPr>
          <w:p>
            <w:pPr>
              <w:spacing w:after="0"/>
              <w:rPr>
                <w:sz w:val="24"/>
                <w:szCs w:val="24"/>
                <w:color w:val="auto"/>
              </w:rPr>
            </w:pPr>
          </w:p>
        </w:tc>
        <w:tc>
          <w:tcPr>
            <w:tcW w:w="2860" w:type="dxa"/>
            <w:vAlign w:val="bottom"/>
          </w:tcPr>
          <w:p>
            <w:pPr>
              <w:jc w:val="center"/>
              <w:ind w:right="41"/>
              <w:spacing w:after="0"/>
              <w:rPr>
                <w:sz w:val="20"/>
                <w:szCs w:val="20"/>
                <w:color w:val="auto"/>
              </w:rPr>
            </w:pPr>
            <w:r>
              <w:rPr>
                <w:rFonts w:ascii="Arial" w:cs="Arial" w:eastAsia="Arial" w:hAnsi="Arial"/>
                <w:sz w:val="14"/>
                <w:szCs w:val="14"/>
                <w:b w:val="1"/>
                <w:bCs w:val="1"/>
                <w:color w:val="auto"/>
                <w:w w:val="86"/>
              </w:rPr>
              <w:t>(Zip or Postal Codes)</w:t>
            </w:r>
          </w:p>
        </w:tc>
      </w:tr>
    </w:tbl>
    <w:p>
      <w:pPr>
        <w:spacing w:after="0" w:line="270" w:lineRule="exact"/>
        <w:rPr>
          <w:sz w:val="24"/>
          <w:szCs w:val="24"/>
          <w:color w:val="auto"/>
        </w:rPr>
      </w:pPr>
    </w:p>
    <w:p>
      <w:pPr>
        <w:ind w:left="136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124460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159"/>
          </w:cols>
          <w:pgMar w:left="1300" w:top="355" w:right="1440"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STATEMENTS AND EXHIBITS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12 of this Form 8-K.</w:t>
      </w:r>
    </w:p>
    <w:p>
      <w:pPr>
        <w:spacing w:after="0" w:line="158"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 Quarter and Full Year 2003 Press Release dated January 23, 2004.</w:t>
      </w:r>
    </w:p>
    <w:p>
      <w:pPr>
        <w:spacing w:after="0" w:line="117" w:lineRule="exact"/>
        <w:rPr>
          <w:sz w:val="20"/>
          <w:szCs w:val="20"/>
          <w:color w:val="auto"/>
        </w:rPr>
      </w:pPr>
    </w:p>
    <w:p>
      <w:pPr>
        <w:ind w:left="52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Question and Answer document on the January 23, 2004 Press Release.</w:t>
      </w:r>
    </w:p>
    <w:p>
      <w:pPr>
        <w:spacing w:after="0" w:line="15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12</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Fourth Quarter and Full Year 2003 Press Release attached hereto as Exhibit 99.1, and the Question and Answer document attached hereto as Exhibit 99.2, which are incorporated in this Item 12 by reference, were posted on the Schlumberger internet web site (www.slb.com/ir) on January 23, 2004.</w:t>
      </w:r>
    </w:p>
    <w:p>
      <w:pPr>
        <w:spacing w:after="0" w:line="7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 Quarter and Full Year 2003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ind w:left="80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800" w:right="40" w:hanging="346"/>
        <w:spacing w:after="0" w:line="268"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before credits and charges, diluted earnings per share before charges and credits and effective tax rate before credits and charges</w:t>
      </w:r>
      <w:r>
        <w:rPr>
          <w:rFonts w:ascii="Arial" w:cs="Arial" w:eastAsia="Arial" w:hAnsi="Arial"/>
          <w:sz w:val="18"/>
          <w:szCs w:val="18"/>
          <w:color w:val="auto"/>
        </w:rPr>
        <w:t>:</w:t>
      </w:r>
    </w:p>
    <w:p>
      <w:pPr>
        <w:spacing w:after="0" w:line="11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6"/>
          <w:szCs w:val="16"/>
          <w:color w:val="auto"/>
        </w:rPr>
        <w:t>following is a reconciliation of :</w:t>
      </w:r>
    </w:p>
    <w:p>
      <w:pPr>
        <w:spacing w:after="0" w:line="77" w:lineRule="exact"/>
        <w:rPr>
          <w:sz w:val="20"/>
          <w:szCs w:val="20"/>
          <w:color w:val="auto"/>
        </w:rPr>
      </w:pPr>
    </w:p>
    <w:p>
      <w:pPr>
        <w:ind w:left="1260" w:hanging="455"/>
        <w:spacing w:after="0"/>
        <w:tabs>
          <w:tab w:leader="none" w:pos="12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Income from continuing operations </w:t>
      </w:r>
      <w:r>
        <w:rPr>
          <w:rFonts w:ascii="Arial" w:cs="Arial" w:eastAsia="Arial" w:hAnsi="Arial"/>
          <w:sz w:val="15"/>
          <w:szCs w:val="15"/>
          <w:color w:val="auto"/>
        </w:rPr>
        <w:t>per the</w:t>
      </w:r>
      <w:r>
        <w:rPr>
          <w:rFonts w:ascii="Arial" w:cs="Arial" w:eastAsia="Arial" w:hAnsi="Arial"/>
          <w:sz w:val="15"/>
          <w:szCs w:val="15"/>
          <w:i w:val="1"/>
          <w:iCs w:val="1"/>
          <w:color w:val="auto"/>
        </w:rPr>
        <w:t xml:space="preserve"> Consolidated Statement of Income </w:t>
      </w:r>
      <w:r>
        <w:rPr>
          <w:rFonts w:ascii="Arial" w:cs="Arial" w:eastAsia="Arial" w:hAnsi="Arial"/>
          <w:sz w:val="15"/>
          <w:szCs w:val="15"/>
          <w:color w:val="auto"/>
        </w:rPr>
        <w:t>to Income from continuing operations before charges and credits.</w:t>
      </w:r>
    </w:p>
    <w:p>
      <w:pPr>
        <w:spacing w:after="0" w:line="138" w:lineRule="exact"/>
        <w:rPr>
          <w:rFonts w:ascii="Arial" w:cs="Arial" w:eastAsia="Arial" w:hAnsi="Arial"/>
          <w:sz w:val="15"/>
          <w:szCs w:val="15"/>
          <w:color w:val="auto"/>
        </w:rPr>
      </w:pPr>
    </w:p>
    <w:p>
      <w:pPr>
        <w:ind w:left="1260" w:hanging="45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before charges and credits.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 tax rate before charges and credits.</w:t>
      </w:r>
    </w:p>
    <w:p>
      <w:pPr>
        <w:sectPr>
          <w:pgSz w:w="11900" w:h="16838" w:orient="portrait"/>
          <w:cols w:equalWidth="0" w:num="1">
            <w:col w:w="11360"/>
          </w:cols>
          <w:pgMar w:left="240" w:top="274"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86"/>
              </w:rPr>
              <w:t>( $ in thousands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Fourth Quarter 2003</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Pretax</w:t>
            </w: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Min Int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358,078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$ 119,999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$ 234,479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Add back Charges/(Credits):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Note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(20,258)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 Write-down of Investment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81,200</w:t>
            </w:r>
          </w:p>
        </w:tc>
        <w:tc>
          <w:tcPr>
            <w:tcW w:w="4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 and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407,323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$ 108,302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(3,600)</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$ 295,421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Continuing operations before charges and credits</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7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2003</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Pretax</w:t>
            </w: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Min Int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567,743</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$ 209,386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114,200</w:t>
            </w: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$ 472,557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Add back Charges/(Credits):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Note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(31,955)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(11,697)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2"/>
              </w:rPr>
              <w:t>(20,258)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 Write-down of Investment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81,200</w:t>
            </w:r>
          </w:p>
        </w:tc>
        <w:tc>
          <w:tcPr>
            <w:tcW w:w="4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167,801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167,801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 Multiclient library impairment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398,365</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105,723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(87,793)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204,849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Vessel impairment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(16,200)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 Gain on sale of rig</w:t>
            </w: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(31,416)</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(31,416)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 and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1,205,738</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$ 303,412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1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$ 912,533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160" w:type="dxa"/>
            <w:vAlign w:val="bottom"/>
            <w:gridSpan w:val="3"/>
            <w:vMerge w:val="restart"/>
          </w:tcPr>
          <w:p>
            <w:pPr>
              <w:spacing w:after="0"/>
              <w:rPr>
                <w:sz w:val="20"/>
                <w:szCs w:val="20"/>
                <w:color w:val="auto"/>
              </w:rPr>
            </w:pPr>
            <w:r>
              <w:rPr>
                <w:rFonts w:ascii="Arial" w:cs="Arial" w:eastAsia="Arial" w:hAnsi="Arial"/>
                <w:sz w:val="18"/>
                <w:szCs w:val="18"/>
                <w:color w:val="auto"/>
              </w:rPr>
              <w:t>Continuing operations before charges and credits</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7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-3581400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-3581400</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-3581400</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-3581400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-3581400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-3581400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-3581400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-3581400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-3581400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-3581400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-3581400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-3581400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-794385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-794385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-794385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-794385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-794385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-794385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-794385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-794385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-794385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-794385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-794385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-794385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left="800" w:right="660"/>
        <w:spacing w:after="0" w:line="325" w:lineRule="auto"/>
        <w:rPr>
          <w:sz w:val="20"/>
          <w:szCs w:val="20"/>
          <w:color w:val="auto"/>
        </w:rPr>
      </w:pPr>
      <w:r>
        <w:rPr>
          <w:rFonts w:ascii="Arial" w:cs="Arial" w:eastAsia="Arial" w:hAnsi="Arial"/>
          <w:sz w:val="16"/>
          <w:szCs w:val="16"/>
          <w:u w:val="single" w:color="auto"/>
          <w:color w:val="auto"/>
        </w:rPr>
        <w:t>Reasons for excluding charges and credits</w:t>
      </w:r>
      <w:r>
        <w:rPr>
          <w:rFonts w:ascii="Arial" w:cs="Arial" w:eastAsia="Arial" w:hAnsi="Arial"/>
          <w:sz w:val="16"/>
          <w:szCs w:val="16"/>
          <w:color w:val="auto"/>
        </w:rPr>
        <w:t>—Management believes that the exclusion of these items enables it to evaluate more effectively the Company’s operations period over period and to identify operating trends that could otherwise be masked by the excluded items.</w:t>
      </w:r>
    </w:p>
    <w:p>
      <w:pPr>
        <w:spacing w:after="0" w:line="1" w:lineRule="exact"/>
        <w:rPr>
          <w:sz w:val="20"/>
          <w:szCs w:val="20"/>
          <w:color w:val="auto"/>
        </w:rPr>
      </w:pPr>
    </w:p>
    <w:p>
      <w:pPr>
        <w:ind w:left="800" w:right="220" w:hanging="346"/>
        <w:spacing w:after="0" w:line="25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WesternGeco pretax operating loss before charges and credits</w:t>
      </w:r>
      <w:r>
        <w:rPr>
          <w:rFonts w:ascii="Arial" w:cs="Arial" w:eastAsia="Arial" w:hAnsi="Arial"/>
          <w:sz w:val="18"/>
          <w:szCs w:val="18"/>
          <w:color w:val="auto"/>
        </w:rPr>
        <w:t>. As described above, fiscal 2003 results include a multiclient library impairment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 and a vessel impairment charge. Management believes that the exclusion of these items from WesternGeco pretax operating loss enables it to evaluate more effectively WesternGeco’s operations period over period and to identify operating trends that could otherwise be masked by the excluded items.</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ectPr>
          <w:pgSz w:w="11900" w:h="16838" w:orient="portrait"/>
          <w:cols w:equalWidth="0" w:num="1">
            <w:col w:w="11420"/>
          </w:cols>
          <w:pgMar w:left="240" w:top="275"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RANK</w:t>
      </w:r>
      <w:r>
        <w:rPr>
          <w:rFonts w:ascii="Arial" w:cs="Arial" w:eastAsia="Arial" w:hAnsi="Arial"/>
          <w:sz w:val="16"/>
          <w:szCs w:val="16"/>
          <w:color w:val="auto"/>
        </w:rPr>
        <w:t xml:space="preserve"> A. S</w:t>
      </w:r>
      <w:r>
        <w:rPr>
          <w:rFonts w:ascii="Arial" w:cs="Arial" w:eastAsia="Arial" w:hAnsi="Arial"/>
          <w:sz w:val="13"/>
          <w:szCs w:val="13"/>
          <w:color w:val="auto"/>
        </w:rPr>
        <w:t>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6" w:lineRule="exact"/>
        <w:rPr>
          <w:sz w:val="20"/>
          <w:szCs w:val="20"/>
          <w:color w:val="auto"/>
        </w:rPr>
      </w:pPr>
    </w:p>
    <w:p>
      <w:pPr>
        <w:ind w:left="7280"/>
        <w:spacing w:after="0"/>
        <w:rPr>
          <w:sz w:val="20"/>
          <w:szCs w:val="20"/>
          <w:color w:val="auto"/>
        </w:rPr>
      </w:pPr>
      <w:r>
        <w:rPr>
          <w:rFonts w:ascii="Arial" w:cs="Arial" w:eastAsia="Arial" w:hAnsi="Arial"/>
          <w:sz w:val="14"/>
          <w:szCs w:val="14"/>
          <w:color w:val="auto"/>
        </w:rPr>
        <w:t>Frank A. Sorgie</w:t>
      </w:r>
    </w:p>
    <w:p>
      <w:pPr>
        <w:ind w:left="7280"/>
        <w:spacing w:after="0"/>
        <w:rPr>
          <w:sz w:val="20"/>
          <w:szCs w:val="20"/>
          <w:color w:val="auto"/>
        </w:rPr>
      </w:pPr>
      <w:r>
        <w:rPr>
          <w:rFonts w:ascii="Arial" w:cs="Arial" w:eastAsia="Arial" w:hAnsi="Arial"/>
          <w:sz w:val="14"/>
          <w:szCs w:val="14"/>
          <w:color w:val="auto"/>
        </w:rPr>
        <w:t>Chief Accounting Officer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23, 2004</w:t>
      </w:r>
    </w:p>
    <w:p>
      <w:pPr>
        <w:sectPr>
          <w:pgSz w:w="11900" w:h="16838" w:orient="portrait"/>
          <w:cols w:equalWidth="0" w:num="1">
            <w:col w:w="10940"/>
          </w:cols>
          <w:pgMar w:left="240" w:top="280"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109220</wp:posOffset>
            </wp:positionV>
            <wp:extent cx="5702935" cy="574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29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 Quarter and Full Year 2003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YORK, January 23, 2004 </w:t>
      </w:r>
      <w:r>
        <w:rPr>
          <w:rFonts w:ascii="Arial" w:cs="Arial" w:eastAsia="Arial" w:hAnsi="Arial"/>
          <w:sz w:val="16"/>
          <w:szCs w:val="16"/>
          <w:color w:val="auto"/>
        </w:rPr>
        <w:t>– Schlumberger Limited (NYSE:SLB) reported today 2003 operating revenue of $13.9 billion versus $13.1 billion in 2002.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before credits and charges, of $913 million was 32% higher than last year with diluted earnings per share of $1.56 versus</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$1.20 in 2002. Income from continuing operations, including credits and charges, was $473 million representing diluted earnings per share of $0.82. Net income was $383 million or $0.67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Fourth quarter operating revenue of $3.67 billion was 10% above fourth quarter 2002 and 6% above the prior quarter. Net income from continuing operations before credits and charges was $295 million, 95% above 2002 and 23% above the prior quarter. Diluted earnings per share from continuing operations, excluding credits and charges, of $0.50 increased 92% versus the same period last year and 22% sequentially. Including a net charge of $61 million ($0.10 per share) for the write-down of an investment partially offset by the gain on the sale of a note, the earnings per share from continuing operations was $0.40.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recorded a loss of $57 million ($0.10 per share) in the quarter. Net income was $177 million ($0.30 per share).</w:t>
      </w:r>
    </w:p>
    <w:p>
      <w:pPr>
        <w:spacing w:after="0" w:line="15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Oilfield Services revenue of $2.31 billion increased 12% versus the same period last year and 3% sequentially. Pretax operating income of $420 million grew 48% year-on-year and 5% sequentially.</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WesternGeco revenue of $308 million was 17% higher sequentially, but 7% lower compared to the same period last year. Pretax operating income of $32 million improved $69 million sequentially, and $26 million year-on-year.</w:t>
      </w:r>
    </w:p>
    <w:p>
      <w:pPr>
        <w:spacing w:after="0" w:line="118"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SchlumbergerSema revenue improved 12% to $721 million sequentially and 16% year-on-year. Pretax operating income of $31 million increased 86% sequentially and 26% year-on-year.</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Within Other activities, Cards revenue of $206 million increased 6% versus the same period last year and 2% sequentially, while pretax operating income of $27 million grew 36% year-on-year and 21% sequentially.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credits and charges were taken in the quarter:</w:t>
      </w:r>
    </w:p>
    <w:p>
      <w:pPr>
        <w:spacing w:after="0" w:line="77" w:lineRule="exact"/>
        <w:rPr>
          <w:sz w:val="20"/>
          <w:szCs w:val="20"/>
          <w:color w:val="auto"/>
        </w:rPr>
      </w:pPr>
    </w:p>
    <w:p>
      <w:pPr>
        <w:ind w:left="340" w:right="140" w:hanging="332"/>
        <w:spacing w:after="0" w:line="29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August 2001, Schlumberger sold its Oilfield Services worldwide gas compression activity to Hanover Compressor Company [NYSE:HC]. The proceeds included 8.7 million shares of Hanover Compressor with a value at closing of $173 million which are restricted from marketability until August 30, 2004, and a $150 million long-term subordinated note maturing December 15, 2005. During the fourth quarter of 2003, Schlumberger sold the note for $177 million realizing an after-tax gain of $20 million. As of December 31, 2003 the carrying value of Schlumberger’s investment in Hanover Compressor common stock exceeded the market value. As required by generally accepted accounting principles and SEC regulations, Schlumberger wrote down its investment to fair market value at December 31, 2003. The write-down was $81 million after tax.</w:t>
      </w:r>
    </w:p>
    <w:p>
      <w:pPr>
        <w:spacing w:after="0" w:line="25" w:lineRule="exact"/>
        <w:rPr>
          <w:rFonts w:ascii="Arial" w:cs="Arial" w:eastAsia="Arial" w:hAnsi="Arial"/>
          <w:sz w:val="16"/>
          <w:szCs w:val="16"/>
          <w:color w:val="auto"/>
        </w:rPr>
      </w:pPr>
    </w:p>
    <w:p>
      <w:pPr>
        <w:ind w:left="340" w:right="40" w:hanging="332"/>
        <w:spacing w:after="0" w:line="30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Discontinued operations in the quarter consisted of the parking and mass transit terminals (e-City) activities sold to Apax Partners in October 2003 for $84 million in cash. e-City had nine-month 2003 revenue of $88 million and a pretax operating loss of $2.3 million. As a consequence of this sale, Schlumberger recorded a loss from discontinued operations of $57.4 million, including a $65 million allocation of goodwill.</w:t>
      </w:r>
    </w:p>
    <w:p>
      <w:pPr>
        <w:spacing w:after="0" w:line="9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Schlumberger Chairman and CEO Andrew Gould commented, “The fourth quarter activity continued the trend set earlier in the year, posting sequential gains that contributed to an encouraging year-on-year performance. In particular, Oilfield Services activity was strong in North America, India, Peru/Colombia/Ecuador, Indonesia, and Mexico driven by new contracts, new technologies, and demand for project management and information solutions services.</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Further divestitures of non-core assets were made during the quarter. These, together with strong cash flow from operations, lowered net debt by $691 million to $4.18 billion at the quarter end in spite of unfavorable currency effects that increased European debt by $154 million.</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recent acceleration of the global economic recovery has led to several successive upward revisions of oil demand for 2004, particularly in China. Current supplies are likely to be adequate, as existing new projects come on line. However, there is no doubt that any sustained economic recovery and the consequent increase in demand coupled with the acceleration of the underlying rate of decline of the world’s ageing production base will require higher E&amp;P investment going forward. Current signs are that the customer base is beginning to respond to this need.”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340" w:right="80" w:hanging="332"/>
        <w:spacing w:after="0" w:line="25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Atos Origin shareholder meeting held on January 22, 2004, the closing of the sale of certain SchlumbergerSema businesses is expected at the end of January. The transaction proceeds will consist of €400 million in cash and a fixed number of 19.3 million of Atos Origin common shares that will represent approximately 29% of the common shares outstanding of Atos Origin. As previously announced and subsequent to closing, Schlumberger expects to reduce its ownership in Atos Origin to 19%.</w:t>
      </w:r>
    </w:p>
    <w:p>
      <w:pPr>
        <w:spacing w:after="0" w:line="48" w:lineRule="exact"/>
        <w:rPr>
          <w:rFonts w:ascii="Arial" w:cs="Arial" w:eastAsia="Arial" w:hAnsi="Arial"/>
          <w:sz w:val="18"/>
          <w:szCs w:val="18"/>
          <w:color w:val="auto"/>
        </w:rPr>
      </w:pPr>
    </w:p>
    <w:p>
      <w:pPr>
        <w:ind w:left="360" w:right="80"/>
        <w:spacing w:after="0" w:line="332" w:lineRule="auto"/>
        <w:rPr>
          <w:rFonts w:ascii="Arial" w:cs="Arial" w:eastAsia="Arial" w:hAnsi="Arial"/>
          <w:sz w:val="18"/>
          <w:szCs w:val="18"/>
          <w:color w:val="auto"/>
        </w:rPr>
      </w:pPr>
      <w:r>
        <w:rPr>
          <w:rFonts w:ascii="Arial" w:cs="Arial" w:eastAsia="Arial" w:hAnsi="Arial"/>
          <w:sz w:val="16"/>
          <w:szCs w:val="16"/>
          <w:color w:val="auto"/>
        </w:rPr>
        <w:t>Schlumberger is retaining the strategic activities of IT services for the Oil &amp; Gas industry and the operations that provide connectivity with the upstream oil and gas business. These activities are reported under Oilfield Services, the figures of which are restated for the quarter, the full year, and prior periods.</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3</w:t>
      </w:r>
    </w:p>
    <w:p>
      <w:pPr>
        <w:spacing w:after="0" w:line="83" w:lineRule="exact"/>
        <w:rPr>
          <w:sz w:val="20"/>
          <w:szCs w:val="20"/>
          <w:color w:val="auto"/>
        </w:rPr>
      </w:pPr>
    </w:p>
    <w:p>
      <w:pPr>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Additionally, Schlumberger will retain a number of specific SchlumbergerSema businesses, which are in the process of divestiture. These include Business Continuity, Infodata, and all software products related to SchlumbergerSema telecommunications activity. These activities are reported under “Other,” the figures of which are also restated.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240"/>
          </w:cols>
          <w:pgMar w:left="240" w:top="2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4</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Consolidated Statement of Income</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Fourth Quarter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84"/>
        </w:trPr>
        <w:tc>
          <w:tcPr>
            <w:tcW w:w="2480" w:type="dxa"/>
            <w:vAlign w:val="bottom"/>
            <w:gridSpan w:val="2"/>
          </w:tcPr>
          <w:p>
            <w:pPr>
              <w:spacing w:after="0"/>
              <w:rPr>
                <w:sz w:val="7"/>
                <w:szCs w:val="7"/>
                <w:color w:val="auto"/>
              </w:rPr>
            </w:pPr>
          </w:p>
        </w:tc>
        <w:tc>
          <w:tcPr>
            <w:tcW w:w="40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5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80" w:type="dxa"/>
            <w:vAlign w:val="bottom"/>
          </w:tcPr>
          <w:p>
            <w:pPr>
              <w:spacing w:after="0"/>
              <w:rPr>
                <w:sz w:val="22"/>
                <w:szCs w:val="22"/>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2003(6)</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3,670,774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3,350,412</w:t>
            </w:r>
          </w:p>
        </w:tc>
        <w:tc>
          <w:tcPr>
            <w:tcW w:w="4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13,892,604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13,117,562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and other income(1)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68,168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3,738,942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3,376,550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14,059,097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13,256,630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Cost of goods sold and services (2) (4) (5)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2,911,633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5,804,399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11,419,873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13,525,742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138,269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556,124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92,443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97,173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350,996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165,273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662,224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Debt extinguishment costs(3)</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167,801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73,246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334,336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3,380,864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6,304,992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13,491,354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15,483,653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taxes and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358,078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(2,928,442)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567,743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(2,227,023)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Taxes on income (4) (5 ) (8)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119,999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95,341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209,386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 before minority interest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238,079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(3,023,783)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358,357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(2,509,093)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Minority interest(2) (4) (5)</w:t>
            </w:r>
          </w:p>
        </w:tc>
        <w:tc>
          <w:tcPr>
            <w:tcW w:w="8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(3,600)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94,328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114,200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(Loss) from Continuing Operations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234,479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(2,929,455)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472,557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(2,417,214)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8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(57,439)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68,116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(89,555)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177,040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(2,861,339)</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383,002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(2,319,995)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 (*):</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420"/>
              <w:spacing w:after="0"/>
              <w:rPr>
                <w:sz w:val="20"/>
                <w:szCs w:val="20"/>
                <w:color w:val="auto"/>
              </w:rPr>
            </w:pPr>
            <w:r>
              <w:rPr>
                <w:rFonts w:ascii="Arial" w:cs="Arial" w:eastAsia="Arial" w:hAnsi="Arial"/>
                <w:sz w:val="18"/>
                <w:szCs w:val="18"/>
                <w:color w:val="auto"/>
              </w:rPr>
              <w:t>Income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(5.04)</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0.82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(0.10)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(0.15)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585,755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581,174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52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 (*)</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607,967</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581,174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597,057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578,588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-1363980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-1363980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-1363980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-1363980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-1363980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-1363980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-1363980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-1363980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-1363980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-1363980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-1363980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-1363980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-437515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-437515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-437515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-437515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-437515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-437515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-437515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-437515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-437515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-437515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-437515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-437515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6000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was no dilution of shares in the fourth quarter and twelve months of 2002 due to the net loss.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 included in expenses(7)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360,537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385,950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$ 1,570,851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1,533,406</w:t>
            </w:r>
          </w:p>
        </w:tc>
      </w:tr>
      <w:tr>
        <w:trPr>
          <w:trHeight w:val="108"/>
        </w:trPr>
        <w:tc>
          <w:tcPr>
            <w:tcW w:w="65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600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7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Fourth quarter 2003 - $14 million (2002 - $13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Twelve months 2003 - $52 million (2002 - $69 million)</w:t>
      </w:r>
    </w:p>
    <w:p>
      <w:pPr>
        <w:spacing w:after="0" w:line="76" w:lineRule="exact"/>
        <w:rPr>
          <w:rFonts w:ascii="Arial" w:cs="Arial" w:eastAsia="Arial" w:hAnsi="Arial"/>
          <w:sz w:val="18"/>
          <w:szCs w:val="18"/>
          <w:color w:val="auto"/>
        </w:rPr>
      </w:pPr>
    </w:p>
    <w:p>
      <w:pPr>
        <w:ind w:left="460" w:right="20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quarter of 2002 includes a $29 million charge (pretax $30 million and minority interest credit of $1 million) related to the financial/economic crisis in Argentina ($0.05 per share – diluted).</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Related to the repurchase of European Bonds ($0.14 per share in the second quarter 2003 and $0.14 per share in the third quarter 2003).</w:t>
      </w:r>
    </w:p>
    <w:p>
      <w:pPr>
        <w:spacing w:after="0" w:line="32"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third quarter of 2003 includes a $205 million ($0.34 per share) Multiclient library impairment charge (pretax $398 million, tax benefit $106 million and minority interest credit $88 million), a $38 million ($0.06 per share) vessel impairment charge (pretax $54 million and minority interest credit of $16 million) and a pretax and after-tax gain of $31 million ($0.05 per share) on the sale of a rig. In addition, the quarter included a provision for insurance claims and a release of a prior period business divestiture reserve, which substantially offset.</w:t>
      </w:r>
    </w:p>
    <w:p>
      <w:pPr>
        <w:spacing w:after="0" w:line="2" w:lineRule="exact"/>
        <w:rPr>
          <w:rFonts w:ascii="Arial" w:cs="Arial" w:eastAsia="Arial" w:hAnsi="Arial"/>
          <w:sz w:val="16"/>
          <w:szCs w:val="16"/>
          <w:color w:val="auto"/>
        </w:rPr>
      </w:pPr>
    </w:p>
    <w:p>
      <w:pPr>
        <w:ind w:left="460" w:right="8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The fourth quarter of 2003 includes a net $61 million ($0.10 per share – diluted) charge related to the write-down of an investment (pretax and after tax, $81 million), which is recorded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partially offset by a $20 million credit (pretax $32 million, tax charge $12 million) related to the gain on the sale of a note, which is recorded in </w:t>
      </w:r>
      <w:r>
        <w:rPr>
          <w:rFonts w:ascii="Arial" w:cs="Arial" w:eastAsia="Arial" w:hAnsi="Arial"/>
          <w:sz w:val="18"/>
          <w:szCs w:val="18"/>
          <w:i w:val="1"/>
          <w:iCs w:val="1"/>
          <w:color w:val="auto"/>
        </w:rPr>
        <w:t>Interest and other income.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the fourth quarter of 2002,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Minority interest</w:t>
      </w:r>
      <w:r>
        <w:rPr>
          <w:rFonts w:ascii="Arial" w:cs="Arial" w:eastAsia="Arial" w:hAnsi="Arial"/>
          <w:sz w:val="18"/>
          <w:szCs w:val="18"/>
          <w:color w:val="auto"/>
        </w:rPr>
        <w:t xml:space="preserve"> include the following ($ millions):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Intangibles impairment</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SchlumbergerSema severance &amp; other</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WesternGeco severance &amp; other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Multiclient library impairment</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Pretax</w:t>
            </w: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Tax (*)</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3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Gain on sale of drilling rigs</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-27305</wp:posOffset>
            </wp:positionV>
            <wp:extent cx="34734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 cy="29845"/>
                    </a:xfrm>
                    <a:prstGeom prst="rect">
                      <a:avLst/>
                    </a:prstGeom>
                    <a:noFill/>
                  </pic:spPr>
                </pic:pic>
              </a:graphicData>
            </a:graphic>
          </wp:anchor>
        </w:drawing>
      </w:r>
    </w:p>
    <w:p>
      <w:pPr>
        <w:spacing w:after="0" w:line="228" w:lineRule="exact"/>
        <w:rPr>
          <w:sz w:val="20"/>
          <w:szCs w:val="20"/>
          <w:color w:val="auto"/>
        </w:rPr>
      </w:pPr>
    </w:p>
    <w:p>
      <w:pPr>
        <w:ind w:left="720" w:hanging="256"/>
        <w:spacing w:after="0"/>
        <w:tabs>
          <w:tab w:leader="none" w:pos="720" w:val="left"/>
        </w:tabs>
        <w:numPr>
          <w:ilvl w:val="2"/>
          <w:numId w:val="9"/>
        </w:numPr>
        <w:rPr>
          <w:rFonts w:ascii="Arial" w:cs="Arial" w:eastAsia="Arial" w:hAnsi="Arial"/>
          <w:sz w:val="18"/>
          <w:szCs w:val="18"/>
          <w:color w:val="auto"/>
        </w:rPr>
      </w:pPr>
      <w:r>
        <w:rPr>
          <w:rFonts w:ascii="Arial" w:cs="Arial" w:eastAsia="Arial" w:hAnsi="Arial"/>
          <w:sz w:val="18"/>
          <w:szCs w:val="18"/>
          <w:color w:val="auto"/>
        </w:rPr>
        <w:t>Includes deferred tax valuation allowance of $94 million.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Reclassified, in part, for comparative purposes.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effective tax rate for continuing operations excluding the charges/credits referred to in notes 1, 2, 3, 4, and 5 above were as follows:</w:t>
      </w:r>
    </w:p>
    <w:p>
      <w:pPr>
        <w:spacing w:after="0" w:line="93" w:lineRule="exact"/>
        <w:rPr>
          <w:rFonts w:ascii="Arial" w:cs="Arial" w:eastAsia="Arial" w:hAnsi="Arial"/>
          <w:sz w:val="16"/>
          <w:szCs w:val="16"/>
          <w:color w:val="auto"/>
        </w:rPr>
      </w:pPr>
    </w:p>
    <w:p>
      <w:pPr>
        <w:ind w:left="800" w:hanging="346"/>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Fourth quarter 2003: 26.6%</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Fourth quarter 2002: 29.7%</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year 2003: 25.2%</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Total year 2002: 26.4%</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220"/>
          </w:cols>
          <w:pgMar w:left="2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6</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85"/>
              </w:rPr>
              <w:t>(Stated in thousands)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 31, 2003</w:t>
            </w:r>
          </w:p>
        </w:tc>
        <w:tc>
          <w:tcPr>
            <w:tcW w:w="340" w:type="dxa"/>
            <w:vAlign w:val="bottom"/>
          </w:tcPr>
          <w:p>
            <w:pPr>
              <w:spacing w:after="0"/>
              <w:rPr>
                <w:sz w:val="15"/>
                <w:szCs w:val="15"/>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Dec.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3,108,973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1,736,016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Assets held for sale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3,140,153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4,049,627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5,449,424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10,298,753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7,185,440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223,300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3,799,711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4,663,756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505,784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3,284,254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4,229,993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1,823,835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1,930,023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19,935,637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3,225,546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807,938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1,411,168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1,135,533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110,511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held for sale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1,119,880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6,675,043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6,450,918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6,097,418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6,028,549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614,850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254,707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13,642,018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13,275,530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i w:val="1"/>
                <w:iCs w:val="1"/>
                <w:color w:val="auto"/>
              </w:rPr>
              <w:t>Minority interest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398,330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5,895,289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5,606,138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19,935,637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19,435,195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-2753995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-2753995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-2753995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-2753995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-2753995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-2753995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-27305</wp:posOffset>
            </wp:positionV>
            <wp:extent cx="13677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67790" cy="29845"/>
                    </a:xfrm>
                    <a:prstGeom prst="rect">
                      <a:avLst/>
                    </a:prstGeom>
                    <a:noFill/>
                  </pic:spPr>
                </pic:pic>
              </a:graphicData>
            </a:graphic>
          </wp:anchor>
        </w:drawing>
      </w:r>
    </w:p>
    <w:p>
      <w:pPr>
        <w:spacing w:after="0" w:line="14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Assets and liabilities held for sale represent the gross assets and liabilities of the SchlumbergerSema businesses to be sold to Atos Origin.</w:t>
      </w:r>
    </w:p>
    <w:p>
      <w:pPr>
        <w:spacing w:after="0" w:line="174"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7</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Net Debt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Debt represents gross debt less cash, short-term investments and fixed income investments, held to maturity. Details of the Net Debt is as follows: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9"/>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460" w:type="dxa"/>
            <w:vAlign w:val="bottom"/>
            <w:gridSpan w:val="5"/>
          </w:tcPr>
          <w:p>
            <w:pPr>
              <w:jc w:val="center"/>
              <w:ind w:left="2035"/>
              <w:spacing w:after="0" w:line="149" w:lineRule="exact"/>
              <w:rPr>
                <w:sz w:val="20"/>
                <w:szCs w:val="20"/>
                <w:color w:val="auto"/>
              </w:rPr>
            </w:pPr>
            <w:r>
              <w:rPr>
                <w:rFonts w:ascii="Arial" w:cs="Arial" w:eastAsia="Arial" w:hAnsi="Arial"/>
                <w:sz w:val="14"/>
                <w:szCs w:val="14"/>
                <w:b w:val="1"/>
                <w:bCs w:val="1"/>
                <w:color w:val="auto"/>
                <w:w w:val="88"/>
              </w:rPr>
              <w:t>Qtr. ended</w:t>
            </w:r>
          </w:p>
        </w:tc>
        <w:tc>
          <w:tcPr>
            <w:tcW w:w="88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Dec.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100" w:type="dxa"/>
            <w:vAlign w:val="bottom"/>
            <w:gridSpan w:val="3"/>
          </w:tcPr>
          <w:p>
            <w:pPr>
              <w:jc w:val="center"/>
              <w:ind w:left="2395"/>
              <w:spacing w:after="0"/>
              <w:rPr>
                <w:sz w:val="20"/>
                <w:szCs w:val="20"/>
                <w:color w:val="auto"/>
              </w:rPr>
            </w:pPr>
            <w:r>
              <w:rPr>
                <w:rFonts w:ascii="Arial" w:cs="Arial" w:eastAsia="Arial" w:hAnsi="Arial"/>
                <w:sz w:val="14"/>
                <w:szCs w:val="14"/>
                <w:b w:val="1"/>
                <w:bCs w:val="1"/>
                <w:color w:val="auto"/>
                <w:w w:val="83"/>
              </w:rPr>
              <w:t>2003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33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 (4,867)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Net income from continuing operations</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working capital</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300" w:type="dxa"/>
            <w:vAlign w:val="bottom"/>
            <w:gridSpan w:val="4"/>
          </w:tcPr>
          <w:p>
            <w:pPr>
              <w:jc w:val="right"/>
              <w:ind w:right="72"/>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33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Employee stock plans</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NPTest</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Sale of e-City</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Sale of Grant Prideco stock</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 of Hanover note</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Other</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33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300" w:type="dxa"/>
            <w:vAlign w:val="bottom"/>
            <w:gridSpan w:val="4"/>
            <w:shd w:val="clear" w:color="auto" w:fill="CCEEFF"/>
          </w:tcPr>
          <w:p>
            <w:pPr>
              <w:jc w:val="right"/>
              <w:ind w:right="72"/>
              <w:spacing w:after="0"/>
              <w:rPr>
                <w:sz w:val="20"/>
                <w:szCs w:val="20"/>
                <w:color w:val="auto"/>
              </w:rPr>
            </w:pPr>
            <w:r>
              <w:rPr>
                <w:rFonts w:ascii="Arial" w:cs="Arial" w:eastAsia="Arial" w:hAnsi="Arial"/>
                <w:sz w:val="18"/>
                <w:szCs w:val="18"/>
                <w:color w:val="auto"/>
              </w:rPr>
              <w:t>$ (4,176)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w w:val="89"/>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Dec.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30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75"/>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Components of Net Debt</w:t>
            </w:r>
          </w:p>
        </w:tc>
        <w:tc>
          <w:tcPr>
            <w:tcW w:w="2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3300" w:type="dxa"/>
            <w:vAlign w:val="bottom"/>
            <w:gridSpan w:val="4"/>
          </w:tcPr>
          <w:p>
            <w:pPr>
              <w:jc w:val="right"/>
              <w:spacing w:after="0"/>
              <w:rPr>
                <w:sz w:val="20"/>
                <w:szCs w:val="20"/>
                <w:color w:val="auto"/>
              </w:rPr>
            </w:pPr>
            <w:r>
              <w:rPr>
                <w:rFonts w:ascii="Arial" w:cs="Arial" w:eastAsia="Arial" w:hAnsi="Arial"/>
                <w:sz w:val="18"/>
                <w:szCs w:val="18"/>
                <w:color w:val="auto"/>
              </w:rPr>
              <w:t>$ 3,109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3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Bank loans and current portion of long-term debt</w:t>
            </w:r>
          </w:p>
        </w:tc>
        <w:tc>
          <w:tcPr>
            <w:tcW w:w="3460" w:type="dxa"/>
            <w:vAlign w:val="bottom"/>
            <w:gridSpan w:val="5"/>
          </w:tcPr>
          <w:p>
            <w:pPr>
              <w:jc w:val="right"/>
              <w:ind w:right="12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74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3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-1684655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-1684655</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-1684655</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-1684655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-1684655</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-1684655</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0860"/>
          </w:cols>
          <w:pgMar w:left="240" w:top="274" w:right="7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8</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Business Review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Fourth Quarter</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4"/>
          </w:tcPr>
          <w:p>
            <w:pPr>
              <w:ind w:left="8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2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80" w:type="dxa"/>
            <w:vAlign w:val="bottom"/>
            <w:gridSpan w:val="2"/>
            <w:vMerge w:val="continue"/>
          </w:tcPr>
          <w:p>
            <w:pPr>
              <w:spacing w:after="0"/>
              <w:rPr>
                <w:sz w:val="9"/>
                <w:szCs w:val="9"/>
                <w:color w:val="auto"/>
              </w:rPr>
            </w:pPr>
          </w:p>
        </w:tc>
        <w:tc>
          <w:tcPr>
            <w:tcW w:w="25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r>
              <w:rPr>
                <w:rFonts w:ascii="Arial" w:cs="Arial" w:eastAsia="Arial" w:hAnsi="Arial"/>
                <w:sz w:val="22"/>
                <w:szCs w:val="22"/>
                <w:b w:val="1"/>
                <w:bCs w:val="1"/>
                <w:color w:val="auto"/>
                <w:vertAlign w:val="superscript"/>
              </w:rPr>
              <w:t>(2)</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3"/>
              </w:rPr>
              <w:t>2002</w:t>
            </w:r>
          </w:p>
        </w:tc>
        <w:tc>
          <w:tcPr>
            <w:tcW w:w="380" w:type="dxa"/>
            <w:vAlign w:val="bottom"/>
          </w:tcPr>
          <w:p>
            <w:pPr>
              <w:spacing w:after="0"/>
              <w:rPr>
                <w:sz w:val="9"/>
                <w:szCs w:val="9"/>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87"/>
              </w:rPr>
              <w:t>% chg</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2003(2)</w:t>
            </w:r>
          </w:p>
        </w:tc>
        <w:tc>
          <w:tcPr>
            <w:tcW w:w="120" w:type="dxa"/>
            <w:vAlign w:val="bottom"/>
          </w:tcPr>
          <w:p>
            <w:pPr>
              <w:spacing w:after="0"/>
              <w:rPr>
                <w:sz w:val="9"/>
                <w:szCs w:val="9"/>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2002</w:t>
            </w:r>
            <w:r>
              <w:rPr>
                <w:rFonts w:ascii="Arial" w:cs="Arial" w:eastAsia="Arial" w:hAnsi="Arial"/>
                <w:sz w:val="22"/>
                <w:szCs w:val="22"/>
                <w:b w:val="1"/>
                <w:bCs w:val="1"/>
                <w:color w:val="auto"/>
                <w:vertAlign w:val="superscript"/>
              </w:rPr>
              <w:t>(2)</w:t>
            </w:r>
          </w:p>
        </w:tc>
        <w:tc>
          <w:tcPr>
            <w:tcW w:w="380" w:type="dxa"/>
            <w:vAlign w:val="bottom"/>
          </w:tcPr>
          <w:p>
            <w:pPr>
              <w:spacing w:after="0"/>
              <w:rPr>
                <w:sz w:val="9"/>
                <w:szCs w:val="9"/>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2540" w:type="dxa"/>
            <w:vAlign w:val="bottom"/>
            <w:gridSpan w:val="3"/>
            <w:vMerge w:val="continue"/>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gridSpan w:val="2"/>
            <w:vMerge w:val="continue"/>
          </w:tcPr>
          <w:p>
            <w:pPr>
              <w:spacing w:after="0"/>
              <w:rPr>
                <w:sz w:val="23"/>
                <w:szCs w:val="23"/>
                <w:color w:val="auto"/>
              </w:rPr>
            </w:pPr>
          </w:p>
        </w:tc>
        <w:tc>
          <w:tcPr>
            <w:tcW w:w="5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2,313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2,073</w:t>
            </w:r>
          </w:p>
        </w:tc>
        <w:tc>
          <w:tcPr>
            <w:tcW w:w="3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8,823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8,171</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1,536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1,278</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2"/>
        </w:trPr>
        <w:tc>
          <w:tcPr>
            <w:tcW w:w="4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WesternGeco</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1,183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 (3)</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412%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24"/>
                <w:szCs w:val="24"/>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SchlumbergerSema</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623</w:t>
            </w:r>
          </w:p>
        </w:tc>
        <w:tc>
          <w:tcPr>
            <w:tcW w:w="3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2,677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2,409</w:t>
            </w: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324"/>
        </w:trPr>
        <w:tc>
          <w:tcPr>
            <w:tcW w:w="4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22"/>
                <w:szCs w:val="22"/>
                <w:b w:val="1"/>
                <w:bCs w:val="1"/>
                <w:i w:val="1"/>
                <w:iCs w:val="1"/>
                <w:color w:val="auto"/>
                <w:vertAlign w:val="superscript"/>
              </w:rPr>
              <w:t>(4)</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1,480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1,334</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109%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Pretax operating income represents income before taxes and minority interest, excluding interest income, interest expense and amortization of intangibles.</w:t>
      </w:r>
    </w:p>
    <w:p>
      <w:pPr>
        <w:spacing w:after="0" w:line="38" w:lineRule="exact"/>
        <w:rPr>
          <w:rFonts w:ascii="Arial" w:cs="Arial" w:eastAsia="Arial" w:hAnsi="Arial"/>
          <w:sz w:val="16"/>
          <w:szCs w:val="16"/>
          <w:color w:val="auto"/>
        </w:rPr>
      </w:pPr>
    </w:p>
    <w:p>
      <w:pPr>
        <w:ind w:left="460" w:right="30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fourth quarter of 2003 does not include a net charge of $49 million for the write-down of an investment and the gain on the sale of a note. The third quarter of 2003 does not include $86 million of debt extinguishment costs and a charge of $421 million for impairment and other charges/credits.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second quarter of 2003 does not include $81 million of debt extinguishment costs.</w:t>
      </w:r>
    </w:p>
    <w:p>
      <w:pPr>
        <w:spacing w:after="0" w:line="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first quarter of 2002 does not include an aggregate $30 million charge related to the financial/economic crisis in Argentina.</w:t>
      </w:r>
    </w:p>
    <w:p>
      <w:pPr>
        <w:spacing w:after="0" w:line="9" w:lineRule="exact"/>
        <w:rPr>
          <w:rFonts w:ascii="Arial" w:cs="Arial" w:eastAsia="Arial" w:hAnsi="Arial"/>
          <w:sz w:val="16"/>
          <w:szCs w:val="16"/>
          <w:color w:val="auto"/>
        </w:rPr>
      </w:pPr>
    </w:p>
    <w:p>
      <w:pPr>
        <w:ind w:left="460" w:right="3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third quarter of 2003 does not include impairment charges of $398 million for Multiclient library and $54 million for vessels. The fourth quarter of 2002 does not include an impairment charge of $184 million for Multiclient library and charges of $117 million for severance and other costs.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Principally comprises the Cards and Meters North America activities. Also included are the Business Continuity, Infodata and Telecom activities.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9</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Oilfield Services</w:t>
      </w:r>
    </w:p>
    <w:p>
      <w:pPr>
        <w:spacing w:after="0" w:line="16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Revenue of $8.82 billion increased 8% in 2003 versus 2002. North America led with an increase of 14%, followed by Latin America and Middle East &amp; Asia, which both increased 9%, and Europe/CIS/West Africa, which was up 4%. Pretax operating income of $1.54 billion in 2003 was 20% higher than in 2002.</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Fourth quarter revenue of $2.31 billion was 3% higher sequentially and increased 12% year-on-year. The M-I rig count increased 3% sequentially and 23% year-on-year. Pretax operating income of $420 million increased 5% sequentially and 48% year-on-year.</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Overall sequential revenue growth was strongest in the Gulf Coast, India, Peru/Colombia/Ecuador, Indonesia, and Mexico GeoMarkets. By product, demand was particularly strong for Schlumberger Information Solutions (SIS) services, Integrated Project Management, Data &amp; Consulting Services, Wireline and Drilling &amp; Measurements.</w:t>
      </w:r>
    </w:p>
    <w:p>
      <w:pPr>
        <w:spacing w:after="0" w:line="12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year-on-year revenue growth reflected strong activity across most of the GeoMarkets, but particularly in Mexico, Indonesia and US Land. Most technology segments recorded double-digit increases with record levels being achieved in Drilling &amp; Measurements from introduction of new technologies, and Data &amp; Consulting Services from the award of several contracts for reservoir modeling, field assessments and production optimization projects.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$679 million increased 1% sequentially and 19% year-on-year as the M-I rig count was up 4% sequentially and 36% year-on-year. Pretax operating income of $106 million increased 17% sequentially and 91% year-on-year due mainly to a better geographic mix.</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Year-on-year, activity remained strong with the US Land, Alaska, and Canada GeoMarkets posting significant increases while the Gulf of Mexico showed a more modest gain. New Well Services technologies, such as ClearFRAC* polymer-free fracturing fluid, and Viscoelastic Diverting Acid (VDA*), an advanced acidizing system, continued to penetrate the market in US Land and Canada.</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Sequentially, Gulf of Mexico activity increased following the end of the tropical storm season that had impacted results in the prior quarter, partially offsetting lower activity in US Land due to an early activity reduction by a major customer related to budget restrictions.</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New measurement-while-drilling (MWD) and logging-while-drilling (LWD) depth and pressure records for the Gulf of Mexico were set during operations on ChevronTexaco’s deepwater Tonga Exploratory Prospect located in Green Canyon Block 727. Drilling &amp; Measurements wellsite engineers delivered continuous real-time surveys that allowed the well trajectory to be kept on target during the entire drilling and logging process.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$408 million was up 8% sequentially and 15% year-on-year as the M-I rig count increased 3% sequentially and 16% year-on-year. Pretax operating income of $67 million rose 7% sequentially and 32% year-on-year.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60"/>
          </w:cols>
          <w:pgMar w:left="240" w:top="274"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10</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Activity levels in the Peru/Colombia/Ecuador GeoMarket improved sequentially due to additional rig activity in Ecuador and resumption of Camisea operations in Peru, but decreased year-on-year due to the one-off sale of Florena facilities in the prior year. Mexico showed year-on-year and sequential growth from almost all technology segments. Activity in Venezuela was stable both year-on-year and sequentially.</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Contract wins during the quarter included the Repsol YPF D-150 integrated well construction project in Argentina. This project entails the drilling, completion, testing, and tie-in of 150 wells in the Manantiales Behr Field over a two-year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Revenue of $670 million increased 2% sequentially and 7% year-on-year, as the M-I rig count (excluding Russia) increased 3% sequentially and 1% year-on-year.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of $115 million declined 6% sequentially, but increased 72% year-on-year.</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Year-on-year increases were recorded in the Caspian and Russia, fueled by Well Completions &amp; Productivity Artificial Lift pump and PhaseWatcher* fixed multiphase well production monitoring equipment, and Well Services fracturing technologies, including ClearFRAC*, which continued to penetrate the market. However, revenue growth was partially offset by lower exploration activity in the Norwegian sector of the North Sea and an overall decline in activity in Nigeria. Sequentially revenue growth across the region was also partially offset by the lower activity in the UK and West &amp; South Africa.</w:t>
      </w:r>
    </w:p>
    <w:p>
      <w:pPr>
        <w:spacing w:after="0" w:line="9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the North Sea, wellbore instability and geological uncertainties threatened the success of the BG Group Blake Flank development project. The No Drilling Surprises (NDS) process from Drilling &amp; Measurements, which combines real-time wellbore stability modeling and geosteering, was implemented in close collaboration with BG, resulting in the successful completion of the F1 well. This has resulted in a global wellbore stability agreement between BG Group and Schlumberger as an important part of the BG well assurance process.</w:t>
      </w:r>
    </w:p>
    <w:p>
      <w:pPr>
        <w:spacing w:after="0" w:line="13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sequential decline in pretax operating income was due to the recognition of gains from the sale of the Langley facilities and rigs in the prior quarter, start-up costs for projects in Eastern Europe, appreciation of local currencies against the US dollar, and a less favorable revenue mix.</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 of $538 million increased 1% sequentially and was 13% higher year-on-year, while the M-I rig count increased 1% sequentially and 7% year-on-year.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income of $131 million increased 2% sequentially and 13% year-on-year.</w:t>
      </w:r>
    </w:p>
    <w:p>
      <w:pPr>
        <w:spacing w:after="0" w:line="1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Strong year-on-year improvements across the region were tempered by reduced rig activity in the Arabian GeoMarket and lower activity in China. The Wireline ABC* Analysis Behind Casing suite of services contributed to significantly improved results sequentially and year-on-year in Indonesia, where the Slim Cased Hole Resistivity Tool, which extends the range of service and can be operated through tubing, was introduced, and the Cased Hole Drilling Tool was used to obtain formation pressures in a complex wellbore environment. Sequential increases were posted throughout by Integrated Project Management and SIS, but were partially offset by a decline in Well Completions &amp; Productivity due to the artificial lift pump delivery in the prior quarter.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11</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quarter, Kuwait Oil Company (KOC) chose Schlumberger to build and support the first 3D Visual Reality center in Kuwait. The contract includes full time IT support together with Schlumberger experts in software and domain science working alongside KOC multidisciplinary teams for improved decision-making.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340" w:right="120" w:hanging="332"/>
        <w:spacing w:after="0" w:line="256"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espWatcher*, a service for remote real-time surveillance and control for electric submersible pumps, continued successful introduction this quarter. In total, over 600 wells were connected in 2003 worldwide, making this the largest number of wells monitored with a centralized system of this type. Once online, pumps can be monitored to maximize well performance, reducing workovers and enabling a step change in production and lift system performance with lower operating costs for producing assets.</w:t>
      </w:r>
    </w:p>
    <w:p>
      <w:pPr>
        <w:spacing w:after="0" w:line="48" w:lineRule="exact"/>
        <w:rPr>
          <w:rFonts w:ascii="Arial" w:cs="Arial" w:eastAsia="Arial" w:hAnsi="Arial"/>
          <w:sz w:val="18"/>
          <w:szCs w:val="18"/>
          <w:color w:val="auto"/>
        </w:rPr>
      </w:pPr>
    </w:p>
    <w:p>
      <w:pPr>
        <w:ind w:left="340" w:right="20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MRX* Magnetic Resonance eXpert, the leading Wireline magnetic resonance tool, was commercialized in the quarter to wide industry acceptance. Operations were run in multiple locations, including Saudi Arabia, Egypt and Gulf of Mexico. Customer demand for this service has grown rapidly due to improved fluid characterization.</w:t>
      </w:r>
    </w:p>
    <w:p>
      <w:pPr>
        <w:spacing w:after="0" w:line="4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Well Services introduced LiteCRETE* Coalbed Methane (CBM) slurry system, a technology specifically designed for cementing coalbed methane wells that exerts lower pressure on the coalbed to prevent breakdown and inhibit cement flow into factures and fissures. In the US, one large coalbed methane operator saw cementing success rise from 40% to 75% when using LiteCRETE.</w:t>
      </w:r>
    </w:p>
    <w:p>
      <w:pPr>
        <w:spacing w:after="0" w:line="4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growing family of PowerDrive* rotary steerable systems (RSS) continues to penetrate markets while realizing record-breaking performance. In Norway, a record 2,784 meters were drilled on Norsk Hydro Njord field in one run. Operators continue to see reduced drilling time, improved wellbore quality, and lower well construction costs.</w:t>
      </w:r>
    </w:p>
    <w:p>
      <w:pPr>
        <w:spacing w:after="0" w:line="45" w:lineRule="exact"/>
        <w:rPr>
          <w:rFonts w:ascii="Arial" w:cs="Arial" w:eastAsia="Arial" w:hAnsi="Arial"/>
          <w:sz w:val="18"/>
          <w:szCs w:val="18"/>
          <w:color w:val="auto"/>
        </w:rPr>
      </w:pPr>
    </w:p>
    <w:p>
      <w:pPr>
        <w:jc w:val="both"/>
        <w:ind w:left="340" w:right="12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SIS announced a set of digital, auditable software reports, which are compliant with the new disclosure regulations for publicly traded upstream oil and gas companies in Canada. These reports work seamlessly with the SIS Merak VOLTS* reserve management and reporting system, to help reduce errors, speed up processing, and facilitate Canadian securities reporting.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WesternGeco</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revenue for 2003 was $1.18 billion versus $1.48 billion in 2002, reflecting a 20% decrease year-on-year. This was primarily due to lower land crew activity following the exiting of the North American Land market combined with the completion of some contracts in the Middle East and lower Multiclient sales in North &amp; South America. Pretax operating loss in 2003 was $20 million versus a profit of $71 million in 2002.</w:t>
      </w:r>
    </w:p>
    <w:p>
      <w:pPr>
        <w:spacing w:after="0" w:line="12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Fourth quarter revenue of $308 million was 17% higher sequentially, but 7% lower compared to the same period last year. Sequential growth was primarily impacted by a return to traditional fourth quarter seasonal Multiclient revenue levels. Data Processing revenue also increased sequentially, mainly in North America, while a slight increase in Land in Mexico and Europe was offset by lower activity in the Middle East. Marine revenue decreased due to the seasonal slowdown in the North Sea, completion of projects in the Middle East, and vessel transits. This was partially mitigated by the completion of a Q* project for a large independent in West Africa, and expanded operations in North &amp; South America.</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380"/>
          </w:cols>
          <w:pgMar w:left="240" w:top="274"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12</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year-on-year decline was mainly due to the reduction of Land, which was down 23% although revenue per crew was maintained. Multiclient revenue was 7% lower due to a historically low third quarter in North America. Marine and Data Processing business lines both showed slight increases.</w:t>
      </w:r>
    </w:p>
    <w:p>
      <w:pPr>
        <w:spacing w:after="0" w:line="72"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Pretax operating income of $32 million improved by $69 million sequentially and $26 million year-on-year. Sequential improvement was mainly in Multiclient due to the combination of increased sales and lower amortization costs, and the release of about $10 million of business related contingency reserves/accruals, partially offset by seasonally lower Marine activity. The year-on-year increase reflected the impact of contractual losses in Marine in India and Land in Mexico during the same period the previous year.</w:t>
      </w:r>
    </w:p>
    <w:p>
      <w:pPr>
        <w:spacing w:after="0" w:line="13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Including Multiclient pre-commitments, the backlog at the end of the quarter reached $408 million, a 22.5% increase over the previous quarter, reflecting the award of a number of Land contracts in the Middle East and a material Multiclient volume agreement signed in December 2003.</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340" w:right="20" w:hanging="332"/>
        <w:spacing w:after="0" w:line="25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 acceptance continued to grow during the fourth quarter, and contract wins included a Q-Marine* contract for a major client in the Gulf of Mexico, as well as an integrated project for Kuwait Oil Company that includes Q-Land* acquisition, processing and interpretation. Q* revenue approximately doubled year-on-year.</w:t>
      </w:r>
    </w:p>
    <w:p>
      <w:pPr>
        <w:spacing w:after="0" w:line="45" w:lineRule="exact"/>
        <w:rPr>
          <w:rFonts w:ascii="Arial" w:cs="Arial" w:eastAsia="Arial" w:hAnsi="Arial"/>
          <w:sz w:val="18"/>
          <w:szCs w:val="18"/>
          <w:color w:val="auto"/>
        </w:rPr>
      </w:pPr>
    </w:p>
    <w:p>
      <w:pPr>
        <w:ind w:left="340" w:right="32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WesternGeco signed a long-term business agreement with a major energy company that included the licensing of part of the WesternGeco data library, as well as joint R&amp;D and training on new technology for seismic data processing.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SchlumbergerSema</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for SchlumbergerSema are limited to the businesses being sold to Atos Origin. The retained businesses are reported in Oilfield Services for IT services for the oil &amp; gas industry and network and infrastructure services for the upstream oil and gas sector, and in Other for Business Continuity, Infodata, and all software products related to the SchlumbergerSema telecommunications activity.</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of $2.68 billion in 2003 was 11% higher than in 2002. The increase was mainly due to the strengthening of European currencies against the US dollar with a positive impact of $274 million.</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Pretax operating income of $61 million increased $44 million over 2002 reflecting mainly the benefits of cost reduction programs carried out in North &amp; South America, Asia, the UK and Sweden coupled with an improvement in gross margins in Asia and Brazil. These increases were partially offset by declining prices in France, and lower activity in Germany.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13</w:t>
      </w:r>
    </w:p>
    <w:p>
      <w:pPr>
        <w:spacing w:after="0" w:line="16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Revenue of $721 million in the fourth quarter was 16% higher year-on-year and 12% higher sequentially. The improvement on prior year is mainly due to the strengthening of the European currencies against the US dollar, with a positive impact of 12% year-on-year. Sequentially, excluding the positive impact of exchange rates of 4%, revenue increased following the seasonally low revenue in the third quarter due to vacations in Europe.</w:t>
      </w:r>
    </w:p>
    <w:p>
      <w:pPr>
        <w:spacing w:after="0" w:line="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Pretax operating income of $31 million increased 26% year-on-year and 86% sequentially. The improvement on prior year is mainly due to the benefit of cost reduction programs carried on throughout the year, principally in North &amp; South America, Asia, and Sweden, partially offset by continued pricing pressures in France. Sequential growth is consistent with increased revenues following the seasonal effects of vacations in the third quarter, and increased customer spending in the fourth.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&amp; Africa</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 of $602 million increased 9% year-on-year and 17% sequentially. The increase year-on-year was due to the strengthening of the European currencies against the US dollar, with a positive impact of $73 million, coupled with stronger activity in the UK for the Public Sector. This was partially offset by overcapacity in France leading to further pricing pressure. The sequential increase was mainly a result of the seasonal and currency effects noted above combined with increased activity in the Public Sector in the UK.</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Pretax operating income of $20 million decreased $29 million year-on-year, but increased $10 million sequentially. The year-on-year decline was mainly due to lower margins in France and Central Europe, partially offset by improvements in Sweden from the cost-cutting programs implemented during the year, and the African Games contract that started in the second quarter of 2003. The sequential improvement was a result of higher Consulting &amp; Systems Integration utilization in France, and a general seasonal increase in activity in Spain and Italy.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&amp; South America</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of $86 million increased 16% year-on-year, but decreased 5% sequentially. The year-on-year improvement was partially due to new contract wins with Lee County and Sprint, partially offset by a decline in activity in Consulting &amp; Systems Integration. The sequential decline was mainly due to the Energy segment in the US, partially offset by new contracts in Mexico and Brazil in the Telecom segment.</w:t>
      </w:r>
    </w:p>
    <w:p>
      <w:pPr>
        <w:spacing w:after="0" w:line="12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Pretax operating income of $1 million increased $15 million from a loss of $14 million last year, but decreased $3 million sequentially. The year-on-year increase was a result of the cost reduction program in North America and improved margins in Brazil and Mexico. The sequential decline was a direct consequence of the lower activity base.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8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Revenue of $36 million decreased 12% year-on-year but increased 2% sequentially. The year-on-year decrease was mainly due to lower activity in India. The sequential improvement resulted mainly from higher activity in Malaysia.</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Pretax operating income of $8 million increased $7 million year-on-year, but showed a $1 million decrease sequentially. The year-on-year growth reflected improved gross margins and indirect cost savings.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00"/>
          </w:cols>
          <w:pgMar w:left="240" w:top="274" w:right="259" w:bottom="1440" w:gutter="0" w:footer="0" w:header="0"/>
        </w:sectPr>
      </w:pPr>
    </w:p>
    <w:bookmarkStart w:id="17" w:name="page18"/>
    <w:bookmarkEnd w:id="17"/>
    <w:p>
      <w:pPr>
        <w:jc w:val="right"/>
        <w:ind w:right="5480"/>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Announces Fourth Quarter and Full Year 2003 Results, page 14 Other</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Cards revenue for 2003 was $717 million versus $658 million in 2002. Cards fourth quarter revenue of $206 million was up 2% sequentially and 6% year-on-year. Pretax operating income of $27 million increased 21% sequentially and 36% year-on-year. Sequentially, mobile communication card activity improved 12%, of which 3% was due to the strengthening of European currencies against the US dollar. The increase was mainly in Europe due to strong demand coupled with a shift toward high-end products, which led to a pricing increase, and in North &amp; South America, partially offset by lower demand in Asia.</w:t>
      </w:r>
    </w:p>
    <w:p>
      <w:pPr>
        <w:spacing w:after="0" w:line="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Electricity Meters North America revenue of $78 million increased 13% year-on-year, while pretax operating income was $21 million compared to $9 million for the same period last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Schlumberger is a global oilfield and information services company with major activity in the energy industry. The company employs 78,000 people of more than 140 nationalities working in 100 countries and comprises three primary business segments. Schlumberger Oilfield Services is the world’s premier oilfield services company supplying a wide range of technology services and solutions to the international oil and gas industry. WesternGeco, jointly owned with Baker Hughes, is the world’s largest and most advanced surface seismic company. SchlumbergerSema is a leading supplier of IT consulting, systems integration, and network and infrastructure services. In 2003, Schlumberger operating revenue was $13.9 billion.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83" w:lineRule="exact"/>
        <w:rPr>
          <w:sz w:val="20"/>
          <w:szCs w:val="20"/>
          <w:color w:val="auto"/>
        </w:rPr>
      </w:pPr>
    </w:p>
    <w:p>
      <w:pPr>
        <w:ind w:left="340" w:right="20" w:hanging="332"/>
        <w:spacing w:after="0" w:line="290"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January 23, 2004, at 9:00 am New York City time (2:00 pm London time/3:00 pm Paris time). To access the conference call, attendees should contact the conference call operator at +1-888-428-4480 within North America or +1-612-288-0318 outside of North America approximately 10 minutes prior to the call’s start time, and ask for the “Schlumberger Earnings Conference Call.” A replay of the conference call will be available until February 6, 2004, and can be accessed by dialing +1-800-475-6701 within North America or +1-320-365-3844 outside of North America, and giving the access code 715631. A live webcast of the conference call will be simultaneously broadcast at www.slb.com/irwebcast on a listen-only basis. Attendees should log-in 15 minutes ahead of time to test their browsers and register for the webcast. Following the event, a replay will be available at the same URL until February 6, 2004.</w:t>
      </w:r>
    </w:p>
    <w:p>
      <w:pPr>
        <w:spacing w:after="0" w:line="23" w:lineRule="exact"/>
        <w:rPr>
          <w:rFonts w:ascii="Arial" w:cs="Arial" w:eastAsia="Arial" w:hAnsi="Arial"/>
          <w:sz w:val="16"/>
          <w:szCs w:val="16"/>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Supplemental information in the form of a question and answer document on this press release is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ir-nam@slb.com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-more-</w:t>
      </w:r>
    </w:p>
    <w:p>
      <w:pPr>
        <w:sectPr>
          <w:pgSz w:w="11900" w:h="16838" w:orient="portrait"/>
          <w:cols w:equalWidth="0" w:num="1">
            <w:col w:w="11420"/>
          </w:cols>
          <w:pgMar w:left="240" w:top="27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57785</wp:posOffset>
            </wp:positionV>
            <wp:extent cx="1252220" cy="2832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522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2003 Results—Supplemental Information</w:t>
      </w:r>
    </w:p>
    <w:p>
      <w:pPr>
        <w:spacing w:after="0" w:line="77"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Oilfield Services</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is the reconciliation between the current and previous Oilfield Services reporting structure?</w:t>
      </w:r>
    </w:p>
    <w:p>
      <w:pPr>
        <w:spacing w:after="0" w:line="83" w:lineRule="exact"/>
        <w:rPr>
          <w:sz w:val="20"/>
          <w:szCs w:val="20"/>
          <w:color w:val="auto"/>
        </w:rPr>
      </w:pPr>
    </w:p>
    <w:p>
      <w:pPr>
        <w:ind w:left="580" w:right="20"/>
        <w:spacing w:after="0" w:line="256" w:lineRule="auto"/>
        <w:rPr>
          <w:sz w:val="20"/>
          <w:szCs w:val="20"/>
          <w:color w:val="auto"/>
        </w:rPr>
      </w:pPr>
      <w:r>
        <w:rPr>
          <w:rFonts w:ascii="Arial" w:cs="Arial" w:eastAsia="Arial" w:hAnsi="Arial"/>
          <w:sz w:val="18"/>
          <w:szCs w:val="18"/>
          <w:color w:val="auto"/>
        </w:rPr>
        <w:t>Schlumberger is retaining the strategic activities of IT Services for the oil &amp; gas industry and the operations that provide connectivity with the upstream oil and gas business from SchlumbergerSema. These activities are reported under Oilfield Services. They contributed $311 million and $83 million in revenue in 2003 and the fourth quarter, respectively. Pretax operating income contribution was $38 million and $11 million in 2003 and the fourth quarter, respectively.</w:t>
      </w:r>
    </w:p>
    <w:p>
      <w:pPr>
        <w:spacing w:after="0" w:line="49" w:lineRule="exact"/>
        <w:rPr>
          <w:sz w:val="20"/>
          <w:szCs w:val="20"/>
          <w:color w:val="auto"/>
        </w:rPr>
      </w:pPr>
    </w:p>
    <w:p>
      <w:pPr>
        <w:ind w:left="580" w:right="600"/>
        <w:spacing w:after="0" w:line="268" w:lineRule="auto"/>
        <w:rPr>
          <w:sz w:val="20"/>
          <w:szCs w:val="20"/>
          <w:color w:val="auto"/>
        </w:rPr>
      </w:pPr>
      <w:r>
        <w:rPr>
          <w:rFonts w:ascii="Arial" w:cs="Arial" w:eastAsia="Arial" w:hAnsi="Arial"/>
          <w:sz w:val="18"/>
          <w:szCs w:val="18"/>
          <w:color w:val="auto"/>
        </w:rPr>
        <w:t>Revenue and pretax operating income are restated, and for comparison purposes, are given for both the current and the previous business segment structures in a table at the end of this document.</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What was Oilfield Services after-tax Return on Sales (ROS) for the quarter?</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Oilfield Services after-tax ROS in the fourth quarter 2003 was 14.2%.</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What is the Capex and D&amp;A guidance on full year 2004?</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Capex: $950 million in 2004 versus $767 million in 2003</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and amortization: $900 million in 2004 versus $850 million in 2003</w:t>
      </w:r>
    </w:p>
    <w:p>
      <w:pPr>
        <w:spacing w:after="0" w:line="64"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WesternGeco</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tab/>
        <w:t>How does WesternGeco capitalize and expense multiclient surveys?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general statement on multiclient survey amortization can be found at www.slb.com/ir.</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What were past years’ multiclient capitalization and the forecast for 2004?</w:t>
      </w:r>
    </w:p>
    <w:p>
      <w:pPr>
        <w:spacing w:after="0" w:line="83" w:lineRule="exact"/>
        <w:rPr>
          <w:sz w:val="20"/>
          <w:szCs w:val="20"/>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2001: $416 million</w:t>
      </w:r>
    </w:p>
    <w:p>
      <w:pPr>
        <w:spacing w:after="0" w:line="15" w:lineRule="exact"/>
        <w:rPr>
          <w:rFonts w:ascii="Arial" w:cs="Arial" w:eastAsia="Arial" w:hAnsi="Arial"/>
          <w:sz w:val="18"/>
          <w:szCs w:val="18"/>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2002: $345 million</w:t>
      </w:r>
    </w:p>
    <w:p>
      <w:pPr>
        <w:spacing w:after="0" w:line="9" w:lineRule="exact"/>
        <w:rPr>
          <w:rFonts w:ascii="Arial" w:cs="Arial" w:eastAsia="Arial" w:hAnsi="Arial"/>
          <w:sz w:val="18"/>
          <w:szCs w:val="18"/>
          <w:color w:val="auto"/>
        </w:rPr>
      </w:pPr>
    </w:p>
    <w:p>
      <w:pPr>
        <w:ind w:left="920" w:hanging="345"/>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2003: $150 million</w:t>
      </w:r>
    </w:p>
    <w:p>
      <w:pPr>
        <w:spacing w:after="0" w:line="9" w:lineRule="exact"/>
        <w:rPr>
          <w:rFonts w:ascii="Arial" w:cs="Arial" w:eastAsia="Arial" w:hAnsi="Arial"/>
          <w:sz w:val="18"/>
          <w:szCs w:val="18"/>
          <w:color w:val="auto"/>
        </w:rPr>
      </w:pPr>
    </w:p>
    <w:p>
      <w:pPr>
        <w:ind w:left="920" w:right="200" w:hanging="345"/>
        <w:spacing w:after="0" w:line="261" w:lineRule="auto"/>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2004: The plan for 2004 is to capitalize $52 million to cover the costs to complete the processing on already acquired surveys and for reprocessing some of our existing library surveys.</w:t>
      </w:r>
    </w:p>
    <w:p>
      <w:pPr>
        <w:spacing w:after="0" w:line="43" w:lineRule="exact"/>
        <w:rPr>
          <w:sz w:val="20"/>
          <w:szCs w:val="20"/>
          <w:color w:val="auto"/>
        </w:rPr>
      </w:pPr>
    </w:p>
    <w:p>
      <w:pPr>
        <w:ind w:left="580" w:right="260"/>
        <w:spacing w:after="0" w:line="268" w:lineRule="auto"/>
        <w:rPr>
          <w:sz w:val="20"/>
          <w:szCs w:val="20"/>
          <w:color w:val="auto"/>
        </w:rPr>
      </w:pPr>
      <w:r>
        <w:rPr>
          <w:rFonts w:ascii="Arial" w:cs="Arial" w:eastAsia="Arial" w:hAnsi="Arial"/>
          <w:sz w:val="18"/>
          <w:szCs w:val="18"/>
          <w:color w:val="auto"/>
        </w:rPr>
        <w:t>WesternGeco did not acquire any new multiclient surveys in Q4 2003 and does not expect to acquire any new surveys in 2004 unless significantly pre-funded.</w:t>
      </w:r>
    </w:p>
    <w:p>
      <w:pPr>
        <w:sectPr>
          <w:pgSz w:w="11900" w:h="16838" w:orient="portrait"/>
          <w:cols w:equalWidth="0" w:num="1">
            <w:col w:w="11420"/>
          </w:cols>
          <w:pgMar w:left="240" w:top="125" w:right="23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Q6)</w:t>
        <w:tab/>
        <w:t>What is the current size of the multiclient library?</w:t>
      </w:r>
    </w:p>
    <w:p>
      <w:pPr>
        <w:spacing w:after="0" w:line="83" w:lineRule="exact"/>
        <w:rPr>
          <w:sz w:val="20"/>
          <w:szCs w:val="20"/>
          <w:color w:val="auto"/>
        </w:rPr>
      </w:pPr>
    </w:p>
    <w:p>
      <w:pPr>
        <w:ind w:left="580" w:right="400"/>
        <w:spacing w:after="0" w:line="321" w:lineRule="auto"/>
        <w:rPr>
          <w:sz w:val="20"/>
          <w:szCs w:val="20"/>
          <w:color w:val="auto"/>
        </w:rPr>
      </w:pPr>
      <w:r>
        <w:rPr>
          <w:rFonts w:ascii="Arial" w:cs="Arial" w:eastAsia="Arial" w:hAnsi="Arial"/>
          <w:sz w:val="16"/>
          <w:szCs w:val="16"/>
          <w:color w:val="auto"/>
        </w:rPr>
        <w:t>The net book value of the multiclient library as of December 31, 2003, was $506 million of which $414 million was in the US. Included in the $506 million is approximately $214 million for surveys that have already been acquired and are expected to be fully processed in 2004.</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tab/>
        <w:t>What is the expected cost of sales for multiclient in 2004?</w:t>
      </w:r>
    </w:p>
    <w:p>
      <w:pPr>
        <w:spacing w:after="0" w:line="83" w:lineRule="exact"/>
        <w:rPr>
          <w:sz w:val="20"/>
          <w:szCs w:val="20"/>
          <w:color w:val="auto"/>
        </w:rPr>
      </w:pPr>
    </w:p>
    <w:p>
      <w:pPr>
        <w:ind w:left="580"/>
        <w:spacing w:after="0" w:line="268" w:lineRule="auto"/>
        <w:rPr>
          <w:sz w:val="20"/>
          <w:szCs w:val="20"/>
          <w:color w:val="auto"/>
        </w:rPr>
      </w:pPr>
      <w:r>
        <w:rPr>
          <w:rFonts w:ascii="Arial" w:cs="Arial" w:eastAsia="Arial" w:hAnsi="Arial"/>
          <w:sz w:val="18"/>
          <w:szCs w:val="18"/>
          <w:color w:val="auto"/>
        </w:rPr>
        <w:t>The September 1, 2003, multiclient impairment of $398 million reduced the minimum amortization charges in 2003 by approximately $61 million, which comprised $15 million in the third quarter and $46 million in the fourth.</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expected minimum charge to cost of sales for multiclient in 2004 is approximately $200 million.</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tab/>
        <w:t>What is the Capex guidance on full year 2004?</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Capex of $146 million in 2004 versus $90 million in 2003.</w:t>
      </w:r>
    </w:p>
    <w:p>
      <w:pPr>
        <w:spacing w:after="0" w:line="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Q9)</w:t>
        <w:tab/>
        <w:t>What were multiclient sales in the quarter and what was the cost of sales and amortization?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Multiclient sales in the quarter were $111 million. Cost of sales were $52 million.</w:t>
      </w:r>
    </w:p>
    <w:p>
      <w:pPr>
        <w:spacing w:after="0" w:line="71"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Q10)</w:t>
        <w:tab/>
        <w:t>Which businesses are included in the “Other” segment?</w:t>
      </w:r>
    </w:p>
    <w:p>
      <w:pPr>
        <w:spacing w:after="0" w:line="83" w:lineRule="exact"/>
        <w:rPr>
          <w:sz w:val="20"/>
          <w:szCs w:val="20"/>
          <w:color w:val="auto"/>
        </w:rPr>
      </w:pPr>
    </w:p>
    <w:p>
      <w:pPr>
        <w:ind w:left="580" w:right="420"/>
        <w:spacing w:after="0" w:line="268" w:lineRule="auto"/>
        <w:rPr>
          <w:sz w:val="20"/>
          <w:szCs w:val="20"/>
          <w:color w:val="auto"/>
        </w:rPr>
      </w:pPr>
      <w:r>
        <w:rPr>
          <w:rFonts w:ascii="Arial" w:cs="Arial" w:eastAsia="Arial" w:hAnsi="Arial"/>
          <w:sz w:val="18"/>
          <w:szCs w:val="18"/>
          <w:color w:val="auto"/>
        </w:rPr>
        <w:t>The businesses that are reported under “Other” are Axalto (Cards and Point-of-sale Terminals), Electricity Meters, Payphones, Business Continuity, Infodata and Telecom Software Products.</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Q11)</w:t>
        <w:tab/>
        <w:t>What is the reconciliation between the current and previous “Other” reporting structure?</w:t>
      </w:r>
    </w:p>
    <w:p>
      <w:pPr>
        <w:spacing w:after="0" w:line="83"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color w:val="auto"/>
        </w:rPr>
        <w:t>Schlumberger is retaining a number of specific SchlumbergerSema businesses. These include Business Continuity, Infodata, and all software products related to the SchlumbergerSema telecommunications activity. Those three activities combined contributed $294 million and $81 million of revenue in 2003 and fourth quarter, respectively. The pretax operating income contribution was $20 million and $11 million in 2003 and fourth quarter, respectively.</w:t>
      </w:r>
    </w:p>
    <w:p>
      <w:pPr>
        <w:spacing w:after="0" w:line="12"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Revenue and pretax operating income are restated and, for comparison purposes, are given for both the current and the previous reporting structure in a table at the end of this document.</w:t>
      </w:r>
    </w:p>
    <w:p>
      <w:pPr>
        <w:spacing w:after="0" w:line="31"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Schlumberger Limited</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What is the status of the divestiture program?</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NPTest, Verification Systems and e-City divestitures have been completed and are accounted for as discontinued operations.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0" w:name="page21"/>
    <w:bookmarkEnd w:id="20"/>
    <w:p>
      <w:pPr>
        <w:ind w:left="460" w:right="58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July 2003, Schlumberger entered into an agreement to sell Electricity Meters activity to Itron for an all-cash amount of $255 million. The deal is expected to be completed in the first half of 2004 depending upon the successful completion of the Hart-Scott-Rodino review process.</w:t>
      </w:r>
    </w:p>
    <w:p>
      <w:pPr>
        <w:spacing w:after="0" w:line="1" w:lineRule="exact"/>
        <w:rPr>
          <w:sz w:val="20"/>
          <w:szCs w:val="20"/>
          <w:color w:val="auto"/>
        </w:rPr>
      </w:pPr>
    </w:p>
    <w:p>
      <w:pPr>
        <w:ind w:left="460" w:right="720"/>
        <w:spacing w:after="0" w:line="268" w:lineRule="auto"/>
        <w:rPr>
          <w:sz w:val="20"/>
          <w:szCs w:val="20"/>
          <w:color w:val="auto"/>
        </w:rPr>
      </w:pPr>
      <w:r>
        <w:rPr>
          <w:rFonts w:ascii="Arial" w:cs="Arial" w:eastAsia="Arial" w:hAnsi="Arial"/>
          <w:sz w:val="18"/>
          <w:szCs w:val="18"/>
          <w:color w:val="auto"/>
        </w:rPr>
        <w:t>In September 2003, Schlumberger entered into an agreement to sell the majority of the SchlumbergerSema businesses to Atos. The closing of the transaction is expected to be at the end of January 2004.</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exit negotiations are currently ongoing for each one of the activities included in “Other”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Q13) What was the Q4 Effective Tax Rate (ETR) and what is the ETR guidance for 2004?</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fourth quarter ETR from continuing operations before charges and credits was 26.6%. After charges and credits the ETR was 33.5%.</w:t>
      </w:r>
    </w:p>
    <w:p>
      <w:pPr>
        <w:spacing w:after="0" w:line="100"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We expect the full year 2004 ETR from continuing operations before charges and credits to be in the mid to upper twenties range. However, the ETR is particularly sensitive to the geographic business mix in WesternGeco and the level of European debt.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Why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460"/>
        <w:spacing w:after="0" w:line="251" w:lineRule="auto"/>
        <w:rPr>
          <w:sz w:val="20"/>
          <w:szCs w:val="20"/>
          <w:color w:val="auto"/>
        </w:rPr>
      </w:pPr>
      <w:r>
        <w:rPr>
          <w:rFonts w:ascii="Arial" w:cs="Arial" w:eastAsia="Arial" w:hAnsi="Arial"/>
          <w:sz w:val="18"/>
          <w:szCs w:val="18"/>
          <w:color w:val="auto"/>
        </w:rPr>
        <w:t>Net debt of $4.18 billion at December 31 decreased $691 million in the quarter, after the quarterly dividend payment of $110 million, due to strong cash flow from operations, $177 million from the sale of Hanover note, and $79 million from the sale of e-City business partially offset by a negative translation effect of $154 million.</w:t>
      </w:r>
    </w:p>
    <w:p>
      <w:pPr>
        <w:spacing w:after="0" w:line="46" w:lineRule="exact"/>
        <w:rPr>
          <w:sz w:val="20"/>
          <w:szCs w:val="20"/>
          <w:color w:val="auto"/>
        </w:rPr>
      </w:pPr>
    </w:p>
    <w:p>
      <w:pPr>
        <w:ind w:left="460" w:right="140"/>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debt</w:t>
      </w:r>
      <w:r>
        <w:rPr>
          <w:rFonts w:ascii="Arial" w:cs="Arial" w:eastAsia="Arial" w:hAnsi="Arial"/>
          <w:sz w:val="16"/>
          <w:szCs w:val="16"/>
          <w:color w:val="auto"/>
        </w:rPr>
        <w:t xml:space="preserve"> is gross debt less cash, short term investments as well as fixed income investments held to maturity. In past quarters we referred to </w:t>
      </w:r>
      <w:r>
        <w:rPr>
          <w:rFonts w:ascii="Arial" w:cs="Arial" w:eastAsia="Arial" w:hAnsi="Arial"/>
          <w:sz w:val="16"/>
          <w:szCs w:val="16"/>
          <w:b w:val="1"/>
          <w:bCs w:val="1"/>
          <w:color w:val="auto"/>
        </w:rPr>
        <w:t>‘liquidity’</w:t>
      </w:r>
      <w:r>
        <w:rPr>
          <w:rFonts w:ascii="Arial" w:cs="Arial" w:eastAsia="Arial" w:hAnsi="Arial"/>
          <w:sz w:val="16"/>
          <w:szCs w:val="16"/>
          <w:color w:val="auto"/>
        </w:rPr>
        <w:t xml:space="preserve"> that was defined as the reverse; cash, short-term investments and fixed income investments held to maturity, less debt.)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Q15) Interest income and expense changes?</w:t>
      </w:r>
    </w:p>
    <w:p>
      <w:pPr>
        <w:spacing w:after="0" w:line="83"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Interest income of $14 million increased $2.4 million sequentially and $0.7 million compared to same quarter last year. Average return increased to 2.0% this quarter from 1.6% last quarter and decreased from 3.0% last year. Average investment balance of $2.5 billion was up $532 million compared to the same quarter last year mainly due to liquidity generated by operations, proceeds from the sale of the Hanover note and proceeds from employee stock plans.</w:t>
      </w:r>
    </w:p>
    <w:p>
      <w:pPr>
        <w:spacing w:after="0" w:line="49" w:lineRule="exact"/>
        <w:rPr>
          <w:sz w:val="20"/>
          <w:szCs w:val="20"/>
          <w:color w:val="auto"/>
        </w:rPr>
      </w:pPr>
    </w:p>
    <w:p>
      <w:pPr>
        <w:jc w:val="both"/>
        <w:ind w:left="460" w:right="280"/>
        <w:spacing w:after="0" w:line="259" w:lineRule="auto"/>
        <w:rPr>
          <w:sz w:val="20"/>
          <w:szCs w:val="20"/>
          <w:color w:val="auto"/>
        </w:rPr>
      </w:pPr>
      <w:r>
        <w:rPr>
          <w:rFonts w:ascii="Arial" w:cs="Arial" w:eastAsia="Arial" w:hAnsi="Arial"/>
          <w:sz w:val="18"/>
          <w:szCs w:val="18"/>
          <w:color w:val="auto"/>
        </w:rPr>
        <w:t>Interest expense of $73 million decreased $2.7 million sequentially and $17.8 million from the same quarter last year. Average borrowing rates of 3.9% were the same as last quarter and compared to 4.9% last year. Average debt balance of $7.3 billion decreased $203 million sequentially due to liquidity generated by operations partially offset by currency exchange effects.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Q16) What is the difference between OFS pretax income and the sum of the business Areas?</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difference of approximately $1 million in the quarter came from Oilfield Services headquarters projects and costs plus Oilfield Services consolidation eliminations.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1" w:name="page22"/>
    <w:bookmarkEnd w:id="2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Q17)</w:t>
        <w:tab/>
        <w:t>What is the difference between the SchlumbergerSema pretax income and the sum of the business Areas?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difference of about $2 million in the quarter was due to over absorption of headquarters’ expenses.</w:t>
      </w:r>
    </w:p>
    <w:p>
      <w:pPr>
        <w:spacing w:after="0" w:line="152" w:lineRule="exact"/>
        <w:rPr>
          <w:sz w:val="20"/>
          <w:szCs w:val="20"/>
          <w:color w:val="auto"/>
        </w:rPr>
      </w:pPr>
    </w:p>
    <w:p>
      <w:pPr>
        <w:ind w:left="580" w:right="220" w:hanging="579"/>
        <w:spacing w:after="0" w:line="275" w:lineRule="auto"/>
        <w:tabs>
          <w:tab w:leader="none" w:pos="560" w:val="left"/>
        </w:tabs>
        <w:rPr>
          <w:sz w:val="20"/>
          <w:szCs w:val="20"/>
          <w:color w:val="auto"/>
        </w:rPr>
      </w:pPr>
      <w:r>
        <w:rPr>
          <w:rFonts w:ascii="Arial" w:cs="Arial" w:eastAsia="Arial" w:hAnsi="Arial"/>
          <w:sz w:val="18"/>
          <w:szCs w:val="18"/>
          <w:b w:val="1"/>
          <w:bCs w:val="1"/>
          <w:color w:val="auto"/>
        </w:rPr>
        <w:t>Q18)</w:t>
        <w:tab/>
        <w:t>What is the difference between Schlumberger pretax income before charges and the pretax income of the business segments, including income from ‘Other’ activities?</w:t>
      </w:r>
    </w:p>
    <w:p>
      <w:pPr>
        <w:spacing w:after="0" w:line="31" w:lineRule="exact"/>
        <w:rPr>
          <w:sz w:val="20"/>
          <w:szCs w:val="20"/>
          <w:color w:val="auto"/>
        </w:rPr>
      </w:pPr>
    </w:p>
    <w:p>
      <w:pPr>
        <w:ind w:left="580" w:right="460"/>
        <w:spacing w:after="0" w:line="268" w:lineRule="auto"/>
        <w:rPr>
          <w:sz w:val="20"/>
          <w:szCs w:val="20"/>
          <w:color w:val="auto"/>
        </w:rPr>
      </w:pPr>
      <w:r>
        <w:rPr>
          <w:rFonts w:ascii="Arial" w:cs="Arial" w:eastAsia="Arial" w:hAnsi="Arial"/>
          <w:sz w:val="18"/>
          <w:szCs w:val="18"/>
          <w:color w:val="auto"/>
        </w:rPr>
        <w:t>Major items include corporate headquarters expenses, interest expense and income, interest on post-retirement benefits, amortization of identifiable intangibles and currency exchange gains and losses, and employee stock purchase.</w:t>
      </w:r>
    </w:p>
    <w:p>
      <w:pPr>
        <w:spacing w:after="0" w:line="31"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Q19)</w:t>
        <w:tab/>
        <w:t>What was the impact of the expensing of stock options and discounted stock purchase plan to employees in 2003? What is the guidance for 2004?</w:t>
      </w:r>
    </w:p>
    <w:p>
      <w:pPr>
        <w:spacing w:after="0" w:line="117" w:lineRule="exact"/>
        <w:rPr>
          <w:sz w:val="20"/>
          <w:szCs w:val="20"/>
          <w:color w:val="auto"/>
        </w:rPr>
      </w:pPr>
    </w:p>
    <w:p>
      <w:pPr>
        <w:ind w:left="580" w:right="40"/>
        <w:spacing w:after="0" w:line="329" w:lineRule="auto"/>
        <w:rPr>
          <w:sz w:val="20"/>
          <w:szCs w:val="20"/>
          <w:color w:val="auto"/>
        </w:rPr>
      </w:pPr>
      <w:r>
        <w:rPr>
          <w:rFonts w:ascii="Arial" w:cs="Arial" w:eastAsia="Arial" w:hAnsi="Arial"/>
          <w:sz w:val="15"/>
          <w:szCs w:val="15"/>
          <w:color w:val="auto"/>
        </w:rPr>
        <w:t>The company has two stock compensation plans – stock option awards and an employee stock purchase plan. The company started to record stock option expense in the income statement beginning in the second half of 2003, on a prospective basis for grants after January 1, 2003. The effect on the entire year 2003 net income and earnings per share was $13 million ($0.02 per share). In 2004, we expect to record a total cost of $27 million ($0.04 per share).</w:t>
      </w:r>
    </w:p>
    <w:p>
      <w:pPr>
        <w:spacing w:after="0"/>
        <w:tabs>
          <w:tab w:leader="none" w:pos="560" w:val="left"/>
        </w:tabs>
        <w:rPr>
          <w:sz w:val="20"/>
          <w:szCs w:val="20"/>
          <w:color w:val="auto"/>
        </w:rPr>
      </w:pPr>
      <w:r>
        <w:rPr>
          <w:rFonts w:ascii="Arial" w:cs="Arial" w:eastAsia="Arial" w:hAnsi="Arial"/>
          <w:sz w:val="18"/>
          <w:szCs w:val="18"/>
          <w:b w:val="1"/>
          <w:bCs w:val="1"/>
          <w:color w:val="auto"/>
        </w:rPr>
        <w:t>Q20)</w:t>
        <w:tab/>
        <w:t>What is the current position on funding the company pension plans?</w:t>
      </w:r>
    </w:p>
    <w:p>
      <w:pPr>
        <w:spacing w:after="0" w:line="83"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material defined benefit plans include plans in the USA and the United Kingdom. Each of these plans is under-funded on an actuarial basis as a result of lower interest rates and poor financial market performance. The company will increase its funding of the plans over the next few years unless there is a meaningful recovery in the markets and/or interest rates rise.</w:t>
      </w:r>
    </w:p>
    <w:p>
      <w:pPr>
        <w:spacing w:after="0" w:line="46" w:lineRule="exact"/>
        <w:rPr>
          <w:sz w:val="20"/>
          <w:szCs w:val="20"/>
          <w:color w:val="auto"/>
        </w:rPr>
      </w:pPr>
    </w:p>
    <w:p>
      <w:pPr>
        <w:ind w:left="580" w:right="80"/>
        <w:spacing w:after="0" w:line="298" w:lineRule="auto"/>
        <w:rPr>
          <w:sz w:val="20"/>
          <w:szCs w:val="20"/>
          <w:color w:val="auto"/>
        </w:rPr>
      </w:pPr>
      <w:r>
        <w:rPr>
          <w:rFonts w:ascii="Arial" w:cs="Arial" w:eastAsia="Arial" w:hAnsi="Arial"/>
          <w:sz w:val="16"/>
          <w:szCs w:val="16"/>
          <w:color w:val="auto"/>
        </w:rPr>
        <w:t>In accordance with FASB #87, the company has recorded a cumulative increase in the pension liability of $406 million at December 31, 2003, compared to $255 million at September 30, 2003. At quarter’s end the total pension liability was equal to the minimum liability. The offset has been recorded in Other Comprehensive Income. The minimum liability represents the difference between the Accumulated Benefit Obligation (present value of benefits earned to date) and the plan assets plus the balance sheet accrual at December 31, 2003.</w:t>
      </w:r>
    </w:p>
    <w:p>
      <w:pPr>
        <w:spacing w:after="0" w:line="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Q21)</w:t>
        <w:tab/>
        <w:t>What was the Schlumberger annualized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run-rate for the quarter?</w:t>
      </w:r>
    </w:p>
    <w:p>
      <w:pPr>
        <w:spacing w:after="0" w:line="51" w:lineRule="exact"/>
        <w:rPr>
          <w:sz w:val="20"/>
          <w:szCs w:val="20"/>
          <w:color w:val="auto"/>
        </w:rPr>
      </w:pPr>
    </w:p>
    <w:p>
      <w:pPr>
        <w:ind w:left="580" w:right="840"/>
        <w:spacing w:after="0" w:line="252" w:lineRule="auto"/>
        <w:rPr>
          <w:sz w:val="20"/>
          <w:szCs w:val="20"/>
          <w:color w:val="auto"/>
        </w:rPr>
      </w:pPr>
      <w:r>
        <w:rPr>
          <w:rFonts w:ascii="Arial" w:cs="Arial" w:eastAsia="Arial" w:hAnsi="Arial"/>
          <w:sz w:val="18"/>
          <w:szCs w:val="18"/>
          <w:color w:val="auto"/>
        </w:rPr>
        <w:t>Annualized ROCE in the fourth quarter 2003 was 12.8% compared to 10.3% in the third quarter. The increase in the quarter reflected a mix of significantly higher income and lower capital employed.</w:t>
      </w:r>
    </w:p>
    <w:p>
      <w:pPr>
        <w:spacing w:after="0" w:line="51" w:lineRule="exact"/>
        <w:rPr>
          <w:sz w:val="20"/>
          <w:szCs w:val="20"/>
          <w:color w:val="auto"/>
        </w:rPr>
      </w:pPr>
    </w:p>
    <w:p>
      <w:pPr>
        <w:ind w:left="580" w:right="500" w:hanging="1"/>
        <w:spacing w:after="0" w:line="268" w:lineRule="auto"/>
        <w:tabs>
          <w:tab w:leader="none" w:pos="7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ROCE is computed as [Net Income from continuing operations excluding charges + Minority Interest + Interest Expense—Interest Income—Tax benefit on interest expense] divided by [Shareholders’ Equity + Net Debt + Minority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2" w:name="page23"/>
    <w:bookmarkEnd w:id="2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4120"/>
        <w:spacing w:after="0" w:line="379" w:lineRule="auto"/>
        <w:rPr>
          <w:sz w:val="20"/>
          <w:szCs w:val="20"/>
          <w:color w:val="auto"/>
        </w:rPr>
      </w:pPr>
      <w:r>
        <w:rPr>
          <w:rFonts w:ascii="Arial" w:cs="Arial" w:eastAsia="Arial" w:hAnsi="Arial"/>
          <w:sz w:val="18"/>
          <w:szCs w:val="18"/>
          <w:b w:val="1"/>
          <w:bCs w:val="1"/>
          <w:color w:val="auto"/>
        </w:rPr>
        <w:t xml:space="preserve">Revenue and Pretax Operating Income under Current and Previous Business Segment Structures </w:t>
      </w:r>
      <w:r>
        <w:rPr>
          <w:rFonts w:ascii="Arial" w:cs="Arial" w:eastAsia="Arial" w:hAnsi="Arial"/>
          <w:sz w:val="18"/>
          <w:szCs w:val="18"/>
          <w:color w:val="auto"/>
        </w:rPr>
        <w:t>In the “Previous Structure” SchlumbergerSema includes:</w:t>
      </w:r>
    </w:p>
    <w:p>
      <w:pPr>
        <w:spacing w:after="0" w:line="1" w:lineRule="exact"/>
        <w:rPr>
          <w:sz w:val="20"/>
          <w:szCs w:val="20"/>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activities being sold to Atos Origin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Services for the Oil &amp; Gas industry and the operations that provide connectivity with the upstream oil and gas business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Infodata</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Continuity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Telecom Software Products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“Current Structure” SchlumbergerSema includes only the activities being sold to Atos Origin. Oilfield Services includes the “Previous Structure” Oilfield Services plus IT Services for the Oil &amp; Gas industry and the operations that provide connectivity with the upstream oil and gas business. Other includes the “Previous Structure” Other plus Infodata, Business Continuity and Telecom Software Products businesses.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55"/>
          </w:tcPr>
          <w:p>
            <w:pPr>
              <w:spacing w:after="0"/>
              <w:rPr>
                <w:sz w:val="20"/>
                <w:szCs w:val="20"/>
                <w:color w:val="auto"/>
              </w:rPr>
            </w:pPr>
            <w:r>
              <w:rPr>
                <w:rFonts w:ascii="Arial" w:cs="Arial" w:eastAsia="Arial" w:hAnsi="Arial"/>
                <w:sz w:val="14"/>
                <w:szCs w:val="14"/>
                <w:b w:val="1"/>
                <w:bCs w:val="1"/>
                <w:color w:val="auto"/>
              </w:rPr>
              <w:t>Previous</w:t>
            </w:r>
          </w:p>
        </w:tc>
        <w:tc>
          <w:tcPr>
            <w:tcW w:w="2220" w:type="dxa"/>
            <w:vAlign w:val="bottom"/>
            <w:gridSpan w:val="18"/>
          </w:tcPr>
          <w:p>
            <w:pPr>
              <w:jc w:val="right"/>
              <w:ind w:right="1720"/>
              <w:spacing w:after="0"/>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74"/>
        </w:trPr>
        <w:tc>
          <w:tcPr>
            <w:tcW w:w="9180" w:type="dxa"/>
            <w:vAlign w:val="bottom"/>
            <w:gridSpan w:val="54"/>
          </w:tcPr>
          <w:p>
            <w:pPr>
              <w:spacing w:after="0"/>
              <w:rPr>
                <w:sz w:val="20"/>
                <w:szCs w:val="20"/>
                <w:color w:val="auto"/>
              </w:rPr>
            </w:pPr>
            <w:r>
              <w:rPr>
                <w:rFonts w:ascii="Arial" w:cs="Arial" w:eastAsia="Arial" w:hAnsi="Arial"/>
                <w:sz w:val="14"/>
                <w:szCs w:val="14"/>
                <w:b w:val="1"/>
                <w:bCs w:val="1"/>
                <w:color w:val="auto"/>
              </w:rPr>
              <w:t>Structure</w:t>
            </w:r>
          </w:p>
        </w:tc>
        <w:tc>
          <w:tcPr>
            <w:tcW w:w="2240" w:type="dxa"/>
            <w:vAlign w:val="bottom"/>
            <w:gridSpan w:val="19"/>
          </w:tcPr>
          <w:p>
            <w:pPr>
              <w:ind w:left="20"/>
              <w:spacing w:after="0"/>
              <w:rPr>
                <w:sz w:val="20"/>
                <w:szCs w:val="20"/>
                <w:color w:val="auto"/>
              </w:rPr>
            </w:pPr>
            <w:r>
              <w:rPr>
                <w:rFonts w:ascii="Arial" w:cs="Arial" w:eastAsia="Arial" w:hAnsi="Arial"/>
                <w:sz w:val="14"/>
                <w:szCs w:val="14"/>
                <w:b w:val="1"/>
                <w:bCs w:val="1"/>
                <w:color w:val="auto"/>
              </w:rPr>
              <w:t>Structure</w:t>
            </w:r>
          </w:p>
        </w:tc>
        <w:tc>
          <w:tcPr>
            <w:tcW w:w="0" w:type="dxa"/>
            <w:vAlign w:val="bottom"/>
          </w:tcPr>
          <w:p>
            <w:pPr>
              <w:spacing w:after="0"/>
              <w:rPr>
                <w:sz w:val="1"/>
                <w:szCs w:val="1"/>
                <w:color w:val="auto"/>
              </w:rPr>
            </w:pPr>
          </w:p>
        </w:tc>
      </w:tr>
      <w:tr>
        <w:trPr>
          <w:trHeight w:val="95"/>
        </w:trPr>
        <w:tc>
          <w:tcPr>
            <w:tcW w:w="500" w:type="dxa"/>
            <w:vAlign w:val="bottom"/>
            <w:gridSpan w:val="2"/>
          </w:tcPr>
          <w:p>
            <w:pPr>
              <w:spacing w:after="0"/>
              <w:rPr>
                <w:sz w:val="8"/>
                <w:szCs w:val="8"/>
                <w:color w:val="auto"/>
              </w:rPr>
            </w:pPr>
          </w:p>
        </w:tc>
        <w:tc>
          <w:tcPr>
            <w:tcW w:w="180" w:type="dxa"/>
            <w:vAlign w:val="bottom"/>
            <w:vMerge w:val="restart"/>
          </w:tcPr>
          <w:p>
            <w:pPr>
              <w:spacing w:after="0"/>
              <w:rPr>
                <w:sz w:val="8"/>
                <w:szCs w:val="8"/>
                <w:color w:val="auto"/>
              </w:rPr>
            </w:pPr>
          </w:p>
        </w:tc>
        <w:tc>
          <w:tcPr>
            <w:tcW w:w="2360" w:type="dxa"/>
            <w:vAlign w:val="bottom"/>
            <w:vMerge w:val="restart"/>
          </w:tcPr>
          <w:p>
            <w:pPr>
              <w:jc w:val="center"/>
              <w:ind w:right="112"/>
              <w:spacing w:after="0"/>
              <w:rPr>
                <w:sz w:val="20"/>
                <w:szCs w:val="20"/>
                <w:color w:val="auto"/>
              </w:rPr>
            </w:pPr>
            <w:r>
              <w:rPr>
                <w:rFonts w:ascii="Arial" w:cs="Arial" w:eastAsia="Arial" w:hAnsi="Arial"/>
                <w:sz w:val="14"/>
                <w:szCs w:val="14"/>
                <w:b w:val="1"/>
                <w:bCs w:val="1"/>
                <w:color w:val="auto"/>
                <w:w w:val="98"/>
              </w:rPr>
              <w:t>REVENUE FROM CONTINUING</w:t>
            </w:r>
          </w:p>
        </w:tc>
        <w:tc>
          <w:tcPr>
            <w:tcW w:w="660" w:type="dxa"/>
            <w:vAlign w:val="bottom"/>
            <w:gridSpan w:val="2"/>
          </w:tcPr>
          <w:p>
            <w:pPr>
              <w:spacing w:after="0"/>
              <w:rPr>
                <w:sz w:val="8"/>
                <w:szCs w:val="8"/>
                <w:color w:val="auto"/>
              </w:rPr>
            </w:pPr>
          </w:p>
        </w:tc>
        <w:tc>
          <w:tcPr>
            <w:tcW w:w="3660" w:type="dxa"/>
            <w:vAlign w:val="bottom"/>
            <w:tcBorders>
              <w:bottom w:val="single" w:sz="8" w:color="auto"/>
            </w:tcBorders>
            <w:gridSpan w:val="32"/>
          </w:tcPr>
          <w:p>
            <w:pPr>
              <w:spacing w:after="0"/>
              <w:rPr>
                <w:sz w:val="8"/>
                <w:szCs w:val="8"/>
                <w:color w:val="auto"/>
              </w:rPr>
            </w:pPr>
          </w:p>
        </w:tc>
        <w:tc>
          <w:tcPr>
            <w:tcW w:w="260" w:type="dxa"/>
            <w:vAlign w:val="bottom"/>
            <w:gridSpan w:val="4"/>
          </w:tcPr>
          <w:p>
            <w:pPr>
              <w:spacing w:after="0"/>
              <w:rPr>
                <w:sz w:val="8"/>
                <w:szCs w:val="8"/>
                <w:color w:val="auto"/>
              </w:rPr>
            </w:pPr>
          </w:p>
        </w:tc>
        <w:tc>
          <w:tcPr>
            <w:tcW w:w="3700" w:type="dxa"/>
            <w:vAlign w:val="bottom"/>
            <w:tcBorders>
              <w:bottom w:val="single" w:sz="8" w:color="auto"/>
            </w:tcBorders>
            <w:gridSpan w:val="29"/>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00" w:type="dxa"/>
            <w:vAlign w:val="bottom"/>
            <w:gridSpan w:val="2"/>
          </w:tcPr>
          <w:p>
            <w:pPr>
              <w:spacing w:after="0"/>
              <w:rPr>
                <w:sz w:val="7"/>
                <w:szCs w:val="7"/>
                <w:color w:val="auto"/>
              </w:rPr>
            </w:pPr>
          </w:p>
        </w:tc>
        <w:tc>
          <w:tcPr>
            <w:tcW w:w="18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8380" w:type="dxa"/>
            <w:vAlign w:val="bottom"/>
            <w:gridSpan w:val="69"/>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00" w:type="dxa"/>
            <w:vAlign w:val="bottom"/>
            <w:gridSpan w:val="9"/>
          </w:tcPr>
          <w:p>
            <w:pPr>
              <w:spacing w:after="0"/>
              <w:rPr>
                <w:sz w:val="20"/>
                <w:szCs w:val="20"/>
                <w:color w:val="auto"/>
              </w:rPr>
            </w:pPr>
            <w:r>
              <w:rPr>
                <w:rFonts w:ascii="Arial" w:cs="Arial" w:eastAsia="Arial" w:hAnsi="Arial"/>
                <w:sz w:val="14"/>
                <w:szCs w:val="14"/>
                <w:b w:val="1"/>
                <w:bCs w:val="1"/>
                <w:color w:val="auto"/>
              </w:rPr>
              <w:t>OPERATIONS</w:t>
            </w:r>
          </w:p>
        </w:tc>
        <w:tc>
          <w:tcPr>
            <w:tcW w:w="1940" w:type="dxa"/>
            <w:vAlign w:val="bottom"/>
            <w:gridSpan w:val="19"/>
          </w:tcPr>
          <w:p>
            <w:pPr>
              <w:jc w:val="right"/>
              <w:ind w:right="1585"/>
              <w:spacing w:after="0"/>
              <w:rPr>
                <w:sz w:val="20"/>
                <w:szCs w:val="20"/>
                <w:color w:val="auto"/>
              </w:rPr>
            </w:pPr>
            <w:r>
              <w:rPr>
                <w:rFonts w:ascii="Arial" w:cs="Arial" w:eastAsia="Arial" w:hAnsi="Arial"/>
                <w:sz w:val="14"/>
                <w:szCs w:val="14"/>
                <w:b w:val="1"/>
                <w:bCs w:val="1"/>
                <w:color w:val="auto"/>
                <w:w w:val="89"/>
              </w:rPr>
              <w:t>2002</w:t>
            </w:r>
          </w:p>
        </w:tc>
        <w:tc>
          <w:tcPr>
            <w:tcW w:w="1680" w:type="dxa"/>
            <w:vAlign w:val="bottom"/>
            <w:gridSpan w:val="16"/>
          </w:tcPr>
          <w:p>
            <w:pPr>
              <w:jc w:val="right"/>
              <w:ind w:right="1292"/>
              <w:spacing w:after="0"/>
              <w:rPr>
                <w:sz w:val="20"/>
                <w:szCs w:val="20"/>
                <w:color w:val="auto"/>
              </w:rPr>
            </w:pPr>
            <w:r>
              <w:rPr>
                <w:rFonts w:ascii="Arial" w:cs="Arial" w:eastAsia="Arial" w:hAnsi="Arial"/>
                <w:sz w:val="14"/>
                <w:szCs w:val="14"/>
                <w:b w:val="1"/>
                <w:bCs w:val="1"/>
                <w:color w:val="auto"/>
                <w:w w:val="96"/>
              </w:rPr>
              <w:t>2003</w:t>
            </w:r>
          </w:p>
        </w:tc>
        <w:tc>
          <w:tcPr>
            <w:tcW w:w="2160" w:type="dxa"/>
            <w:vAlign w:val="bottom"/>
            <w:gridSpan w:val="17"/>
          </w:tcPr>
          <w:p>
            <w:pPr>
              <w:jc w:val="right"/>
              <w:ind w:right="1560"/>
              <w:spacing w:after="0"/>
              <w:rPr>
                <w:sz w:val="20"/>
                <w:szCs w:val="20"/>
                <w:color w:val="auto"/>
              </w:rPr>
            </w:pPr>
            <w:r>
              <w:rPr>
                <w:rFonts w:ascii="Arial" w:cs="Arial" w:eastAsia="Arial" w:hAnsi="Arial"/>
                <w:sz w:val="14"/>
                <w:szCs w:val="14"/>
                <w:b w:val="1"/>
                <w:bCs w:val="1"/>
                <w:color w:val="auto"/>
              </w:rPr>
              <w:t>2002</w:t>
            </w:r>
          </w:p>
        </w:tc>
        <w:tc>
          <w:tcPr>
            <w:tcW w:w="1440" w:type="dxa"/>
            <w:vAlign w:val="bottom"/>
            <w:gridSpan w:val="12"/>
          </w:tcPr>
          <w:p>
            <w:pPr>
              <w:jc w:val="right"/>
              <w:ind w:right="10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500" w:type="dxa"/>
            <w:vAlign w:val="bottom"/>
            <w:gridSpan w:val="2"/>
          </w:tcPr>
          <w:p>
            <w:pPr>
              <w:spacing w:after="0"/>
              <w:rPr>
                <w:sz w:val="8"/>
                <w:szCs w:val="8"/>
                <w:color w:val="auto"/>
              </w:rPr>
            </w:pPr>
          </w:p>
        </w:tc>
        <w:tc>
          <w:tcPr>
            <w:tcW w:w="2540" w:type="dxa"/>
            <w:vAlign w:val="bottom"/>
            <w:tcBorders>
              <w:bottom w:val="single" w:sz="8" w:color="auto"/>
            </w:tcBorders>
            <w:gridSpan w:val="2"/>
          </w:tcPr>
          <w:p>
            <w:pPr>
              <w:spacing w:after="0"/>
              <w:rPr>
                <w:sz w:val="8"/>
                <w:szCs w:val="8"/>
                <w:color w:val="auto"/>
              </w:rPr>
            </w:pPr>
          </w:p>
        </w:tc>
        <w:tc>
          <w:tcPr>
            <w:tcW w:w="660" w:type="dxa"/>
            <w:vAlign w:val="bottom"/>
            <w:gridSpan w:val="2"/>
          </w:tcPr>
          <w:p>
            <w:pPr>
              <w:spacing w:after="0"/>
              <w:rPr>
                <w:sz w:val="8"/>
                <w:szCs w:val="8"/>
                <w:color w:val="auto"/>
              </w:rPr>
            </w:pPr>
          </w:p>
        </w:tc>
        <w:tc>
          <w:tcPr>
            <w:tcW w:w="1320" w:type="dxa"/>
            <w:vAlign w:val="bottom"/>
            <w:tcBorders>
              <w:bottom w:val="single" w:sz="8" w:color="auto"/>
            </w:tcBorders>
            <w:gridSpan w:val="11"/>
          </w:tcPr>
          <w:p>
            <w:pPr>
              <w:spacing w:after="0"/>
              <w:rPr>
                <w:sz w:val="8"/>
                <w:szCs w:val="8"/>
                <w:color w:val="auto"/>
              </w:rPr>
            </w:pPr>
          </w:p>
        </w:tc>
        <w:tc>
          <w:tcPr>
            <w:tcW w:w="260" w:type="dxa"/>
            <w:vAlign w:val="bottom"/>
            <w:gridSpan w:val="2"/>
          </w:tcPr>
          <w:p>
            <w:pPr>
              <w:spacing w:after="0"/>
              <w:rPr>
                <w:sz w:val="8"/>
                <w:szCs w:val="8"/>
                <w:color w:val="auto"/>
              </w:rPr>
            </w:pPr>
          </w:p>
        </w:tc>
        <w:tc>
          <w:tcPr>
            <w:tcW w:w="2080" w:type="dxa"/>
            <w:vAlign w:val="bottom"/>
            <w:tcBorders>
              <w:bottom w:val="single" w:sz="8" w:color="auto"/>
            </w:tcBorders>
            <w:gridSpan w:val="19"/>
          </w:tcPr>
          <w:p>
            <w:pPr>
              <w:spacing w:after="0"/>
              <w:rPr>
                <w:sz w:val="8"/>
                <w:szCs w:val="8"/>
                <w:color w:val="auto"/>
              </w:rPr>
            </w:pPr>
          </w:p>
        </w:tc>
        <w:tc>
          <w:tcPr>
            <w:tcW w:w="260" w:type="dxa"/>
            <w:vAlign w:val="bottom"/>
            <w:gridSpan w:val="4"/>
          </w:tcPr>
          <w:p>
            <w:pPr>
              <w:spacing w:after="0"/>
              <w:rPr>
                <w:sz w:val="8"/>
                <w:szCs w:val="8"/>
                <w:color w:val="auto"/>
              </w:rPr>
            </w:pPr>
          </w:p>
        </w:tc>
        <w:tc>
          <w:tcPr>
            <w:tcW w:w="1320" w:type="dxa"/>
            <w:vAlign w:val="bottom"/>
            <w:tcBorders>
              <w:bottom w:val="single" w:sz="8" w:color="auto"/>
            </w:tcBorders>
            <w:gridSpan w:val="9"/>
          </w:tcPr>
          <w:p>
            <w:pPr>
              <w:spacing w:after="0"/>
              <w:rPr>
                <w:sz w:val="8"/>
                <w:szCs w:val="8"/>
                <w:color w:val="auto"/>
              </w:rPr>
            </w:pPr>
          </w:p>
        </w:tc>
        <w:tc>
          <w:tcPr>
            <w:tcW w:w="260" w:type="dxa"/>
            <w:vAlign w:val="bottom"/>
            <w:gridSpan w:val="4"/>
          </w:tcPr>
          <w:p>
            <w:pPr>
              <w:spacing w:after="0"/>
              <w:rPr>
                <w:sz w:val="8"/>
                <w:szCs w:val="8"/>
                <w:color w:val="auto"/>
              </w:rPr>
            </w:pPr>
          </w:p>
        </w:tc>
        <w:tc>
          <w:tcPr>
            <w:tcW w:w="2120" w:type="dxa"/>
            <w:vAlign w:val="bottom"/>
            <w:tcBorders>
              <w:bottom w:val="single" w:sz="8" w:color="auto"/>
            </w:tcBorders>
            <w:gridSpan w:val="16"/>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Q4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Year</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Q4</w:t>
            </w:r>
          </w:p>
        </w:tc>
        <w:tc>
          <w:tcPr>
            <w:tcW w:w="120" w:type="dxa"/>
            <w:vAlign w:val="bottom"/>
          </w:tcPr>
          <w:p>
            <w:pPr>
              <w:spacing w:after="0"/>
              <w:rPr>
                <w:sz w:val="22"/>
                <w:szCs w:val="22"/>
                <w:color w:val="auto"/>
              </w:rPr>
            </w:pPr>
          </w:p>
        </w:tc>
        <w:tc>
          <w:tcPr>
            <w:tcW w:w="7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Year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5"/>
          </w:tcPr>
          <w:p>
            <w:pPr>
              <w:ind w:left="10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22"/>
                <w:szCs w:val="22"/>
                <w:color w:val="auto"/>
              </w:rPr>
            </w:pPr>
          </w:p>
        </w:tc>
        <w:tc>
          <w:tcPr>
            <w:tcW w:w="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95"/>
        </w:trPr>
        <w:tc>
          <w:tcPr>
            <w:tcW w:w="3700" w:type="dxa"/>
            <w:vAlign w:val="bottom"/>
            <w:gridSpan w:val="6"/>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60" w:type="dxa"/>
            <w:vAlign w:val="bottom"/>
            <w:gridSpan w:val="3"/>
          </w:tcPr>
          <w:p>
            <w:pPr>
              <w:spacing w:after="0"/>
              <w:rPr>
                <w:sz w:val="8"/>
                <w:szCs w:val="8"/>
                <w:color w:val="auto"/>
              </w:rPr>
            </w:pPr>
          </w:p>
        </w:tc>
        <w:tc>
          <w:tcPr>
            <w:tcW w:w="560" w:type="dxa"/>
            <w:vAlign w:val="bottom"/>
            <w:tcBorders>
              <w:bottom w:val="single" w:sz="8" w:color="auto"/>
            </w:tcBorders>
            <w:gridSpan w:val="5"/>
          </w:tcPr>
          <w:p>
            <w:pPr>
              <w:spacing w:after="0"/>
              <w:rPr>
                <w:sz w:val="8"/>
                <w:szCs w:val="8"/>
                <w:color w:val="auto"/>
              </w:rPr>
            </w:pPr>
          </w:p>
        </w:tc>
        <w:tc>
          <w:tcPr>
            <w:tcW w:w="260" w:type="dxa"/>
            <w:vAlign w:val="bottom"/>
            <w:gridSpan w:val="2"/>
          </w:tcPr>
          <w:p>
            <w:pPr>
              <w:spacing w:after="0"/>
              <w:rPr>
                <w:sz w:val="8"/>
                <w:szCs w:val="8"/>
                <w:color w:val="auto"/>
              </w:rPr>
            </w:pPr>
          </w:p>
        </w:tc>
        <w:tc>
          <w:tcPr>
            <w:tcW w:w="500" w:type="dxa"/>
            <w:vAlign w:val="bottom"/>
            <w:tcBorders>
              <w:bottom w:val="single" w:sz="8" w:color="auto"/>
            </w:tcBorders>
            <w:gridSpan w:val="6"/>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Borders>
              <w:bottom w:val="single" w:sz="8" w:color="auto"/>
            </w:tcBorders>
            <w:gridSpan w:val="5"/>
          </w:tcPr>
          <w:p>
            <w:pPr>
              <w:spacing w:after="0"/>
              <w:rPr>
                <w:sz w:val="8"/>
                <w:szCs w:val="8"/>
                <w:color w:val="auto"/>
              </w:rPr>
            </w:pPr>
          </w:p>
        </w:tc>
        <w:tc>
          <w:tcPr>
            <w:tcW w:w="240" w:type="dxa"/>
            <w:vAlign w:val="bottom"/>
            <w:gridSpan w:val="2"/>
          </w:tcPr>
          <w:p>
            <w:pPr>
              <w:spacing w:after="0"/>
              <w:rPr>
                <w:sz w:val="8"/>
                <w:szCs w:val="8"/>
                <w:color w:val="auto"/>
              </w:rPr>
            </w:pPr>
          </w:p>
        </w:tc>
        <w:tc>
          <w:tcPr>
            <w:tcW w:w="580" w:type="dxa"/>
            <w:vAlign w:val="bottom"/>
            <w:tcBorders>
              <w:bottom w:val="single" w:sz="8" w:color="auto"/>
            </w:tcBorders>
            <w:gridSpan w:val="5"/>
          </w:tcPr>
          <w:p>
            <w:pPr>
              <w:spacing w:after="0"/>
              <w:rPr>
                <w:sz w:val="8"/>
                <w:szCs w:val="8"/>
                <w:color w:val="auto"/>
              </w:rPr>
            </w:pPr>
          </w:p>
        </w:tc>
        <w:tc>
          <w:tcPr>
            <w:tcW w:w="260" w:type="dxa"/>
            <w:vAlign w:val="bottom"/>
            <w:gridSpan w:val="4"/>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40" w:type="dxa"/>
            <w:vAlign w:val="bottom"/>
            <w:gridSpan w:val="2"/>
          </w:tcPr>
          <w:p>
            <w:pPr>
              <w:spacing w:after="0"/>
              <w:rPr>
                <w:sz w:val="8"/>
                <w:szCs w:val="8"/>
                <w:color w:val="auto"/>
              </w:rPr>
            </w:pPr>
          </w:p>
        </w:tc>
        <w:tc>
          <w:tcPr>
            <w:tcW w:w="580" w:type="dxa"/>
            <w:vAlign w:val="bottom"/>
            <w:tcBorders>
              <w:bottom w:val="single" w:sz="8" w:color="auto"/>
            </w:tcBorders>
            <w:gridSpan w:val="4"/>
          </w:tcPr>
          <w:p>
            <w:pPr>
              <w:spacing w:after="0"/>
              <w:rPr>
                <w:sz w:val="8"/>
                <w:szCs w:val="8"/>
                <w:color w:val="auto"/>
              </w:rPr>
            </w:pPr>
          </w:p>
        </w:tc>
        <w:tc>
          <w:tcPr>
            <w:tcW w:w="260" w:type="dxa"/>
            <w:vAlign w:val="bottom"/>
            <w:gridSpan w:val="4"/>
          </w:tcPr>
          <w:p>
            <w:pPr>
              <w:spacing w:after="0"/>
              <w:rPr>
                <w:sz w:val="8"/>
                <w:szCs w:val="8"/>
                <w:color w:val="auto"/>
              </w:rPr>
            </w:pPr>
          </w:p>
        </w:tc>
        <w:tc>
          <w:tcPr>
            <w:tcW w:w="520" w:type="dxa"/>
            <w:vAlign w:val="bottom"/>
            <w:tcBorders>
              <w:bottom w:val="single" w:sz="8" w:color="auto"/>
            </w:tcBorders>
            <w:gridSpan w:val="4"/>
          </w:tcPr>
          <w:p>
            <w:pPr>
              <w:spacing w:after="0"/>
              <w:rPr>
                <w:sz w:val="8"/>
                <w:szCs w:val="8"/>
                <w:color w:val="auto"/>
              </w:rPr>
            </w:pPr>
          </w:p>
        </w:tc>
        <w:tc>
          <w:tcPr>
            <w:tcW w:w="260" w:type="dxa"/>
            <w:vAlign w:val="bottom"/>
            <w:gridSpan w:val="2"/>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60" w:type="dxa"/>
            <w:vAlign w:val="bottom"/>
            <w:gridSpan w:val="3"/>
          </w:tcPr>
          <w:p>
            <w:pPr>
              <w:spacing w:after="0"/>
              <w:rPr>
                <w:sz w:val="8"/>
                <w:szCs w:val="8"/>
                <w:color w:val="auto"/>
              </w:rPr>
            </w:pPr>
          </w:p>
        </w:tc>
        <w:tc>
          <w:tcPr>
            <w:tcW w:w="580" w:type="dxa"/>
            <w:vAlign w:val="bottom"/>
            <w:tcBorders>
              <w:bottom w:val="single" w:sz="8" w:color="auto"/>
            </w:tcBorders>
            <w:gridSpan w:val="4"/>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0" w:type="dxa"/>
            <w:vAlign w:val="bottom"/>
            <w:gridSpan w:val="7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North America</w:t>
            </w: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551.2</w:t>
            </w:r>
          </w:p>
        </w:tc>
        <w:tc>
          <w:tcPr>
            <w:tcW w:w="40" w:type="dxa"/>
            <w:vAlign w:val="bottom"/>
          </w:tcPr>
          <w:p>
            <w:pPr>
              <w:spacing w:after="0"/>
              <w:rPr>
                <w:sz w:val="12"/>
                <w:szCs w:val="12"/>
                <w:color w:val="auto"/>
              </w:rPr>
            </w:pP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2,232.2</w:t>
            </w:r>
          </w:p>
        </w:tc>
        <w:tc>
          <w:tcPr>
            <w:tcW w:w="60" w:type="dxa"/>
            <w:vAlign w:val="bottom"/>
          </w:tcPr>
          <w:p>
            <w:pPr>
              <w:spacing w:after="0"/>
              <w:rPr>
                <w:sz w:val="12"/>
                <w:szCs w:val="12"/>
                <w:color w:val="auto"/>
              </w:rPr>
            </w:pPr>
          </w:p>
        </w:tc>
        <w:tc>
          <w:tcPr>
            <w:tcW w:w="32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659.4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665.7</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4"/>
              </w:rPr>
              <w:t>2,558.9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572.6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4"/>
              </w:rPr>
              <w:t>2,307.7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672.4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679.4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2,625.8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Latin America</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1,302.1</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372.2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401.1</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1,411.8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1,317.7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379.2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408.0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1,438.9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594.7</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9"/>
              </w:rPr>
              <w:t>2,384.7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617.3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624.0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4"/>
          </w:tcPr>
          <w:p>
            <w:pPr>
              <w:jc w:val="right"/>
              <w:spacing w:after="0" w:line="149" w:lineRule="exact"/>
              <w:rPr>
                <w:sz w:val="20"/>
                <w:szCs w:val="20"/>
                <w:color w:val="auto"/>
              </w:rPr>
            </w:pPr>
            <w:r>
              <w:rPr>
                <w:rFonts w:ascii="Arial" w:cs="Arial" w:eastAsia="Arial" w:hAnsi="Arial"/>
                <w:sz w:val="14"/>
                <w:szCs w:val="14"/>
                <w:color w:val="auto"/>
                <w:w w:val="94"/>
              </w:rPr>
              <w:t>2,444.7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627.7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94"/>
              </w:rPr>
              <w:t>2,496.1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670.4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9"/>
              </w:rPr>
              <w:t>2,605.4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1,878.3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516.5</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622.3</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2,037.3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1,915.9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530.4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537.5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2,090.1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780" w:type="dxa"/>
            <w:vAlign w:val="bottom"/>
            <w:gridSpan w:val="7"/>
          </w:tcPr>
          <w:p>
            <w:pPr>
              <w:spacing w:after="0"/>
              <w:rPr>
                <w:sz w:val="20"/>
                <w:szCs w:val="20"/>
                <w:color w:val="auto"/>
              </w:rPr>
            </w:pPr>
            <w:r>
              <w:rPr>
                <w:rFonts w:ascii="Arial" w:cs="Arial" w:eastAsia="Arial" w:hAnsi="Arial"/>
                <w:sz w:val="14"/>
                <w:szCs w:val="14"/>
                <w:color w:val="auto"/>
              </w:rPr>
              <w:t>Eliminations &amp; Other</w:t>
            </w:r>
          </w:p>
        </w:tc>
        <w:tc>
          <w:tcPr>
            <w:tcW w:w="800" w:type="dxa"/>
            <w:vAlign w:val="bottom"/>
            <w:gridSpan w:val="7"/>
          </w:tcPr>
          <w:p>
            <w:pPr>
              <w:jc w:val="right"/>
              <w:ind w:right="380"/>
              <w:spacing w:after="0"/>
              <w:rPr>
                <w:sz w:val="20"/>
                <w:szCs w:val="20"/>
                <w:color w:val="auto"/>
              </w:rPr>
            </w:pPr>
            <w:r>
              <w:rPr>
                <w:rFonts w:ascii="Arial" w:cs="Arial" w:eastAsia="Arial" w:hAnsi="Arial"/>
                <w:sz w:val="14"/>
                <w:szCs w:val="14"/>
                <w:color w:val="auto"/>
              </w:rPr>
              <w:t>24.5</w:t>
            </w:r>
          </w:p>
        </w:tc>
        <w:tc>
          <w:tcPr>
            <w:tcW w:w="820" w:type="dxa"/>
            <w:vAlign w:val="bottom"/>
            <w:gridSpan w:val="8"/>
          </w:tcPr>
          <w:p>
            <w:pPr>
              <w:jc w:val="right"/>
              <w:ind w:right="380"/>
              <w:spacing w:after="0"/>
              <w:rPr>
                <w:sz w:val="20"/>
                <w:szCs w:val="20"/>
                <w:color w:val="auto"/>
              </w:rPr>
            </w:pPr>
            <w:r>
              <w:rPr>
                <w:rFonts w:ascii="Arial" w:cs="Arial" w:eastAsia="Arial" w:hAnsi="Arial"/>
                <w:sz w:val="14"/>
                <w:szCs w:val="14"/>
                <w:color w:val="auto"/>
              </w:rPr>
              <w:t>73.7</w:t>
            </w:r>
          </w:p>
        </w:tc>
        <w:tc>
          <w:tcPr>
            <w:tcW w:w="740" w:type="dxa"/>
            <w:vAlign w:val="bottom"/>
            <w:gridSpan w:val="6"/>
          </w:tcPr>
          <w:p>
            <w:pPr>
              <w:jc w:val="right"/>
              <w:ind w:right="305"/>
              <w:spacing w:after="0"/>
              <w:rPr>
                <w:sz w:val="20"/>
                <w:szCs w:val="20"/>
                <w:color w:val="auto"/>
              </w:rPr>
            </w:pPr>
            <w:r>
              <w:rPr>
                <w:rFonts w:ascii="Arial" w:cs="Arial" w:eastAsia="Arial" w:hAnsi="Arial"/>
                <w:sz w:val="14"/>
                <w:szCs w:val="14"/>
                <w:color w:val="auto"/>
              </w:rPr>
              <w:t>13.4</w:t>
            </w:r>
          </w:p>
        </w:tc>
        <w:tc>
          <w:tcPr>
            <w:tcW w:w="940" w:type="dxa"/>
            <w:vAlign w:val="bottom"/>
            <w:gridSpan w:val="9"/>
          </w:tcPr>
          <w:p>
            <w:pPr>
              <w:jc w:val="right"/>
              <w:ind w:right="540"/>
              <w:spacing w:after="0"/>
              <w:rPr>
                <w:sz w:val="20"/>
                <w:szCs w:val="20"/>
                <w:color w:val="auto"/>
              </w:rPr>
            </w:pPr>
            <w:r>
              <w:rPr>
                <w:rFonts w:ascii="Arial" w:cs="Arial" w:eastAsia="Arial" w:hAnsi="Arial"/>
                <w:sz w:val="14"/>
                <w:szCs w:val="14"/>
                <w:color w:val="auto"/>
              </w:rPr>
              <w:t>17.1</w:t>
            </w:r>
          </w:p>
        </w:tc>
        <w:tc>
          <w:tcPr>
            <w:tcW w:w="740" w:type="dxa"/>
            <w:vAlign w:val="bottom"/>
            <w:gridSpan w:val="7"/>
          </w:tcPr>
          <w:p>
            <w:pPr>
              <w:jc w:val="right"/>
              <w:ind w:right="392"/>
              <w:spacing w:after="0"/>
              <w:rPr>
                <w:sz w:val="20"/>
                <w:szCs w:val="20"/>
                <w:color w:val="auto"/>
              </w:rPr>
            </w:pPr>
            <w:r>
              <w:rPr>
                <w:rFonts w:ascii="Arial" w:cs="Arial" w:eastAsia="Arial" w:hAnsi="Arial"/>
                <w:sz w:val="14"/>
                <w:szCs w:val="14"/>
                <w:color w:val="auto"/>
                <w:w w:val="95"/>
              </w:rPr>
              <w:t>59.9</w:t>
            </w:r>
          </w:p>
        </w:tc>
        <w:tc>
          <w:tcPr>
            <w:tcW w:w="820" w:type="dxa"/>
            <w:vAlign w:val="bottom"/>
            <w:gridSpan w:val="6"/>
          </w:tcPr>
          <w:p>
            <w:pPr>
              <w:jc w:val="right"/>
              <w:ind w:right="520"/>
              <w:spacing w:after="0"/>
              <w:rPr>
                <w:sz w:val="20"/>
                <w:szCs w:val="20"/>
                <w:color w:val="auto"/>
              </w:rPr>
            </w:pPr>
            <w:r>
              <w:rPr>
                <w:rFonts w:ascii="Arial" w:cs="Arial" w:eastAsia="Arial" w:hAnsi="Arial"/>
                <w:sz w:val="14"/>
                <w:szCs w:val="14"/>
                <w:color w:val="auto"/>
              </w:rPr>
              <w:t>42.4</w:t>
            </w:r>
          </w:p>
        </w:tc>
        <w:tc>
          <w:tcPr>
            <w:tcW w:w="820" w:type="dxa"/>
            <w:vAlign w:val="bottom"/>
            <w:gridSpan w:val="8"/>
          </w:tcPr>
          <w:p>
            <w:pPr>
              <w:jc w:val="right"/>
              <w:ind w:right="520"/>
              <w:spacing w:after="0"/>
              <w:rPr>
                <w:sz w:val="20"/>
                <w:szCs w:val="20"/>
                <w:color w:val="auto"/>
              </w:rPr>
            </w:pPr>
            <w:r>
              <w:rPr>
                <w:rFonts w:ascii="Arial" w:cs="Arial" w:eastAsia="Arial" w:hAnsi="Arial"/>
                <w:sz w:val="14"/>
                <w:szCs w:val="14"/>
                <w:color w:val="auto"/>
                <w:w w:val="79"/>
              </w:rPr>
              <w:t>133.5</w:t>
            </w:r>
          </w:p>
        </w:tc>
        <w:tc>
          <w:tcPr>
            <w:tcW w:w="720" w:type="dxa"/>
            <w:vAlign w:val="bottom"/>
            <w:gridSpan w:val="5"/>
          </w:tcPr>
          <w:p>
            <w:pPr>
              <w:jc w:val="right"/>
              <w:ind w:right="392"/>
              <w:spacing w:after="0"/>
              <w:rPr>
                <w:sz w:val="20"/>
                <w:szCs w:val="20"/>
                <w:color w:val="auto"/>
              </w:rPr>
            </w:pPr>
            <w:r>
              <w:rPr>
                <w:rFonts w:ascii="Arial" w:cs="Arial" w:eastAsia="Arial" w:hAnsi="Arial"/>
                <w:sz w:val="14"/>
                <w:szCs w:val="14"/>
                <w:color w:val="auto"/>
                <w:w w:val="87"/>
              </w:rPr>
              <w:t>14.3</w:t>
            </w:r>
          </w:p>
        </w:tc>
        <w:tc>
          <w:tcPr>
            <w:tcW w:w="700" w:type="dxa"/>
            <w:vAlign w:val="bottom"/>
            <w:gridSpan w:val="7"/>
          </w:tcPr>
          <w:p>
            <w:pPr>
              <w:jc w:val="right"/>
              <w:ind w:right="400"/>
              <w:spacing w:after="0"/>
              <w:rPr>
                <w:sz w:val="20"/>
                <w:szCs w:val="20"/>
                <w:color w:val="auto"/>
              </w:rPr>
            </w:pPr>
            <w:r>
              <w:rPr>
                <w:rFonts w:ascii="Arial" w:cs="Arial" w:eastAsia="Arial" w:hAnsi="Arial"/>
                <w:sz w:val="14"/>
                <w:szCs w:val="14"/>
                <w:color w:val="auto"/>
              </w:rPr>
              <w:t>17.9</w:t>
            </w:r>
          </w:p>
        </w:tc>
        <w:tc>
          <w:tcPr>
            <w:tcW w:w="540" w:type="dxa"/>
            <w:vAlign w:val="bottom"/>
            <w:gridSpan w:val="3"/>
          </w:tcPr>
          <w:p>
            <w:pPr>
              <w:jc w:val="right"/>
              <w:ind w:right="100"/>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84"/>
        </w:trPr>
        <w:tc>
          <w:tcPr>
            <w:tcW w:w="3700" w:type="dxa"/>
            <w:vAlign w:val="bottom"/>
            <w:gridSpan w:val="6"/>
          </w:tcPr>
          <w:p>
            <w:pPr>
              <w:spacing w:after="0"/>
              <w:rPr>
                <w:sz w:val="7"/>
                <w:szCs w:val="7"/>
                <w:color w:val="auto"/>
              </w:rPr>
            </w:pPr>
          </w:p>
        </w:tc>
        <w:tc>
          <w:tcPr>
            <w:tcW w:w="500" w:type="dxa"/>
            <w:vAlign w:val="bottom"/>
            <w:tcBorders>
              <w:bottom w:val="single" w:sz="8" w:color="auto"/>
            </w:tcBorders>
            <w:gridSpan w:val="3"/>
          </w:tcPr>
          <w:p>
            <w:pPr>
              <w:spacing w:after="0"/>
              <w:rPr>
                <w:sz w:val="7"/>
                <w:szCs w:val="7"/>
                <w:color w:val="auto"/>
              </w:rPr>
            </w:pPr>
          </w:p>
        </w:tc>
        <w:tc>
          <w:tcPr>
            <w:tcW w:w="260" w:type="dxa"/>
            <w:vAlign w:val="bottom"/>
            <w:gridSpan w:val="3"/>
          </w:tcPr>
          <w:p>
            <w:pPr>
              <w:spacing w:after="0"/>
              <w:rPr>
                <w:sz w:val="7"/>
                <w:szCs w:val="7"/>
                <w:color w:val="auto"/>
              </w:rPr>
            </w:pPr>
          </w:p>
        </w:tc>
        <w:tc>
          <w:tcPr>
            <w:tcW w:w="560" w:type="dxa"/>
            <w:vAlign w:val="bottom"/>
            <w:tcBorders>
              <w:bottom w:val="single" w:sz="8" w:color="auto"/>
            </w:tcBorders>
            <w:gridSpan w:val="5"/>
          </w:tcPr>
          <w:p>
            <w:pPr>
              <w:spacing w:after="0"/>
              <w:rPr>
                <w:sz w:val="7"/>
                <w:szCs w:val="7"/>
                <w:color w:val="auto"/>
              </w:rPr>
            </w:pPr>
          </w:p>
        </w:tc>
        <w:tc>
          <w:tcPr>
            <w:tcW w:w="260" w:type="dxa"/>
            <w:vAlign w:val="bottom"/>
            <w:gridSpan w:val="2"/>
          </w:tcPr>
          <w:p>
            <w:pPr>
              <w:spacing w:after="0"/>
              <w:rPr>
                <w:sz w:val="7"/>
                <w:szCs w:val="7"/>
                <w:color w:val="auto"/>
              </w:rPr>
            </w:pPr>
          </w:p>
        </w:tc>
        <w:tc>
          <w:tcPr>
            <w:tcW w:w="500" w:type="dxa"/>
            <w:vAlign w:val="bottom"/>
            <w:tcBorders>
              <w:bottom w:val="single" w:sz="8" w:color="auto"/>
            </w:tcBorders>
            <w:gridSpan w:val="6"/>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Borders>
              <w:bottom w:val="single" w:sz="8" w:color="auto"/>
            </w:tcBorders>
            <w:gridSpan w:val="5"/>
          </w:tcPr>
          <w:p>
            <w:pPr>
              <w:spacing w:after="0"/>
              <w:rPr>
                <w:sz w:val="7"/>
                <w:szCs w:val="7"/>
                <w:color w:val="auto"/>
              </w:rPr>
            </w:pPr>
          </w:p>
        </w:tc>
        <w:tc>
          <w:tcPr>
            <w:tcW w:w="240" w:type="dxa"/>
            <w:vAlign w:val="bottom"/>
            <w:gridSpan w:val="2"/>
          </w:tcPr>
          <w:p>
            <w:pPr>
              <w:spacing w:after="0"/>
              <w:rPr>
                <w:sz w:val="7"/>
                <w:szCs w:val="7"/>
                <w:color w:val="auto"/>
              </w:rPr>
            </w:pPr>
          </w:p>
        </w:tc>
        <w:tc>
          <w:tcPr>
            <w:tcW w:w="580" w:type="dxa"/>
            <w:vAlign w:val="bottom"/>
            <w:tcBorders>
              <w:bottom w:val="single" w:sz="8" w:color="auto"/>
            </w:tcBorders>
            <w:gridSpan w:val="5"/>
          </w:tcPr>
          <w:p>
            <w:pPr>
              <w:spacing w:after="0"/>
              <w:rPr>
                <w:sz w:val="7"/>
                <w:szCs w:val="7"/>
                <w:color w:val="auto"/>
              </w:rPr>
            </w:pPr>
          </w:p>
        </w:tc>
        <w:tc>
          <w:tcPr>
            <w:tcW w:w="260" w:type="dxa"/>
            <w:vAlign w:val="bottom"/>
            <w:gridSpan w:val="4"/>
          </w:tcPr>
          <w:p>
            <w:pPr>
              <w:spacing w:after="0"/>
              <w:rPr>
                <w:sz w:val="7"/>
                <w:szCs w:val="7"/>
                <w:color w:val="auto"/>
              </w:rPr>
            </w:pPr>
          </w:p>
        </w:tc>
        <w:tc>
          <w:tcPr>
            <w:tcW w:w="500" w:type="dxa"/>
            <w:vAlign w:val="bottom"/>
            <w:tcBorders>
              <w:bottom w:val="single" w:sz="8" w:color="auto"/>
            </w:tcBorders>
            <w:gridSpan w:val="3"/>
          </w:tcPr>
          <w:p>
            <w:pPr>
              <w:spacing w:after="0"/>
              <w:rPr>
                <w:sz w:val="7"/>
                <w:szCs w:val="7"/>
                <w:color w:val="auto"/>
              </w:rPr>
            </w:pPr>
          </w:p>
        </w:tc>
        <w:tc>
          <w:tcPr>
            <w:tcW w:w="240" w:type="dxa"/>
            <w:vAlign w:val="bottom"/>
            <w:gridSpan w:val="2"/>
          </w:tcPr>
          <w:p>
            <w:pPr>
              <w:spacing w:after="0"/>
              <w:rPr>
                <w:sz w:val="7"/>
                <w:szCs w:val="7"/>
                <w:color w:val="auto"/>
              </w:rPr>
            </w:pPr>
          </w:p>
        </w:tc>
        <w:tc>
          <w:tcPr>
            <w:tcW w:w="580" w:type="dxa"/>
            <w:vAlign w:val="bottom"/>
            <w:tcBorders>
              <w:bottom w:val="single" w:sz="8" w:color="auto"/>
            </w:tcBorders>
            <w:gridSpan w:val="4"/>
          </w:tcPr>
          <w:p>
            <w:pPr>
              <w:spacing w:after="0"/>
              <w:rPr>
                <w:sz w:val="7"/>
                <w:szCs w:val="7"/>
                <w:color w:val="auto"/>
              </w:rPr>
            </w:pPr>
          </w:p>
        </w:tc>
        <w:tc>
          <w:tcPr>
            <w:tcW w:w="260" w:type="dxa"/>
            <w:vAlign w:val="bottom"/>
            <w:gridSpan w:val="4"/>
          </w:tcPr>
          <w:p>
            <w:pPr>
              <w:spacing w:after="0"/>
              <w:rPr>
                <w:sz w:val="7"/>
                <w:szCs w:val="7"/>
                <w:color w:val="auto"/>
              </w:rPr>
            </w:pPr>
          </w:p>
        </w:tc>
        <w:tc>
          <w:tcPr>
            <w:tcW w:w="520" w:type="dxa"/>
            <w:vAlign w:val="bottom"/>
            <w:tcBorders>
              <w:bottom w:val="single" w:sz="8" w:color="auto"/>
            </w:tcBorders>
            <w:gridSpan w:val="4"/>
          </w:tcPr>
          <w:p>
            <w:pPr>
              <w:spacing w:after="0"/>
              <w:rPr>
                <w:sz w:val="7"/>
                <w:szCs w:val="7"/>
                <w:color w:val="auto"/>
              </w:rPr>
            </w:pPr>
          </w:p>
        </w:tc>
        <w:tc>
          <w:tcPr>
            <w:tcW w:w="260" w:type="dxa"/>
            <w:vAlign w:val="bottom"/>
            <w:gridSpan w:val="2"/>
          </w:tcPr>
          <w:p>
            <w:pPr>
              <w:spacing w:after="0"/>
              <w:rPr>
                <w:sz w:val="7"/>
                <w:szCs w:val="7"/>
                <w:color w:val="auto"/>
              </w:rPr>
            </w:pPr>
          </w:p>
        </w:tc>
        <w:tc>
          <w:tcPr>
            <w:tcW w:w="500" w:type="dxa"/>
            <w:vAlign w:val="bottom"/>
            <w:tcBorders>
              <w:bottom w:val="single" w:sz="8" w:color="auto"/>
            </w:tcBorders>
            <w:gridSpan w:val="3"/>
          </w:tcPr>
          <w:p>
            <w:pPr>
              <w:spacing w:after="0"/>
              <w:rPr>
                <w:sz w:val="7"/>
                <w:szCs w:val="7"/>
                <w:color w:val="auto"/>
              </w:rPr>
            </w:pPr>
          </w:p>
        </w:tc>
        <w:tc>
          <w:tcPr>
            <w:tcW w:w="260" w:type="dxa"/>
            <w:vAlign w:val="bottom"/>
            <w:gridSpan w:val="3"/>
          </w:tcPr>
          <w:p>
            <w:pPr>
              <w:spacing w:after="0"/>
              <w:rPr>
                <w:sz w:val="7"/>
                <w:szCs w:val="7"/>
                <w:color w:val="auto"/>
              </w:rPr>
            </w:pPr>
          </w:p>
        </w:tc>
        <w:tc>
          <w:tcPr>
            <w:tcW w:w="580" w:type="dxa"/>
            <w:vAlign w:val="bottom"/>
            <w:tcBorders>
              <w:bottom w:val="single" w:sz="8" w:color="auto"/>
            </w:tcBorders>
            <w:gridSpan w:val="4"/>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1420" w:type="dxa"/>
            <w:vAlign w:val="bottom"/>
            <w:gridSpan w:val="73"/>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$ 1,989.7</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7,871.0</w:t>
            </w:r>
          </w:p>
        </w:tc>
        <w:tc>
          <w:tcPr>
            <w:tcW w:w="60" w:type="dxa"/>
            <w:vAlign w:val="bottom"/>
            <w:shd w:val="clear" w:color="auto" w:fill="CCEEFF"/>
          </w:tcPr>
          <w:p>
            <w:pPr>
              <w:spacing w:after="0"/>
              <w:rPr>
                <w:sz w:val="12"/>
                <w:szCs w:val="12"/>
                <w:color w:val="auto"/>
              </w:rPr>
            </w:pPr>
          </w:p>
        </w:tc>
        <w:tc>
          <w:tcPr>
            <w:tcW w:w="7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$ 2,178.8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$ 2,230.2</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8,512.6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$ 2,072.7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8,170.9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$ 2,256.0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$ 2,313.2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8,823.1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00" w:type="dxa"/>
            <w:vAlign w:val="bottom"/>
            <w:gridSpan w:val="6"/>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60" w:type="dxa"/>
            <w:vAlign w:val="bottom"/>
            <w:tcBorders>
              <w:bottom w:val="single" w:sz="8" w:color="auto"/>
            </w:tcBorders>
            <w:gridSpan w:val="5"/>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6"/>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gridSpan w:val="5"/>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5"/>
          </w:tcPr>
          <w:p>
            <w:pPr>
              <w:spacing w:after="0"/>
              <w:rPr>
                <w:sz w:val="9"/>
                <w:szCs w:val="9"/>
                <w:color w:val="auto"/>
              </w:rPr>
            </w:pPr>
          </w:p>
        </w:tc>
        <w:tc>
          <w:tcPr>
            <w:tcW w:w="260" w:type="dxa"/>
            <w:vAlign w:val="bottom"/>
            <w:gridSpan w:val="4"/>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260" w:type="dxa"/>
            <w:vAlign w:val="bottom"/>
            <w:gridSpan w:val="4"/>
          </w:tcPr>
          <w:p>
            <w:pPr>
              <w:spacing w:after="0"/>
              <w:rPr>
                <w:sz w:val="9"/>
                <w:szCs w:val="9"/>
                <w:color w:val="auto"/>
              </w:rPr>
            </w:pPr>
          </w:p>
        </w:tc>
        <w:tc>
          <w:tcPr>
            <w:tcW w:w="520" w:type="dxa"/>
            <w:vAlign w:val="bottom"/>
            <w:tcBorders>
              <w:bottom w:val="single" w:sz="8" w:color="auto"/>
            </w:tcBorders>
            <w:gridSpan w:val="4"/>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3700" w:type="dxa"/>
            <w:vAlign w:val="bottom"/>
            <w:gridSpan w:val="6"/>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60" w:type="dxa"/>
            <w:vAlign w:val="bottom"/>
            <w:tcBorders>
              <w:bottom w:val="single" w:sz="8" w:color="auto"/>
            </w:tcBorders>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500" w:type="dxa"/>
            <w:vAlign w:val="bottom"/>
            <w:tcBorders>
              <w:bottom w:val="single" w:sz="8" w:color="auto"/>
            </w:tcBorders>
            <w:gridSpan w:val="6"/>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gridSpan w:val="5"/>
          </w:tcPr>
          <w:p>
            <w:pPr>
              <w:spacing w:after="0"/>
              <w:rPr>
                <w:sz w:val="24"/>
                <w:szCs w:val="24"/>
                <w:color w:val="auto"/>
              </w:rPr>
            </w:pPr>
          </w:p>
        </w:tc>
        <w:tc>
          <w:tcPr>
            <w:tcW w:w="240" w:type="dxa"/>
            <w:vAlign w:val="bottom"/>
            <w:gridSpan w:val="2"/>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260" w:type="dxa"/>
            <w:vAlign w:val="bottom"/>
            <w:gridSpan w:val="4"/>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580" w:type="dxa"/>
            <w:vAlign w:val="bottom"/>
            <w:tcBorders>
              <w:bottom w:val="single" w:sz="8" w:color="auto"/>
            </w:tcBorders>
            <w:gridSpan w:val="4"/>
          </w:tcPr>
          <w:p>
            <w:pPr>
              <w:spacing w:after="0"/>
              <w:rPr>
                <w:sz w:val="24"/>
                <w:szCs w:val="24"/>
                <w:color w:val="auto"/>
              </w:rPr>
            </w:pPr>
          </w:p>
        </w:tc>
        <w:tc>
          <w:tcPr>
            <w:tcW w:w="260" w:type="dxa"/>
            <w:vAlign w:val="bottom"/>
            <w:gridSpan w:val="4"/>
          </w:tcPr>
          <w:p>
            <w:pPr>
              <w:spacing w:after="0"/>
              <w:rPr>
                <w:sz w:val="24"/>
                <w:szCs w:val="24"/>
                <w:color w:val="auto"/>
              </w:rPr>
            </w:pPr>
          </w:p>
        </w:tc>
        <w:tc>
          <w:tcPr>
            <w:tcW w:w="520" w:type="dxa"/>
            <w:vAlign w:val="bottom"/>
            <w:tcBorders>
              <w:bottom w:val="single" w:sz="8" w:color="auto"/>
            </w:tcBorders>
            <w:gridSpan w:val="4"/>
          </w:tcPr>
          <w:p>
            <w:pPr>
              <w:spacing w:after="0"/>
              <w:rPr>
                <w:sz w:val="24"/>
                <w:szCs w:val="24"/>
                <w:color w:val="auto"/>
              </w:rPr>
            </w:pPr>
          </w:p>
        </w:tc>
        <w:tc>
          <w:tcPr>
            <w:tcW w:w="260" w:type="dxa"/>
            <w:vAlign w:val="bottom"/>
            <w:gridSpan w:val="2"/>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80" w:type="dxa"/>
            <w:vAlign w:val="bottom"/>
            <w:tcBorders>
              <w:bottom w:val="single" w:sz="8" w:color="auto"/>
            </w:tcBorders>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WESTERNGECO</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331.7</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1,476.0</w:t>
            </w:r>
          </w:p>
        </w:tc>
        <w:tc>
          <w:tcPr>
            <w:tcW w:w="6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262.8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307.6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1,183.0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1,476.0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262.8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307.6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1,183.0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00" w:type="dxa"/>
            <w:vAlign w:val="bottom"/>
            <w:gridSpan w:val="6"/>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60" w:type="dxa"/>
            <w:vAlign w:val="bottom"/>
            <w:tcBorders>
              <w:bottom w:val="single" w:sz="8" w:color="auto"/>
            </w:tcBorders>
            <w:gridSpan w:val="5"/>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6"/>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gridSpan w:val="5"/>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5"/>
          </w:tcPr>
          <w:p>
            <w:pPr>
              <w:spacing w:after="0"/>
              <w:rPr>
                <w:sz w:val="9"/>
                <w:szCs w:val="9"/>
                <w:color w:val="auto"/>
              </w:rPr>
            </w:pPr>
          </w:p>
        </w:tc>
        <w:tc>
          <w:tcPr>
            <w:tcW w:w="260" w:type="dxa"/>
            <w:vAlign w:val="bottom"/>
            <w:gridSpan w:val="4"/>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260" w:type="dxa"/>
            <w:vAlign w:val="bottom"/>
            <w:gridSpan w:val="4"/>
          </w:tcPr>
          <w:p>
            <w:pPr>
              <w:spacing w:after="0"/>
              <w:rPr>
                <w:sz w:val="9"/>
                <w:szCs w:val="9"/>
                <w:color w:val="auto"/>
              </w:rPr>
            </w:pPr>
          </w:p>
        </w:tc>
        <w:tc>
          <w:tcPr>
            <w:tcW w:w="520" w:type="dxa"/>
            <w:vAlign w:val="bottom"/>
            <w:tcBorders>
              <w:bottom w:val="single" w:sz="8" w:color="auto"/>
            </w:tcBorders>
            <w:gridSpan w:val="4"/>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3700" w:type="dxa"/>
            <w:vAlign w:val="bottom"/>
            <w:gridSpan w:val="6"/>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60" w:type="dxa"/>
            <w:vAlign w:val="bottom"/>
            <w:tcBorders>
              <w:bottom w:val="single" w:sz="8" w:color="auto"/>
            </w:tcBorders>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500" w:type="dxa"/>
            <w:vAlign w:val="bottom"/>
            <w:tcBorders>
              <w:bottom w:val="single" w:sz="8" w:color="auto"/>
            </w:tcBorders>
            <w:gridSpan w:val="6"/>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gridSpan w:val="5"/>
          </w:tcPr>
          <w:p>
            <w:pPr>
              <w:spacing w:after="0"/>
              <w:rPr>
                <w:sz w:val="24"/>
                <w:szCs w:val="24"/>
                <w:color w:val="auto"/>
              </w:rPr>
            </w:pPr>
          </w:p>
        </w:tc>
        <w:tc>
          <w:tcPr>
            <w:tcW w:w="240" w:type="dxa"/>
            <w:vAlign w:val="bottom"/>
            <w:gridSpan w:val="2"/>
          </w:tcPr>
          <w:p>
            <w:pPr>
              <w:spacing w:after="0"/>
              <w:rPr>
                <w:sz w:val="24"/>
                <w:szCs w:val="24"/>
                <w:color w:val="auto"/>
              </w:rPr>
            </w:pPr>
          </w:p>
        </w:tc>
        <w:tc>
          <w:tcPr>
            <w:tcW w:w="580" w:type="dxa"/>
            <w:vAlign w:val="bottom"/>
            <w:tcBorders>
              <w:bottom w:val="single" w:sz="8" w:color="auto"/>
            </w:tcBorders>
            <w:gridSpan w:val="5"/>
          </w:tcPr>
          <w:p>
            <w:pPr>
              <w:spacing w:after="0"/>
              <w:rPr>
                <w:sz w:val="24"/>
                <w:szCs w:val="24"/>
                <w:color w:val="auto"/>
              </w:rPr>
            </w:pPr>
          </w:p>
        </w:tc>
        <w:tc>
          <w:tcPr>
            <w:tcW w:w="260" w:type="dxa"/>
            <w:vAlign w:val="bottom"/>
            <w:gridSpan w:val="4"/>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580" w:type="dxa"/>
            <w:vAlign w:val="bottom"/>
            <w:tcBorders>
              <w:bottom w:val="single" w:sz="8" w:color="auto"/>
            </w:tcBorders>
            <w:gridSpan w:val="4"/>
          </w:tcPr>
          <w:p>
            <w:pPr>
              <w:spacing w:after="0"/>
              <w:rPr>
                <w:sz w:val="24"/>
                <w:szCs w:val="24"/>
                <w:color w:val="auto"/>
              </w:rPr>
            </w:pPr>
          </w:p>
        </w:tc>
        <w:tc>
          <w:tcPr>
            <w:tcW w:w="260" w:type="dxa"/>
            <w:vAlign w:val="bottom"/>
            <w:gridSpan w:val="4"/>
          </w:tcPr>
          <w:p>
            <w:pPr>
              <w:spacing w:after="0"/>
              <w:rPr>
                <w:sz w:val="24"/>
                <w:szCs w:val="24"/>
                <w:color w:val="auto"/>
              </w:rPr>
            </w:pPr>
          </w:p>
        </w:tc>
        <w:tc>
          <w:tcPr>
            <w:tcW w:w="520" w:type="dxa"/>
            <w:vAlign w:val="bottom"/>
            <w:tcBorders>
              <w:bottom w:val="single" w:sz="8" w:color="auto"/>
            </w:tcBorders>
            <w:gridSpan w:val="4"/>
          </w:tcPr>
          <w:p>
            <w:pPr>
              <w:spacing w:after="0"/>
              <w:rPr>
                <w:sz w:val="24"/>
                <w:szCs w:val="24"/>
                <w:color w:val="auto"/>
              </w:rPr>
            </w:pPr>
          </w:p>
        </w:tc>
        <w:tc>
          <w:tcPr>
            <w:tcW w:w="260" w:type="dxa"/>
            <w:vAlign w:val="bottom"/>
            <w:gridSpan w:val="2"/>
          </w:tcPr>
          <w:p>
            <w:pPr>
              <w:spacing w:after="0"/>
              <w:rPr>
                <w:sz w:val="24"/>
                <w:szCs w:val="24"/>
                <w:color w:val="auto"/>
              </w:rPr>
            </w:pPr>
          </w:p>
        </w:tc>
        <w:tc>
          <w:tcPr>
            <w:tcW w:w="500" w:type="dxa"/>
            <w:vAlign w:val="bottom"/>
            <w:tcBorders>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80" w:type="dxa"/>
            <w:vAlign w:val="bottom"/>
            <w:tcBorders>
              <w:bottom w:val="single" w:sz="8" w:color="auto"/>
            </w:tcBorders>
            <w:gridSpan w:val="4"/>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SCHLUMBERGERSEMA</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812.7</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2,991.2</w:t>
            </w:r>
          </w:p>
        </w:tc>
        <w:tc>
          <w:tcPr>
            <w:tcW w:w="6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792.2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889.0</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3,314.2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2,409.4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721.1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2,677.1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700" w:type="dxa"/>
            <w:vAlign w:val="bottom"/>
            <w:gridSpan w:val="6"/>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60" w:type="dxa"/>
            <w:vAlign w:val="bottom"/>
            <w:tcBorders>
              <w:bottom w:val="single" w:sz="8" w:color="auto"/>
            </w:tcBorders>
            <w:gridSpan w:val="5"/>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6"/>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Borders>
              <w:bottom w:val="single" w:sz="8" w:color="auto"/>
            </w:tcBorders>
            <w:gridSpan w:val="5"/>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5"/>
          </w:tcPr>
          <w:p>
            <w:pPr>
              <w:spacing w:after="0"/>
              <w:rPr>
                <w:sz w:val="9"/>
                <w:szCs w:val="9"/>
                <w:color w:val="auto"/>
              </w:rPr>
            </w:pPr>
          </w:p>
        </w:tc>
        <w:tc>
          <w:tcPr>
            <w:tcW w:w="260" w:type="dxa"/>
            <w:vAlign w:val="bottom"/>
            <w:gridSpan w:val="4"/>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40" w:type="dxa"/>
            <w:vAlign w:val="bottom"/>
            <w:gridSpan w:val="2"/>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260" w:type="dxa"/>
            <w:vAlign w:val="bottom"/>
            <w:gridSpan w:val="4"/>
          </w:tcPr>
          <w:p>
            <w:pPr>
              <w:spacing w:after="0"/>
              <w:rPr>
                <w:sz w:val="9"/>
                <w:szCs w:val="9"/>
                <w:color w:val="auto"/>
              </w:rPr>
            </w:pPr>
          </w:p>
        </w:tc>
        <w:tc>
          <w:tcPr>
            <w:tcW w:w="520" w:type="dxa"/>
            <w:vAlign w:val="bottom"/>
            <w:tcBorders>
              <w:bottom w:val="single" w:sz="8" w:color="auto"/>
            </w:tcBorders>
            <w:gridSpan w:val="4"/>
          </w:tcPr>
          <w:p>
            <w:pPr>
              <w:spacing w:after="0"/>
              <w:rPr>
                <w:sz w:val="9"/>
                <w:szCs w:val="9"/>
                <w:color w:val="auto"/>
              </w:rPr>
            </w:pPr>
          </w:p>
        </w:tc>
        <w:tc>
          <w:tcPr>
            <w:tcW w:w="260" w:type="dxa"/>
            <w:vAlign w:val="bottom"/>
            <w:gridSpan w:val="2"/>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80" w:type="dxa"/>
            <w:vAlign w:val="bottom"/>
            <w:tcBorders>
              <w:bottom w:val="single" w:sz="8" w:color="auto"/>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1400" w:type="dxa"/>
            <w:vAlign w:val="bottom"/>
            <w:gridSpan w:val="72"/>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1,077.0</w:t>
            </w:r>
          </w:p>
        </w:tc>
        <w:tc>
          <w:tcPr>
            <w:tcW w:w="60" w:type="dxa"/>
            <w:vAlign w:val="bottom"/>
            <w:shd w:val="clear" w:color="auto" w:fill="CCEEFF"/>
          </w:tcPr>
          <w:p>
            <w:pPr>
              <w:spacing w:after="0"/>
              <w:rPr>
                <w:sz w:val="12"/>
                <w:szCs w:val="12"/>
                <w:color w:val="auto"/>
              </w:rPr>
            </w:pPr>
          </w:p>
        </w:tc>
        <w:tc>
          <w:tcPr>
            <w:tcW w:w="32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314.9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328.6</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1,186.1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4"/>
              </w:rPr>
              <w:t>1,334.0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409.2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1,480.2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040" w:type="dxa"/>
            <w:vAlign w:val="bottom"/>
            <w:gridSpan w:val="4"/>
          </w:tcPr>
          <w:p>
            <w:pPr>
              <w:spacing w:after="0"/>
              <w:rPr>
                <w:sz w:val="20"/>
                <w:szCs w:val="20"/>
                <w:color w:val="auto"/>
              </w:rPr>
            </w:pPr>
            <w:r>
              <w:rPr>
                <w:rFonts w:ascii="Arial" w:cs="Arial" w:eastAsia="Arial" w:hAnsi="Arial"/>
                <w:sz w:val="14"/>
                <w:szCs w:val="14"/>
                <w:color w:val="auto"/>
              </w:rPr>
              <w:t>Eliminations</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(95.4)</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(297.6)</w:t>
            </w:r>
          </w:p>
        </w:tc>
        <w:tc>
          <w:tcPr>
            <w:tcW w:w="320" w:type="dxa"/>
            <w:vAlign w:val="bottom"/>
            <w:gridSpan w:val="4"/>
          </w:tcPr>
          <w:p>
            <w:pPr>
              <w:ind w:left="200"/>
              <w:spacing w:after="0"/>
              <w:rPr>
                <w:sz w:val="20"/>
                <w:szCs w:val="20"/>
                <w:color w:val="auto"/>
              </w:rPr>
            </w:pPr>
            <w:r>
              <w:rPr>
                <w:rFonts w:ascii="Arial" w:cs="Arial" w:eastAsia="Arial" w:hAnsi="Arial"/>
                <w:sz w:val="14"/>
                <w:szCs w:val="14"/>
                <w:color w:val="auto"/>
              </w:rPr>
              <w:t>$</w:t>
            </w:r>
          </w:p>
        </w:tc>
        <w:tc>
          <w:tcPr>
            <w:tcW w:w="620" w:type="dxa"/>
            <w:vAlign w:val="bottom"/>
            <w:gridSpan w:val="4"/>
          </w:tcPr>
          <w:p>
            <w:pPr>
              <w:jc w:val="right"/>
              <w:ind w:right="132"/>
              <w:spacing w:after="0"/>
              <w:rPr>
                <w:sz w:val="20"/>
                <w:szCs w:val="20"/>
                <w:color w:val="auto"/>
              </w:rPr>
            </w:pPr>
            <w:r>
              <w:rPr>
                <w:rFonts w:ascii="Arial" w:cs="Arial" w:eastAsia="Arial" w:hAnsi="Arial"/>
                <w:sz w:val="14"/>
                <w:szCs w:val="14"/>
                <w:color w:val="auto"/>
              </w:rPr>
              <w:t>(74.4)</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4"/>
          </w:tcPr>
          <w:p>
            <w:pPr>
              <w:jc w:val="right"/>
              <w:ind w:right="160"/>
              <w:spacing w:after="0"/>
              <w:rPr>
                <w:sz w:val="20"/>
                <w:szCs w:val="20"/>
                <w:color w:val="auto"/>
              </w:rPr>
            </w:pPr>
            <w:r>
              <w:rPr>
                <w:rFonts w:ascii="Arial" w:cs="Arial" w:eastAsia="Arial" w:hAnsi="Arial"/>
                <w:sz w:val="14"/>
                <w:szCs w:val="14"/>
                <w:color w:val="auto"/>
              </w:rPr>
              <w:t>(84.6)</w:t>
            </w:r>
          </w:p>
        </w:tc>
        <w:tc>
          <w:tcPr>
            <w:tcW w:w="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5"/>
          </w:tcPr>
          <w:p>
            <w:pPr>
              <w:jc w:val="right"/>
              <w:ind w:right="80"/>
              <w:spacing w:after="0"/>
              <w:rPr>
                <w:sz w:val="20"/>
                <w:szCs w:val="20"/>
                <w:color w:val="auto"/>
              </w:rPr>
            </w:pPr>
            <w:r>
              <w:rPr>
                <w:rFonts w:ascii="Arial" w:cs="Arial" w:eastAsia="Arial" w:hAnsi="Arial"/>
                <w:sz w:val="14"/>
                <w:szCs w:val="14"/>
                <w:color w:val="auto"/>
              </w:rPr>
              <w:t>(303.3)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w w:val="87"/>
              </w:rPr>
              <w:t>(53.9)</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5"/>
          </w:tcPr>
          <w:p>
            <w:pPr>
              <w:jc w:val="right"/>
              <w:ind w:right="120"/>
              <w:spacing w:after="0"/>
              <w:rPr>
                <w:sz w:val="20"/>
                <w:szCs w:val="20"/>
                <w:color w:val="auto"/>
              </w:rPr>
            </w:pPr>
            <w:r>
              <w:rPr>
                <w:rFonts w:ascii="Arial" w:cs="Arial" w:eastAsia="Arial" w:hAnsi="Arial"/>
                <w:sz w:val="14"/>
                <w:szCs w:val="14"/>
                <w:color w:val="auto"/>
              </w:rPr>
              <w:t>(272.7)</w:t>
            </w:r>
          </w:p>
        </w:tc>
        <w:tc>
          <w:tcPr>
            <w:tcW w:w="6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14"/>
                <w:szCs w:val="14"/>
                <w:color w:val="auto"/>
                <w:w w:val="76"/>
              </w:rPr>
              <w:t>$</w:t>
            </w:r>
          </w:p>
        </w:tc>
        <w:tc>
          <w:tcPr>
            <w:tcW w:w="560" w:type="dxa"/>
            <w:vAlign w:val="bottom"/>
            <w:gridSpan w:val="4"/>
          </w:tcPr>
          <w:p>
            <w:pPr>
              <w:jc w:val="right"/>
              <w:ind w:right="80"/>
              <w:spacing w:after="0"/>
              <w:rPr>
                <w:sz w:val="20"/>
                <w:szCs w:val="20"/>
                <w:color w:val="auto"/>
              </w:rPr>
            </w:pPr>
            <w:r>
              <w:rPr>
                <w:rFonts w:ascii="Arial" w:cs="Arial" w:eastAsia="Arial" w:hAnsi="Arial"/>
                <w:sz w:val="14"/>
                <w:szCs w:val="14"/>
                <w:color w:val="auto"/>
              </w:rPr>
              <w:t>(69.7)</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w w:val="92"/>
              </w:rPr>
              <w:t>(80.3)</w:t>
            </w:r>
          </w:p>
        </w:tc>
        <w:tc>
          <w:tcPr>
            <w:tcW w:w="180" w:type="dxa"/>
            <w:vAlign w:val="bottom"/>
          </w:tcPr>
          <w:p>
            <w:pPr>
              <w:spacing w:after="0"/>
              <w:rPr>
                <w:sz w:val="24"/>
                <w:szCs w:val="2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(270.8)</w:t>
            </w:r>
          </w:p>
        </w:tc>
        <w:tc>
          <w:tcPr>
            <w:tcW w:w="0" w:type="dxa"/>
            <w:vAlign w:val="bottom"/>
          </w:tcPr>
          <w:p>
            <w:pPr>
              <w:spacing w:after="0"/>
              <w:rPr>
                <w:sz w:val="1"/>
                <w:szCs w:val="1"/>
                <w:color w:val="auto"/>
              </w:rPr>
            </w:pPr>
          </w:p>
        </w:tc>
      </w:tr>
      <w:tr>
        <w:trPr>
          <w:trHeight w:val="203"/>
        </w:trPr>
        <w:tc>
          <w:tcPr>
            <w:tcW w:w="3700" w:type="dxa"/>
            <w:vAlign w:val="bottom"/>
            <w:gridSpan w:val="6"/>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260" w:type="dxa"/>
            <w:vAlign w:val="bottom"/>
            <w:gridSpan w:val="3"/>
          </w:tcPr>
          <w:p>
            <w:pPr>
              <w:spacing w:after="0"/>
              <w:rPr>
                <w:sz w:val="17"/>
                <w:szCs w:val="17"/>
                <w:color w:val="auto"/>
              </w:rPr>
            </w:pPr>
          </w:p>
        </w:tc>
        <w:tc>
          <w:tcPr>
            <w:tcW w:w="560" w:type="dxa"/>
            <w:vAlign w:val="bottom"/>
            <w:tcBorders>
              <w:bottom w:val="single" w:sz="8" w:color="auto"/>
            </w:tcBorders>
            <w:gridSpan w:val="5"/>
          </w:tcPr>
          <w:p>
            <w:pPr>
              <w:spacing w:after="0"/>
              <w:rPr>
                <w:sz w:val="17"/>
                <w:szCs w:val="17"/>
                <w:color w:val="auto"/>
              </w:rPr>
            </w:pPr>
          </w:p>
        </w:tc>
        <w:tc>
          <w:tcPr>
            <w:tcW w:w="260" w:type="dxa"/>
            <w:vAlign w:val="bottom"/>
            <w:gridSpan w:val="2"/>
          </w:tcPr>
          <w:p>
            <w:pPr>
              <w:spacing w:after="0"/>
              <w:rPr>
                <w:sz w:val="17"/>
                <w:szCs w:val="17"/>
                <w:color w:val="auto"/>
              </w:rPr>
            </w:pPr>
          </w:p>
        </w:tc>
        <w:tc>
          <w:tcPr>
            <w:tcW w:w="500" w:type="dxa"/>
            <w:vAlign w:val="bottom"/>
            <w:tcBorders>
              <w:bottom w:val="single" w:sz="8" w:color="auto"/>
            </w:tcBorders>
            <w:gridSpan w:val="6"/>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Borders>
              <w:bottom w:val="single" w:sz="8" w:color="auto"/>
            </w:tcBorders>
            <w:gridSpan w:val="5"/>
          </w:tcPr>
          <w:p>
            <w:pPr>
              <w:spacing w:after="0"/>
              <w:rPr>
                <w:sz w:val="17"/>
                <w:szCs w:val="17"/>
                <w:color w:val="auto"/>
              </w:rPr>
            </w:pPr>
          </w:p>
        </w:tc>
        <w:tc>
          <w:tcPr>
            <w:tcW w:w="240" w:type="dxa"/>
            <w:vAlign w:val="bottom"/>
            <w:gridSpan w:val="2"/>
          </w:tcPr>
          <w:p>
            <w:pPr>
              <w:spacing w:after="0"/>
              <w:rPr>
                <w:sz w:val="17"/>
                <w:szCs w:val="17"/>
                <w:color w:val="auto"/>
              </w:rPr>
            </w:pPr>
          </w:p>
        </w:tc>
        <w:tc>
          <w:tcPr>
            <w:tcW w:w="580" w:type="dxa"/>
            <w:vAlign w:val="bottom"/>
            <w:tcBorders>
              <w:bottom w:val="single" w:sz="8" w:color="auto"/>
            </w:tcBorders>
            <w:gridSpan w:val="5"/>
          </w:tcPr>
          <w:p>
            <w:pPr>
              <w:spacing w:after="0"/>
              <w:rPr>
                <w:sz w:val="17"/>
                <w:szCs w:val="17"/>
                <w:color w:val="auto"/>
              </w:rPr>
            </w:pPr>
          </w:p>
        </w:tc>
        <w:tc>
          <w:tcPr>
            <w:tcW w:w="260" w:type="dxa"/>
            <w:vAlign w:val="bottom"/>
            <w:gridSpan w:val="4"/>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240" w:type="dxa"/>
            <w:vAlign w:val="bottom"/>
            <w:gridSpan w:val="2"/>
          </w:tcPr>
          <w:p>
            <w:pPr>
              <w:spacing w:after="0"/>
              <w:rPr>
                <w:sz w:val="17"/>
                <w:szCs w:val="17"/>
                <w:color w:val="auto"/>
              </w:rPr>
            </w:pPr>
          </w:p>
        </w:tc>
        <w:tc>
          <w:tcPr>
            <w:tcW w:w="580" w:type="dxa"/>
            <w:vAlign w:val="bottom"/>
            <w:tcBorders>
              <w:bottom w:val="single" w:sz="8" w:color="auto"/>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520" w:type="dxa"/>
            <w:vAlign w:val="bottom"/>
            <w:tcBorders>
              <w:bottom w:val="single" w:sz="8" w:color="auto"/>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500" w:type="dxa"/>
            <w:vAlign w:val="bottom"/>
            <w:tcBorders>
              <w:bottom w:val="single" w:sz="8" w:color="auto"/>
            </w:tcBorders>
            <w:gridSpan w:val="3"/>
          </w:tcPr>
          <w:p>
            <w:pPr>
              <w:spacing w:after="0"/>
              <w:rPr>
                <w:sz w:val="17"/>
                <w:szCs w:val="17"/>
                <w:color w:val="auto"/>
              </w:rPr>
            </w:pPr>
          </w:p>
        </w:tc>
        <w:tc>
          <w:tcPr>
            <w:tcW w:w="260" w:type="dxa"/>
            <w:vAlign w:val="bottom"/>
            <w:gridSpan w:val="3"/>
          </w:tcPr>
          <w:p>
            <w:pPr>
              <w:spacing w:after="0"/>
              <w:rPr>
                <w:sz w:val="17"/>
                <w:szCs w:val="17"/>
                <w:color w:val="auto"/>
              </w:rPr>
            </w:pPr>
          </w:p>
        </w:tc>
        <w:tc>
          <w:tcPr>
            <w:tcW w:w="580" w:type="dxa"/>
            <w:vAlign w:val="bottom"/>
            <w:tcBorders>
              <w:bottom w:val="single" w:sz="8" w:color="auto"/>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Revenue from Continuing Operations</w:t>
            </w:r>
          </w:p>
        </w:tc>
        <w:tc>
          <w:tcPr>
            <w:tcW w:w="116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$ 3,350.4</w:t>
            </w:r>
          </w:p>
        </w:tc>
        <w:tc>
          <w:tcPr>
            <w:tcW w:w="40" w:type="dxa"/>
            <w:vAlign w:val="bottom"/>
            <w:shd w:val="clear" w:color="auto" w:fill="CCEEFF"/>
          </w:tcPr>
          <w:p>
            <w:pPr>
              <w:spacing w:after="0"/>
              <w:rPr>
                <w:sz w:val="12"/>
                <w:szCs w:val="12"/>
                <w:color w:val="auto"/>
              </w:rPr>
            </w:pPr>
          </w:p>
        </w:tc>
        <w:tc>
          <w:tcPr>
            <w:tcW w:w="78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$ 13,117.6</w:t>
            </w:r>
          </w:p>
        </w:tc>
        <w:tc>
          <w:tcPr>
            <w:tcW w:w="60" w:type="dxa"/>
            <w:vAlign w:val="bottom"/>
            <w:shd w:val="clear" w:color="auto" w:fill="CCEEFF"/>
          </w:tcPr>
          <w:p>
            <w:pPr>
              <w:spacing w:after="0"/>
              <w:rPr>
                <w:sz w:val="12"/>
                <w:szCs w:val="12"/>
                <w:color w:val="auto"/>
              </w:rPr>
            </w:pPr>
          </w:p>
        </w:tc>
        <w:tc>
          <w:tcPr>
            <w:tcW w:w="700" w:type="dxa"/>
            <w:vAlign w:val="bottom"/>
            <w:gridSpan w:val="7"/>
            <w:shd w:val="clear" w:color="auto" w:fill="CCEEFF"/>
          </w:tcPr>
          <w:p>
            <w:pPr>
              <w:jc w:val="right"/>
              <w:spacing w:after="0" w:line="149" w:lineRule="exact"/>
              <w:rPr>
                <w:sz w:val="20"/>
                <w:szCs w:val="20"/>
                <w:color w:val="auto"/>
              </w:rPr>
            </w:pPr>
            <w:r>
              <w:rPr>
                <w:rFonts w:ascii="Arial" w:cs="Arial" w:eastAsia="Arial" w:hAnsi="Arial"/>
                <w:sz w:val="14"/>
                <w:szCs w:val="14"/>
                <w:color w:val="auto"/>
              </w:rPr>
              <w:t>$ 3,474.3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$ 3,670.8</w:t>
            </w: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$ 13,892.6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$ 3,350.4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4"/>
              </w:rPr>
              <w:t>$ 13,117.6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$ 3,474.3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$ 3,670.8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$ 13,892.6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700" w:type="dxa"/>
            <w:vAlign w:val="bottom"/>
            <w:gridSpan w:val="6"/>
          </w:tcPr>
          <w:p>
            <w:pPr>
              <w:spacing w:after="0"/>
              <w:rPr>
                <w:sz w:val="11"/>
                <w:szCs w:val="11"/>
                <w:color w:val="auto"/>
              </w:rPr>
            </w:pPr>
          </w:p>
        </w:tc>
        <w:tc>
          <w:tcPr>
            <w:tcW w:w="500" w:type="dxa"/>
            <w:vAlign w:val="bottom"/>
            <w:tcBorders>
              <w:bottom w:val="single" w:sz="8" w:color="auto"/>
            </w:tcBorders>
            <w:gridSpan w:val="3"/>
          </w:tcPr>
          <w:p>
            <w:pPr>
              <w:spacing w:after="0"/>
              <w:rPr>
                <w:sz w:val="11"/>
                <w:szCs w:val="11"/>
                <w:color w:val="auto"/>
              </w:rPr>
            </w:pPr>
          </w:p>
        </w:tc>
        <w:tc>
          <w:tcPr>
            <w:tcW w:w="240" w:type="dxa"/>
            <w:vAlign w:val="bottom"/>
            <w:gridSpan w:val="2"/>
          </w:tcPr>
          <w:p>
            <w:pPr>
              <w:spacing w:after="0"/>
              <w:rPr>
                <w:sz w:val="11"/>
                <w:szCs w:val="11"/>
                <w:color w:val="auto"/>
              </w:rPr>
            </w:pPr>
          </w:p>
        </w:tc>
        <w:tc>
          <w:tcPr>
            <w:tcW w:w="580" w:type="dxa"/>
            <w:vAlign w:val="bottom"/>
            <w:tcBorders>
              <w:bottom w:val="single" w:sz="8" w:color="auto"/>
            </w:tcBorders>
            <w:gridSpan w:val="6"/>
          </w:tcPr>
          <w:p>
            <w:pPr>
              <w:spacing w:after="0"/>
              <w:rPr>
                <w:sz w:val="11"/>
                <w:szCs w:val="11"/>
                <w:color w:val="auto"/>
              </w:rPr>
            </w:pPr>
          </w:p>
        </w:tc>
        <w:tc>
          <w:tcPr>
            <w:tcW w:w="260" w:type="dxa"/>
            <w:vAlign w:val="bottom"/>
            <w:gridSpan w:val="2"/>
          </w:tcPr>
          <w:p>
            <w:pPr>
              <w:spacing w:after="0"/>
              <w:rPr>
                <w:sz w:val="11"/>
                <w:szCs w:val="11"/>
                <w:color w:val="auto"/>
              </w:rPr>
            </w:pPr>
          </w:p>
        </w:tc>
        <w:tc>
          <w:tcPr>
            <w:tcW w:w="500" w:type="dxa"/>
            <w:vAlign w:val="bottom"/>
            <w:tcBorders>
              <w:bottom w:val="single" w:sz="8" w:color="auto"/>
            </w:tcBorders>
            <w:gridSpan w:val="6"/>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Borders>
              <w:bottom w:val="single" w:sz="8" w:color="auto"/>
            </w:tcBorders>
            <w:gridSpan w:val="5"/>
          </w:tcPr>
          <w:p>
            <w:pPr>
              <w:spacing w:after="0"/>
              <w:rPr>
                <w:sz w:val="11"/>
                <w:szCs w:val="11"/>
                <w:color w:val="auto"/>
              </w:rPr>
            </w:pPr>
          </w:p>
        </w:tc>
        <w:tc>
          <w:tcPr>
            <w:tcW w:w="240" w:type="dxa"/>
            <w:vAlign w:val="bottom"/>
            <w:gridSpan w:val="2"/>
          </w:tcPr>
          <w:p>
            <w:pPr>
              <w:spacing w:after="0"/>
              <w:rPr>
                <w:sz w:val="11"/>
                <w:szCs w:val="11"/>
                <w:color w:val="auto"/>
              </w:rPr>
            </w:pPr>
          </w:p>
        </w:tc>
        <w:tc>
          <w:tcPr>
            <w:tcW w:w="580" w:type="dxa"/>
            <w:vAlign w:val="bottom"/>
            <w:tcBorders>
              <w:bottom w:val="single" w:sz="8" w:color="auto"/>
            </w:tcBorders>
            <w:gridSpan w:val="5"/>
          </w:tcPr>
          <w:p>
            <w:pPr>
              <w:spacing w:after="0"/>
              <w:rPr>
                <w:sz w:val="11"/>
                <w:szCs w:val="11"/>
                <w:color w:val="auto"/>
              </w:rPr>
            </w:pPr>
          </w:p>
        </w:tc>
        <w:tc>
          <w:tcPr>
            <w:tcW w:w="240" w:type="dxa"/>
            <w:vAlign w:val="bottom"/>
            <w:gridSpan w:val="3"/>
          </w:tcPr>
          <w:p>
            <w:pPr>
              <w:spacing w:after="0"/>
              <w:rPr>
                <w:sz w:val="11"/>
                <w:szCs w:val="11"/>
                <w:color w:val="auto"/>
              </w:rPr>
            </w:pPr>
          </w:p>
        </w:tc>
        <w:tc>
          <w:tcPr>
            <w:tcW w:w="520" w:type="dxa"/>
            <w:vAlign w:val="bottom"/>
            <w:tcBorders>
              <w:bottom w:val="single" w:sz="8" w:color="auto"/>
            </w:tcBorders>
            <w:gridSpan w:val="4"/>
          </w:tcPr>
          <w:p>
            <w:pPr>
              <w:spacing w:after="0"/>
              <w:rPr>
                <w:sz w:val="11"/>
                <w:szCs w:val="11"/>
                <w:color w:val="auto"/>
              </w:rPr>
            </w:pPr>
          </w:p>
        </w:tc>
        <w:tc>
          <w:tcPr>
            <w:tcW w:w="240" w:type="dxa"/>
            <w:vAlign w:val="bottom"/>
            <w:gridSpan w:val="2"/>
          </w:tcPr>
          <w:p>
            <w:pPr>
              <w:spacing w:after="0"/>
              <w:rPr>
                <w:sz w:val="11"/>
                <w:szCs w:val="11"/>
                <w:color w:val="auto"/>
              </w:rPr>
            </w:pPr>
          </w:p>
        </w:tc>
        <w:tc>
          <w:tcPr>
            <w:tcW w:w="600" w:type="dxa"/>
            <w:vAlign w:val="bottom"/>
            <w:tcBorders>
              <w:bottom w:val="single" w:sz="8" w:color="auto"/>
            </w:tcBorders>
            <w:gridSpan w:val="5"/>
          </w:tcPr>
          <w:p>
            <w:pPr>
              <w:spacing w:after="0"/>
              <w:rPr>
                <w:sz w:val="11"/>
                <w:szCs w:val="11"/>
                <w:color w:val="auto"/>
              </w:rPr>
            </w:pPr>
          </w:p>
        </w:tc>
        <w:tc>
          <w:tcPr>
            <w:tcW w:w="240" w:type="dxa"/>
            <w:vAlign w:val="bottom"/>
            <w:gridSpan w:val="3"/>
          </w:tcPr>
          <w:p>
            <w:pPr>
              <w:spacing w:after="0"/>
              <w:rPr>
                <w:sz w:val="11"/>
                <w:szCs w:val="11"/>
                <w:color w:val="auto"/>
              </w:rPr>
            </w:pPr>
          </w:p>
        </w:tc>
        <w:tc>
          <w:tcPr>
            <w:tcW w:w="520" w:type="dxa"/>
            <w:vAlign w:val="bottom"/>
            <w:tcBorders>
              <w:bottom w:val="single" w:sz="8" w:color="auto"/>
            </w:tcBorders>
            <w:gridSpan w:val="4"/>
          </w:tcPr>
          <w:p>
            <w:pPr>
              <w:spacing w:after="0"/>
              <w:rPr>
                <w:sz w:val="11"/>
                <w:szCs w:val="11"/>
                <w:color w:val="auto"/>
              </w:rPr>
            </w:pPr>
          </w:p>
        </w:tc>
        <w:tc>
          <w:tcPr>
            <w:tcW w:w="260" w:type="dxa"/>
            <w:vAlign w:val="bottom"/>
            <w:gridSpan w:val="2"/>
          </w:tcPr>
          <w:p>
            <w:pPr>
              <w:spacing w:after="0"/>
              <w:rPr>
                <w:sz w:val="11"/>
                <w:szCs w:val="11"/>
                <w:color w:val="auto"/>
              </w:rPr>
            </w:pPr>
          </w:p>
        </w:tc>
        <w:tc>
          <w:tcPr>
            <w:tcW w:w="520" w:type="dxa"/>
            <w:vAlign w:val="bottom"/>
            <w:tcBorders>
              <w:bottom w:val="single" w:sz="8" w:color="auto"/>
            </w:tcBorders>
            <w:gridSpan w:val="4"/>
          </w:tcPr>
          <w:p>
            <w:pPr>
              <w:spacing w:after="0"/>
              <w:rPr>
                <w:sz w:val="11"/>
                <w:szCs w:val="11"/>
                <w:color w:val="auto"/>
              </w:rPr>
            </w:pPr>
          </w:p>
        </w:tc>
        <w:tc>
          <w:tcPr>
            <w:tcW w:w="240" w:type="dxa"/>
            <w:vAlign w:val="bottom"/>
            <w:gridSpan w:val="2"/>
          </w:tcPr>
          <w:p>
            <w:pPr>
              <w:spacing w:after="0"/>
              <w:rPr>
                <w:sz w:val="11"/>
                <w:szCs w:val="11"/>
                <w:color w:val="auto"/>
              </w:rPr>
            </w:pPr>
          </w:p>
        </w:tc>
        <w:tc>
          <w:tcPr>
            <w:tcW w:w="600" w:type="dxa"/>
            <w:vAlign w:val="bottom"/>
            <w:tcBorders>
              <w:bottom w:val="single" w:sz="8" w:color="auto"/>
            </w:tcBorders>
            <w:gridSpan w:val="5"/>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9280" w:type="dxa"/>
            <w:vAlign w:val="bottom"/>
            <w:gridSpan w:val="56"/>
          </w:tcPr>
          <w:p>
            <w:pPr>
              <w:spacing w:after="0"/>
              <w:rPr>
                <w:sz w:val="20"/>
                <w:szCs w:val="20"/>
                <w:color w:val="auto"/>
              </w:rPr>
            </w:pPr>
            <w:r>
              <w:rPr>
                <w:rFonts w:ascii="Arial" w:cs="Arial" w:eastAsia="Arial" w:hAnsi="Arial"/>
                <w:sz w:val="14"/>
                <w:szCs w:val="14"/>
                <w:b w:val="1"/>
                <w:bCs w:val="1"/>
                <w:color w:val="auto"/>
              </w:rPr>
              <w:t>Previous</w:t>
            </w:r>
          </w:p>
        </w:tc>
        <w:tc>
          <w:tcPr>
            <w:tcW w:w="2140" w:type="dxa"/>
            <w:vAlign w:val="bottom"/>
            <w:gridSpan w:val="17"/>
          </w:tcPr>
          <w:p>
            <w:pPr>
              <w:jc w:val="right"/>
              <w:ind w:right="1640"/>
              <w:spacing w:after="0"/>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74"/>
        </w:trPr>
        <w:tc>
          <w:tcPr>
            <w:tcW w:w="9200" w:type="dxa"/>
            <w:vAlign w:val="bottom"/>
            <w:gridSpan w:val="55"/>
          </w:tcPr>
          <w:p>
            <w:pPr>
              <w:spacing w:after="0"/>
              <w:rPr>
                <w:sz w:val="20"/>
                <w:szCs w:val="20"/>
                <w:color w:val="auto"/>
              </w:rPr>
            </w:pPr>
            <w:r>
              <w:rPr>
                <w:rFonts w:ascii="Arial" w:cs="Arial" w:eastAsia="Arial" w:hAnsi="Arial"/>
                <w:sz w:val="14"/>
                <w:szCs w:val="14"/>
                <w:b w:val="1"/>
                <w:bCs w:val="1"/>
                <w:color w:val="auto"/>
              </w:rPr>
              <w:t>Structure</w:t>
            </w:r>
          </w:p>
        </w:tc>
        <w:tc>
          <w:tcPr>
            <w:tcW w:w="2220" w:type="dxa"/>
            <w:vAlign w:val="bottom"/>
            <w:gridSpan w:val="18"/>
          </w:tcPr>
          <w:p>
            <w:pPr>
              <w:jc w:val="right"/>
              <w:ind w:right="1600"/>
              <w:spacing w:after="0"/>
              <w:rPr>
                <w:sz w:val="20"/>
                <w:szCs w:val="20"/>
                <w:color w:val="auto"/>
              </w:rPr>
            </w:pPr>
            <w:r>
              <w:rPr>
                <w:rFonts w:ascii="Arial" w:cs="Arial" w:eastAsia="Arial" w:hAnsi="Arial"/>
                <w:sz w:val="14"/>
                <w:szCs w:val="14"/>
                <w:b w:val="1"/>
                <w:bCs w:val="1"/>
                <w:color w:val="auto"/>
                <w:w w:val="96"/>
              </w:rPr>
              <w:t>Structure</w:t>
            </w:r>
          </w:p>
        </w:tc>
        <w:tc>
          <w:tcPr>
            <w:tcW w:w="0" w:type="dxa"/>
            <w:vAlign w:val="bottom"/>
          </w:tcPr>
          <w:p>
            <w:pPr>
              <w:spacing w:after="0"/>
              <w:rPr>
                <w:sz w:val="1"/>
                <w:szCs w:val="1"/>
                <w:color w:val="auto"/>
              </w:rPr>
            </w:pPr>
          </w:p>
        </w:tc>
      </w:tr>
      <w:tr>
        <w:trPr>
          <w:trHeight w:val="95"/>
        </w:trPr>
        <w:tc>
          <w:tcPr>
            <w:tcW w:w="680" w:type="dxa"/>
            <w:vAlign w:val="bottom"/>
            <w:gridSpan w:val="3"/>
          </w:tcPr>
          <w:p>
            <w:pPr>
              <w:spacing w:after="0"/>
              <w:rPr>
                <w:sz w:val="8"/>
                <w:szCs w:val="8"/>
                <w:color w:val="auto"/>
              </w:rPr>
            </w:pPr>
          </w:p>
        </w:tc>
        <w:tc>
          <w:tcPr>
            <w:tcW w:w="2360" w:type="dxa"/>
            <w:vAlign w:val="bottom"/>
            <w:vMerge w:val="restart"/>
          </w:tcPr>
          <w:p>
            <w:pPr>
              <w:jc w:val="center"/>
              <w:ind w:left="32"/>
              <w:spacing w:after="0"/>
              <w:rPr>
                <w:sz w:val="20"/>
                <w:szCs w:val="20"/>
                <w:color w:val="auto"/>
              </w:rPr>
            </w:pPr>
            <w:r>
              <w:rPr>
                <w:rFonts w:ascii="Arial" w:cs="Arial" w:eastAsia="Arial" w:hAnsi="Arial"/>
                <w:sz w:val="14"/>
                <w:szCs w:val="14"/>
                <w:b w:val="1"/>
                <w:bCs w:val="1"/>
                <w:color w:val="auto"/>
              </w:rPr>
              <w:t>INCOME FROM CONTINUING</w:t>
            </w:r>
          </w:p>
        </w:tc>
        <w:tc>
          <w:tcPr>
            <w:tcW w:w="920" w:type="dxa"/>
            <w:vAlign w:val="bottom"/>
            <w:gridSpan w:val="4"/>
          </w:tcPr>
          <w:p>
            <w:pPr>
              <w:spacing w:after="0"/>
              <w:rPr>
                <w:sz w:val="8"/>
                <w:szCs w:val="8"/>
                <w:color w:val="auto"/>
              </w:rPr>
            </w:pPr>
          </w:p>
        </w:tc>
        <w:tc>
          <w:tcPr>
            <w:tcW w:w="3520" w:type="dxa"/>
            <w:vAlign w:val="bottom"/>
            <w:tcBorders>
              <w:bottom w:val="single" w:sz="8" w:color="auto"/>
            </w:tcBorders>
            <w:gridSpan w:val="31"/>
          </w:tcPr>
          <w:p>
            <w:pPr>
              <w:spacing w:after="0"/>
              <w:rPr>
                <w:sz w:val="8"/>
                <w:szCs w:val="8"/>
                <w:color w:val="auto"/>
              </w:rPr>
            </w:pPr>
          </w:p>
        </w:tc>
        <w:tc>
          <w:tcPr>
            <w:tcW w:w="260" w:type="dxa"/>
            <w:vAlign w:val="bottom"/>
            <w:gridSpan w:val="4"/>
          </w:tcPr>
          <w:p>
            <w:pPr>
              <w:spacing w:after="0"/>
              <w:rPr>
                <w:sz w:val="8"/>
                <w:szCs w:val="8"/>
                <w:color w:val="auto"/>
              </w:rPr>
            </w:pPr>
          </w:p>
        </w:tc>
        <w:tc>
          <w:tcPr>
            <w:tcW w:w="3580" w:type="dxa"/>
            <w:vAlign w:val="bottom"/>
            <w:tcBorders>
              <w:bottom w:val="single" w:sz="8" w:color="auto"/>
            </w:tcBorders>
            <w:gridSpan w:val="28"/>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80" w:type="dxa"/>
            <w:vAlign w:val="bottom"/>
            <w:gridSpan w:val="3"/>
          </w:tcPr>
          <w:p>
            <w:pPr>
              <w:spacing w:after="0"/>
              <w:rPr>
                <w:sz w:val="7"/>
                <w:szCs w:val="7"/>
                <w:color w:val="auto"/>
              </w:rPr>
            </w:pPr>
          </w:p>
        </w:tc>
        <w:tc>
          <w:tcPr>
            <w:tcW w:w="2360" w:type="dxa"/>
            <w:vAlign w:val="bottom"/>
            <w:vMerge w:val="continue"/>
          </w:tcPr>
          <w:p>
            <w:pPr>
              <w:spacing w:after="0"/>
              <w:rPr>
                <w:sz w:val="7"/>
                <w:szCs w:val="7"/>
                <w:color w:val="auto"/>
              </w:rPr>
            </w:pPr>
          </w:p>
        </w:tc>
        <w:tc>
          <w:tcPr>
            <w:tcW w:w="8380" w:type="dxa"/>
            <w:vAlign w:val="bottom"/>
            <w:gridSpan w:val="69"/>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40" w:type="dxa"/>
            <w:vAlign w:val="bottom"/>
            <w:gridSpan w:val="10"/>
          </w:tcPr>
          <w:p>
            <w:pPr>
              <w:spacing w:after="0"/>
              <w:rPr>
                <w:sz w:val="20"/>
                <w:szCs w:val="20"/>
                <w:color w:val="auto"/>
              </w:rPr>
            </w:pPr>
            <w:r>
              <w:rPr>
                <w:rFonts w:ascii="Arial" w:cs="Arial" w:eastAsia="Arial" w:hAnsi="Arial"/>
                <w:sz w:val="14"/>
                <w:szCs w:val="14"/>
                <w:b w:val="1"/>
                <w:bCs w:val="1"/>
                <w:color w:val="auto"/>
              </w:rPr>
              <w:t>OPERATIONS</w:t>
            </w:r>
          </w:p>
        </w:tc>
        <w:tc>
          <w:tcPr>
            <w:tcW w:w="2140" w:type="dxa"/>
            <w:vAlign w:val="bottom"/>
            <w:gridSpan w:val="20"/>
          </w:tcPr>
          <w:p>
            <w:pPr>
              <w:jc w:val="right"/>
              <w:ind w:right="1600"/>
              <w:spacing w:after="0"/>
              <w:rPr>
                <w:sz w:val="20"/>
                <w:szCs w:val="20"/>
                <w:color w:val="auto"/>
              </w:rPr>
            </w:pPr>
            <w:r>
              <w:rPr>
                <w:rFonts w:ascii="Arial" w:cs="Arial" w:eastAsia="Arial" w:hAnsi="Arial"/>
                <w:sz w:val="14"/>
                <w:szCs w:val="14"/>
                <w:b w:val="1"/>
                <w:bCs w:val="1"/>
                <w:color w:val="auto"/>
              </w:rPr>
              <w:t>2002</w:t>
            </w:r>
          </w:p>
        </w:tc>
        <w:tc>
          <w:tcPr>
            <w:tcW w:w="1440" w:type="dxa"/>
            <w:vAlign w:val="bottom"/>
            <w:gridSpan w:val="14"/>
          </w:tcPr>
          <w:p>
            <w:pPr>
              <w:jc w:val="right"/>
              <w:ind w:right="1072"/>
              <w:spacing w:after="0"/>
              <w:rPr>
                <w:sz w:val="20"/>
                <w:szCs w:val="20"/>
                <w:color w:val="auto"/>
              </w:rPr>
            </w:pPr>
            <w:r>
              <w:rPr>
                <w:rFonts w:ascii="Arial" w:cs="Arial" w:eastAsia="Arial" w:hAnsi="Arial"/>
                <w:sz w:val="14"/>
                <w:szCs w:val="14"/>
                <w:b w:val="1"/>
                <w:bCs w:val="1"/>
                <w:color w:val="auto"/>
                <w:w w:val="89"/>
              </w:rPr>
              <w:t>2003</w:t>
            </w:r>
          </w:p>
        </w:tc>
        <w:tc>
          <w:tcPr>
            <w:tcW w:w="2360" w:type="dxa"/>
            <w:vAlign w:val="bottom"/>
            <w:gridSpan w:val="19"/>
          </w:tcPr>
          <w:p>
            <w:pPr>
              <w:jc w:val="right"/>
              <w:ind w:right="1532"/>
              <w:spacing w:after="0"/>
              <w:rPr>
                <w:sz w:val="20"/>
                <w:szCs w:val="20"/>
                <w:color w:val="auto"/>
              </w:rPr>
            </w:pPr>
            <w:r>
              <w:rPr>
                <w:rFonts w:ascii="Arial" w:cs="Arial" w:eastAsia="Arial" w:hAnsi="Arial"/>
                <w:sz w:val="14"/>
                <w:szCs w:val="14"/>
                <w:b w:val="1"/>
                <w:bCs w:val="1"/>
                <w:color w:val="auto"/>
              </w:rPr>
              <w:t>2002</w:t>
            </w:r>
          </w:p>
        </w:tc>
        <w:tc>
          <w:tcPr>
            <w:tcW w:w="124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gridSpan w:val="5"/>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2"/>
              </w:rPr>
              <w:t>Year</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95"/>
        </w:trPr>
        <w:tc>
          <w:tcPr>
            <w:tcW w:w="3960" w:type="dxa"/>
            <w:vAlign w:val="bottom"/>
            <w:gridSpan w:val="8"/>
          </w:tcPr>
          <w:p>
            <w:pPr>
              <w:spacing w:after="0"/>
              <w:rPr>
                <w:sz w:val="8"/>
                <w:szCs w:val="8"/>
                <w:color w:val="auto"/>
              </w:rPr>
            </w:pPr>
          </w:p>
        </w:tc>
        <w:tc>
          <w:tcPr>
            <w:tcW w:w="560" w:type="dxa"/>
            <w:vAlign w:val="bottom"/>
            <w:tcBorders>
              <w:bottom w:val="single" w:sz="8" w:color="auto"/>
            </w:tcBorders>
            <w:gridSpan w:val="5"/>
          </w:tcPr>
          <w:p>
            <w:pPr>
              <w:spacing w:after="0"/>
              <w:rPr>
                <w:sz w:val="8"/>
                <w:szCs w:val="8"/>
                <w:color w:val="auto"/>
              </w:rPr>
            </w:pPr>
          </w:p>
        </w:tc>
        <w:tc>
          <w:tcPr>
            <w:tcW w:w="260" w:type="dxa"/>
            <w:vAlign w:val="bottom"/>
            <w:gridSpan w:val="2"/>
          </w:tcPr>
          <w:p>
            <w:pPr>
              <w:spacing w:after="0"/>
              <w:rPr>
                <w:sz w:val="8"/>
                <w:szCs w:val="8"/>
                <w:color w:val="auto"/>
              </w:rPr>
            </w:pPr>
          </w:p>
        </w:tc>
        <w:tc>
          <w:tcPr>
            <w:tcW w:w="540" w:type="dxa"/>
            <w:vAlign w:val="bottom"/>
            <w:tcBorders>
              <w:bottom w:val="single" w:sz="8" w:color="auto"/>
            </w:tcBorders>
            <w:gridSpan w:val="5"/>
          </w:tcPr>
          <w:p>
            <w:pPr>
              <w:spacing w:after="0"/>
              <w:rPr>
                <w:sz w:val="8"/>
                <w:szCs w:val="8"/>
                <w:color w:val="auto"/>
              </w:rPr>
            </w:pPr>
          </w:p>
        </w:tc>
        <w:tc>
          <w:tcPr>
            <w:tcW w:w="260" w:type="dxa"/>
            <w:vAlign w:val="bottom"/>
            <w:gridSpan w:val="3"/>
          </w:tcPr>
          <w:p>
            <w:pPr>
              <w:spacing w:after="0"/>
              <w:rPr>
                <w:sz w:val="8"/>
                <w:szCs w:val="8"/>
                <w:color w:val="auto"/>
              </w:rPr>
            </w:pPr>
          </w:p>
        </w:tc>
        <w:tc>
          <w:tcPr>
            <w:tcW w:w="460" w:type="dxa"/>
            <w:vAlign w:val="bottom"/>
            <w:tcBorders>
              <w:bottom w:val="single" w:sz="8" w:color="auto"/>
            </w:tcBorders>
            <w:gridSpan w:val="4"/>
          </w:tcPr>
          <w:p>
            <w:pPr>
              <w:spacing w:after="0"/>
              <w:rPr>
                <w:sz w:val="8"/>
                <w:szCs w:val="8"/>
                <w:color w:val="auto"/>
              </w:rPr>
            </w:pPr>
          </w:p>
        </w:tc>
        <w:tc>
          <w:tcPr>
            <w:tcW w:w="240" w:type="dxa"/>
            <w:vAlign w:val="bottom"/>
            <w:gridSpan w:val="2"/>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260" w:type="dxa"/>
            <w:vAlign w:val="bottom"/>
            <w:gridSpan w:val="4"/>
          </w:tcPr>
          <w:p>
            <w:pPr>
              <w:spacing w:after="0"/>
              <w:rPr>
                <w:sz w:val="8"/>
                <w:szCs w:val="8"/>
                <w:color w:val="auto"/>
              </w:rPr>
            </w:pPr>
          </w:p>
        </w:tc>
        <w:tc>
          <w:tcPr>
            <w:tcW w:w="480" w:type="dxa"/>
            <w:vAlign w:val="bottom"/>
            <w:tcBorders>
              <w:bottom w:val="single" w:sz="8" w:color="auto"/>
            </w:tcBorders>
            <w:gridSpan w:val="3"/>
          </w:tcPr>
          <w:p>
            <w:pPr>
              <w:spacing w:after="0"/>
              <w:rPr>
                <w:sz w:val="8"/>
                <w:szCs w:val="8"/>
                <w:color w:val="auto"/>
              </w:rPr>
            </w:pPr>
          </w:p>
        </w:tc>
        <w:tc>
          <w:tcPr>
            <w:tcW w:w="260" w:type="dxa"/>
            <w:vAlign w:val="bottom"/>
            <w:gridSpan w:val="4"/>
          </w:tcPr>
          <w:p>
            <w:pPr>
              <w:spacing w:after="0"/>
              <w:rPr>
                <w:sz w:val="8"/>
                <w:szCs w:val="8"/>
                <w:color w:val="auto"/>
              </w:rPr>
            </w:pPr>
          </w:p>
        </w:tc>
        <w:tc>
          <w:tcPr>
            <w:tcW w:w="560" w:type="dxa"/>
            <w:vAlign w:val="bottom"/>
            <w:tcBorders>
              <w:bottom w:val="single" w:sz="8" w:color="auto"/>
            </w:tcBorders>
            <w:gridSpan w:val="3"/>
          </w:tcPr>
          <w:p>
            <w:pPr>
              <w:spacing w:after="0"/>
              <w:rPr>
                <w:sz w:val="8"/>
                <w:szCs w:val="8"/>
                <w:color w:val="auto"/>
              </w:rPr>
            </w:pPr>
          </w:p>
        </w:tc>
        <w:tc>
          <w:tcPr>
            <w:tcW w:w="260" w:type="dxa"/>
            <w:vAlign w:val="bottom"/>
            <w:gridSpan w:val="3"/>
          </w:tcPr>
          <w:p>
            <w:pPr>
              <w:spacing w:after="0"/>
              <w:rPr>
                <w:sz w:val="8"/>
                <w:szCs w:val="8"/>
                <w:color w:val="auto"/>
              </w:rPr>
            </w:pPr>
          </w:p>
        </w:tc>
        <w:tc>
          <w:tcPr>
            <w:tcW w:w="560" w:type="dxa"/>
            <w:vAlign w:val="bottom"/>
            <w:tcBorders>
              <w:bottom w:val="single" w:sz="8" w:color="auto"/>
            </w:tcBorders>
            <w:gridSpan w:val="4"/>
          </w:tcPr>
          <w:p>
            <w:pPr>
              <w:spacing w:after="0"/>
              <w:rPr>
                <w:sz w:val="8"/>
                <w:szCs w:val="8"/>
                <w:color w:val="auto"/>
              </w:rPr>
            </w:pPr>
          </w:p>
        </w:tc>
        <w:tc>
          <w:tcPr>
            <w:tcW w:w="260" w:type="dxa"/>
            <w:vAlign w:val="bottom"/>
            <w:gridSpan w:val="4"/>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260" w:type="dxa"/>
            <w:vAlign w:val="bottom"/>
            <w:gridSpan w:val="2"/>
          </w:tcPr>
          <w:p>
            <w:pPr>
              <w:spacing w:after="0"/>
              <w:rPr>
                <w:sz w:val="8"/>
                <w:szCs w:val="8"/>
                <w:color w:val="auto"/>
              </w:rPr>
            </w:pPr>
          </w:p>
        </w:tc>
        <w:tc>
          <w:tcPr>
            <w:tcW w:w="460" w:type="dxa"/>
            <w:vAlign w:val="bottom"/>
            <w:tcBorders>
              <w:bottom w:val="single" w:sz="8" w:color="auto"/>
            </w:tcBorders>
            <w:gridSpan w:val="4"/>
          </w:tcPr>
          <w:p>
            <w:pPr>
              <w:spacing w:after="0"/>
              <w:rPr>
                <w:sz w:val="8"/>
                <w:szCs w:val="8"/>
                <w:color w:val="auto"/>
              </w:rPr>
            </w:pPr>
          </w:p>
        </w:tc>
        <w:tc>
          <w:tcPr>
            <w:tcW w:w="260" w:type="dxa"/>
            <w:vAlign w:val="bottom"/>
            <w:gridSpan w:val="3"/>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400" w:type="dxa"/>
            <w:vAlign w:val="bottom"/>
            <w:gridSpan w:val="7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North America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56.2</w:t>
            </w:r>
          </w:p>
        </w:tc>
        <w:tc>
          <w:tcPr>
            <w:tcW w:w="6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79"/>
              </w:rPr>
              <w:t>278.2</w:t>
            </w:r>
          </w:p>
        </w:tc>
        <w:tc>
          <w:tcPr>
            <w:tcW w:w="6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7"/>
              </w:rPr>
              <w:t>92.2</w:t>
            </w:r>
          </w:p>
        </w:tc>
        <w:tc>
          <w:tcPr>
            <w:tcW w:w="10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104.4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361.3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90.8</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106.1</w:t>
            </w:r>
          </w:p>
        </w:tc>
        <w:tc>
          <w:tcPr>
            <w:tcW w:w="180" w:type="dxa"/>
            <w:vAlign w:val="bottom"/>
          </w:tcPr>
          <w:p>
            <w:pPr>
              <w:spacing w:after="0"/>
              <w:rPr>
                <w:sz w:val="12"/>
                <w:szCs w:val="12"/>
                <w:color w:val="auto"/>
              </w:rPr>
            </w:pPr>
          </w:p>
        </w:tc>
        <w:tc>
          <w:tcPr>
            <w:tcW w:w="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366.4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10"/>
          </w:tcPr>
          <w:p>
            <w:pPr>
              <w:spacing w:after="0"/>
              <w:rPr>
                <w:sz w:val="20"/>
                <w:szCs w:val="20"/>
                <w:color w:val="auto"/>
              </w:rPr>
            </w:pPr>
            <w:r>
              <w:rPr>
                <w:rFonts w:ascii="Arial" w:cs="Arial" w:eastAsia="Arial" w:hAnsi="Arial"/>
                <w:sz w:val="14"/>
                <w:szCs w:val="14"/>
                <w:color w:val="auto"/>
              </w:rPr>
              <w:t>Latin America</w:t>
            </w:r>
          </w:p>
        </w:tc>
        <w:tc>
          <w:tcPr>
            <w:tcW w:w="780" w:type="dxa"/>
            <w:vAlign w:val="bottom"/>
            <w:gridSpan w:val="7"/>
            <w:shd w:val="clear" w:color="auto" w:fill="CCEEFF"/>
          </w:tcPr>
          <w:p>
            <w:pPr>
              <w:jc w:val="right"/>
              <w:ind w:right="432"/>
              <w:spacing w:after="0" w:line="149" w:lineRule="exact"/>
              <w:rPr>
                <w:sz w:val="20"/>
                <w:szCs w:val="20"/>
                <w:color w:val="auto"/>
              </w:rPr>
            </w:pPr>
            <w:r>
              <w:rPr>
                <w:rFonts w:ascii="Arial" w:cs="Arial" w:eastAsia="Arial" w:hAnsi="Arial"/>
                <w:sz w:val="14"/>
                <w:szCs w:val="14"/>
                <w:color w:val="auto"/>
                <w:w w:val="95"/>
              </w:rPr>
              <w:t>50.7</w:t>
            </w:r>
          </w:p>
        </w:tc>
        <w:tc>
          <w:tcPr>
            <w:tcW w:w="760" w:type="dxa"/>
            <w:vAlign w:val="bottom"/>
            <w:gridSpan w:val="8"/>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79"/>
              </w:rPr>
              <w:t>170.0</w:t>
            </w:r>
          </w:p>
        </w:tc>
        <w:tc>
          <w:tcPr>
            <w:tcW w:w="600" w:type="dxa"/>
            <w:vAlign w:val="bottom"/>
            <w:gridSpan w:val="5"/>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7"/>
              </w:rPr>
              <w:t>62.2</w:t>
            </w:r>
          </w:p>
        </w:tc>
        <w:tc>
          <w:tcPr>
            <w:tcW w:w="700" w:type="dxa"/>
            <w:vAlign w:val="bottom"/>
            <w:gridSpan w:val="7"/>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66.6</w:t>
            </w:r>
          </w:p>
        </w:tc>
        <w:tc>
          <w:tcPr>
            <w:tcW w:w="740" w:type="dxa"/>
            <w:vAlign w:val="bottom"/>
            <w:gridSpan w:val="7"/>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221.0</w:t>
            </w:r>
          </w:p>
        </w:tc>
        <w:tc>
          <w:tcPr>
            <w:tcW w:w="820" w:type="dxa"/>
            <w:vAlign w:val="bottom"/>
            <w:gridSpan w:val="6"/>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50.4</w:t>
            </w:r>
          </w:p>
        </w:tc>
        <w:tc>
          <w:tcPr>
            <w:tcW w:w="820" w:type="dxa"/>
            <w:vAlign w:val="bottom"/>
            <w:gridSpan w:val="8"/>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168.7</w:t>
            </w:r>
          </w:p>
        </w:tc>
        <w:tc>
          <w:tcPr>
            <w:tcW w:w="720" w:type="dxa"/>
            <w:vAlign w:val="bottom"/>
            <w:gridSpan w:val="5"/>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62.1</w:t>
            </w:r>
          </w:p>
        </w:tc>
        <w:tc>
          <w:tcPr>
            <w:tcW w:w="700" w:type="dxa"/>
            <w:vAlign w:val="bottom"/>
            <w:gridSpan w:val="7"/>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66.7</w:t>
            </w:r>
          </w:p>
        </w:tc>
        <w:tc>
          <w:tcPr>
            <w:tcW w:w="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Europe/CIS/W. Africa</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5"/>
              </w:rPr>
              <w:t>64.8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79"/>
              </w:rPr>
              <w:t>375.0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108.3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438.1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382.7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115.1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460.3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Middle East &amp; Asia</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115.5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453.8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508.3</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452.9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130.9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3"/>
          </w:tcPr>
          <w:p>
            <w:pPr>
              <w:ind w:left="420"/>
              <w:spacing w:after="0"/>
              <w:rPr>
                <w:sz w:val="20"/>
                <w:szCs w:val="20"/>
                <w:color w:val="auto"/>
              </w:rPr>
            </w:pPr>
            <w:r>
              <w:rPr>
                <w:rFonts w:ascii="Arial" w:cs="Arial" w:eastAsia="Arial" w:hAnsi="Arial"/>
                <w:sz w:val="14"/>
                <w:szCs w:val="14"/>
                <w:color w:val="auto"/>
              </w:rPr>
              <w:t>Eliminations &amp; Other</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4"/>
          </w:tcPr>
          <w:p>
            <w:pPr>
              <w:jc w:val="right"/>
              <w:ind w:right="20"/>
              <w:spacing w:after="0"/>
              <w:rPr>
                <w:sz w:val="20"/>
                <w:szCs w:val="20"/>
                <w:color w:val="auto"/>
              </w:rPr>
            </w:pPr>
            <w:r>
              <w:rPr>
                <w:rFonts w:ascii="Arial" w:cs="Arial" w:eastAsia="Arial" w:hAnsi="Arial"/>
                <w:sz w:val="14"/>
                <w:szCs w:val="14"/>
                <w:color w:val="auto"/>
                <w:w w:val="81"/>
              </w:rPr>
              <w:t>(11.2)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5"/>
          </w:tcPr>
          <w:p>
            <w:pPr>
              <w:jc w:val="right"/>
              <w:ind w:right="20"/>
              <w:spacing w:after="0"/>
              <w:rPr>
                <w:sz w:val="20"/>
                <w:szCs w:val="20"/>
                <w:color w:val="auto"/>
              </w:rPr>
            </w:pPr>
            <w:r>
              <w:rPr>
                <w:rFonts w:ascii="Arial" w:cs="Arial" w:eastAsia="Arial" w:hAnsi="Arial"/>
                <w:sz w:val="14"/>
                <w:szCs w:val="14"/>
                <w:color w:val="auto"/>
                <w:w w:val="92"/>
              </w:rPr>
              <w:t>(20.4)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3"/>
          </w:tcPr>
          <w:p>
            <w:pPr>
              <w:jc w:val="right"/>
              <w:ind w:right="5"/>
              <w:spacing w:after="0"/>
              <w:rPr>
                <w:sz w:val="20"/>
                <w:szCs w:val="20"/>
                <w:color w:val="auto"/>
              </w:rPr>
            </w:pPr>
            <w:r>
              <w:rPr>
                <w:rFonts w:ascii="Arial" w:cs="Arial" w:eastAsia="Arial" w:hAnsi="Arial"/>
                <w:sz w:val="14"/>
                <w:szCs w:val="14"/>
                <w:color w:val="auto"/>
                <w:w w:val="97"/>
              </w:rPr>
              <w:t>(5.4)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4"/>
                <w:szCs w:val="14"/>
                <w:color w:val="auto"/>
              </w:rPr>
              <w:t>(30.8)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84"/>
        </w:trPr>
        <w:tc>
          <w:tcPr>
            <w:tcW w:w="3960" w:type="dxa"/>
            <w:vAlign w:val="bottom"/>
            <w:gridSpan w:val="8"/>
          </w:tcPr>
          <w:p>
            <w:pPr>
              <w:spacing w:after="0"/>
              <w:rPr>
                <w:sz w:val="7"/>
                <w:szCs w:val="7"/>
                <w:color w:val="auto"/>
              </w:rPr>
            </w:pPr>
          </w:p>
        </w:tc>
        <w:tc>
          <w:tcPr>
            <w:tcW w:w="560" w:type="dxa"/>
            <w:vAlign w:val="bottom"/>
            <w:tcBorders>
              <w:bottom w:val="single" w:sz="8" w:color="auto"/>
            </w:tcBorders>
            <w:gridSpan w:val="5"/>
          </w:tcPr>
          <w:p>
            <w:pPr>
              <w:spacing w:after="0"/>
              <w:rPr>
                <w:sz w:val="7"/>
                <w:szCs w:val="7"/>
                <w:color w:val="auto"/>
              </w:rPr>
            </w:pPr>
          </w:p>
        </w:tc>
        <w:tc>
          <w:tcPr>
            <w:tcW w:w="260" w:type="dxa"/>
            <w:vAlign w:val="bottom"/>
            <w:gridSpan w:val="2"/>
          </w:tcPr>
          <w:p>
            <w:pPr>
              <w:spacing w:after="0"/>
              <w:rPr>
                <w:sz w:val="7"/>
                <w:szCs w:val="7"/>
                <w:color w:val="auto"/>
              </w:rPr>
            </w:pPr>
          </w:p>
        </w:tc>
        <w:tc>
          <w:tcPr>
            <w:tcW w:w="540" w:type="dxa"/>
            <w:vAlign w:val="bottom"/>
            <w:tcBorders>
              <w:bottom w:val="single" w:sz="8" w:color="auto"/>
            </w:tcBorders>
            <w:gridSpan w:val="5"/>
          </w:tcPr>
          <w:p>
            <w:pPr>
              <w:spacing w:after="0"/>
              <w:rPr>
                <w:sz w:val="7"/>
                <w:szCs w:val="7"/>
                <w:color w:val="auto"/>
              </w:rPr>
            </w:pPr>
          </w:p>
        </w:tc>
        <w:tc>
          <w:tcPr>
            <w:tcW w:w="260" w:type="dxa"/>
            <w:vAlign w:val="bottom"/>
            <w:gridSpan w:val="3"/>
          </w:tcPr>
          <w:p>
            <w:pPr>
              <w:spacing w:after="0"/>
              <w:rPr>
                <w:sz w:val="7"/>
                <w:szCs w:val="7"/>
                <w:color w:val="auto"/>
              </w:rPr>
            </w:pPr>
          </w:p>
        </w:tc>
        <w:tc>
          <w:tcPr>
            <w:tcW w:w="460" w:type="dxa"/>
            <w:vAlign w:val="bottom"/>
            <w:tcBorders>
              <w:bottom w:val="single" w:sz="8" w:color="auto"/>
            </w:tcBorders>
            <w:gridSpan w:val="4"/>
          </w:tcPr>
          <w:p>
            <w:pPr>
              <w:spacing w:after="0"/>
              <w:rPr>
                <w:sz w:val="7"/>
                <w:szCs w:val="7"/>
                <w:color w:val="auto"/>
              </w:rPr>
            </w:pPr>
          </w:p>
        </w:tc>
        <w:tc>
          <w:tcPr>
            <w:tcW w:w="240" w:type="dxa"/>
            <w:vAlign w:val="bottom"/>
            <w:gridSpan w:val="2"/>
          </w:tcPr>
          <w:p>
            <w:pPr>
              <w:spacing w:after="0"/>
              <w:rPr>
                <w:sz w:val="7"/>
                <w:szCs w:val="7"/>
                <w:color w:val="auto"/>
              </w:rPr>
            </w:pPr>
          </w:p>
        </w:tc>
        <w:tc>
          <w:tcPr>
            <w:tcW w:w="460" w:type="dxa"/>
            <w:vAlign w:val="bottom"/>
            <w:tcBorders>
              <w:bottom w:val="single" w:sz="8" w:color="auto"/>
            </w:tcBorders>
            <w:gridSpan w:val="3"/>
          </w:tcPr>
          <w:p>
            <w:pPr>
              <w:spacing w:after="0"/>
              <w:rPr>
                <w:sz w:val="7"/>
                <w:szCs w:val="7"/>
                <w:color w:val="auto"/>
              </w:rPr>
            </w:pPr>
          </w:p>
        </w:tc>
        <w:tc>
          <w:tcPr>
            <w:tcW w:w="260" w:type="dxa"/>
            <w:vAlign w:val="bottom"/>
            <w:gridSpan w:val="4"/>
          </w:tcPr>
          <w:p>
            <w:pPr>
              <w:spacing w:after="0"/>
              <w:rPr>
                <w:sz w:val="7"/>
                <w:szCs w:val="7"/>
                <w:color w:val="auto"/>
              </w:rPr>
            </w:pPr>
          </w:p>
        </w:tc>
        <w:tc>
          <w:tcPr>
            <w:tcW w:w="480" w:type="dxa"/>
            <w:vAlign w:val="bottom"/>
            <w:tcBorders>
              <w:bottom w:val="single" w:sz="8" w:color="auto"/>
            </w:tcBorders>
            <w:gridSpan w:val="3"/>
          </w:tcPr>
          <w:p>
            <w:pPr>
              <w:spacing w:after="0"/>
              <w:rPr>
                <w:sz w:val="7"/>
                <w:szCs w:val="7"/>
                <w:color w:val="auto"/>
              </w:rPr>
            </w:pPr>
          </w:p>
        </w:tc>
        <w:tc>
          <w:tcPr>
            <w:tcW w:w="260" w:type="dxa"/>
            <w:vAlign w:val="bottom"/>
            <w:gridSpan w:val="4"/>
          </w:tcPr>
          <w:p>
            <w:pPr>
              <w:spacing w:after="0"/>
              <w:rPr>
                <w:sz w:val="7"/>
                <w:szCs w:val="7"/>
                <w:color w:val="auto"/>
              </w:rPr>
            </w:pPr>
          </w:p>
        </w:tc>
        <w:tc>
          <w:tcPr>
            <w:tcW w:w="560" w:type="dxa"/>
            <w:vAlign w:val="bottom"/>
            <w:tcBorders>
              <w:bottom w:val="single" w:sz="8" w:color="auto"/>
            </w:tcBorders>
            <w:gridSpan w:val="3"/>
          </w:tcPr>
          <w:p>
            <w:pPr>
              <w:spacing w:after="0"/>
              <w:rPr>
                <w:sz w:val="7"/>
                <w:szCs w:val="7"/>
                <w:color w:val="auto"/>
              </w:rPr>
            </w:pPr>
          </w:p>
        </w:tc>
        <w:tc>
          <w:tcPr>
            <w:tcW w:w="260" w:type="dxa"/>
            <w:vAlign w:val="bottom"/>
            <w:gridSpan w:val="3"/>
          </w:tcPr>
          <w:p>
            <w:pPr>
              <w:spacing w:after="0"/>
              <w:rPr>
                <w:sz w:val="7"/>
                <w:szCs w:val="7"/>
                <w:color w:val="auto"/>
              </w:rPr>
            </w:pPr>
          </w:p>
        </w:tc>
        <w:tc>
          <w:tcPr>
            <w:tcW w:w="560" w:type="dxa"/>
            <w:vAlign w:val="bottom"/>
            <w:tcBorders>
              <w:bottom w:val="single" w:sz="8" w:color="auto"/>
            </w:tcBorders>
            <w:gridSpan w:val="4"/>
          </w:tcPr>
          <w:p>
            <w:pPr>
              <w:spacing w:after="0"/>
              <w:rPr>
                <w:sz w:val="7"/>
                <w:szCs w:val="7"/>
                <w:color w:val="auto"/>
              </w:rPr>
            </w:pPr>
          </w:p>
        </w:tc>
        <w:tc>
          <w:tcPr>
            <w:tcW w:w="260" w:type="dxa"/>
            <w:vAlign w:val="bottom"/>
            <w:gridSpan w:val="4"/>
          </w:tcPr>
          <w:p>
            <w:pPr>
              <w:spacing w:after="0"/>
              <w:rPr>
                <w:sz w:val="7"/>
                <w:szCs w:val="7"/>
                <w:color w:val="auto"/>
              </w:rPr>
            </w:pPr>
          </w:p>
        </w:tc>
        <w:tc>
          <w:tcPr>
            <w:tcW w:w="460" w:type="dxa"/>
            <w:vAlign w:val="bottom"/>
            <w:tcBorders>
              <w:bottom w:val="single" w:sz="8" w:color="auto"/>
            </w:tcBorders>
            <w:gridSpan w:val="3"/>
          </w:tcPr>
          <w:p>
            <w:pPr>
              <w:spacing w:after="0"/>
              <w:rPr>
                <w:sz w:val="7"/>
                <w:szCs w:val="7"/>
                <w:color w:val="auto"/>
              </w:rPr>
            </w:pPr>
          </w:p>
        </w:tc>
        <w:tc>
          <w:tcPr>
            <w:tcW w:w="260" w:type="dxa"/>
            <w:vAlign w:val="bottom"/>
            <w:gridSpan w:val="2"/>
          </w:tcPr>
          <w:p>
            <w:pPr>
              <w:spacing w:after="0"/>
              <w:rPr>
                <w:sz w:val="7"/>
                <w:szCs w:val="7"/>
                <w:color w:val="auto"/>
              </w:rPr>
            </w:pPr>
          </w:p>
        </w:tc>
        <w:tc>
          <w:tcPr>
            <w:tcW w:w="460" w:type="dxa"/>
            <w:vAlign w:val="bottom"/>
            <w:tcBorders>
              <w:bottom w:val="single" w:sz="8" w:color="auto"/>
            </w:tcBorders>
            <w:gridSpan w:val="4"/>
          </w:tcPr>
          <w:p>
            <w:pPr>
              <w:spacing w:after="0"/>
              <w:rPr>
                <w:sz w:val="7"/>
                <w:szCs w:val="7"/>
                <w:color w:val="auto"/>
              </w:rPr>
            </w:pPr>
          </w:p>
        </w:tc>
        <w:tc>
          <w:tcPr>
            <w:tcW w:w="260" w:type="dxa"/>
            <w:vAlign w:val="bottom"/>
            <w:gridSpan w:val="3"/>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1420" w:type="dxa"/>
            <w:vAlign w:val="bottom"/>
            <w:gridSpan w:val="73"/>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276.0</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1,256.6</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392.7</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1,497.9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1,278.4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399.8</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419.6</w:t>
            </w:r>
          </w:p>
        </w:tc>
        <w:tc>
          <w:tcPr>
            <w:tcW w:w="1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$ 1,536.1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1420" w:type="dxa"/>
            <w:vAlign w:val="bottom"/>
            <w:gridSpan w:val="73"/>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60" w:type="dxa"/>
            <w:vAlign w:val="bottom"/>
            <w:gridSpan w:val="8"/>
          </w:tcPr>
          <w:p>
            <w:pPr>
              <w:spacing w:after="0"/>
              <w:rPr>
                <w:sz w:val="24"/>
                <w:szCs w:val="24"/>
                <w:color w:val="auto"/>
              </w:rPr>
            </w:pPr>
          </w:p>
        </w:tc>
        <w:tc>
          <w:tcPr>
            <w:tcW w:w="560" w:type="dxa"/>
            <w:vAlign w:val="bottom"/>
            <w:tcBorders>
              <w:top w:val="single" w:sz="8" w:color="auto"/>
              <w:bottom w:val="single" w:sz="8" w:color="auto"/>
            </w:tcBorders>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540" w:type="dxa"/>
            <w:vAlign w:val="bottom"/>
            <w:tcBorders>
              <w:top w:val="single" w:sz="8" w:color="auto"/>
              <w:bottom w:val="single" w:sz="8" w:color="auto"/>
            </w:tcBorders>
            <w:gridSpan w:val="5"/>
          </w:tcPr>
          <w:p>
            <w:pPr>
              <w:spacing w:after="0"/>
              <w:rPr>
                <w:sz w:val="24"/>
                <w:szCs w:val="24"/>
                <w:color w:val="auto"/>
              </w:rPr>
            </w:pPr>
          </w:p>
        </w:tc>
        <w:tc>
          <w:tcPr>
            <w:tcW w:w="260" w:type="dxa"/>
            <w:vAlign w:val="bottom"/>
            <w:gridSpan w:val="3"/>
          </w:tcPr>
          <w:p>
            <w:pPr>
              <w:spacing w:after="0"/>
              <w:rPr>
                <w:sz w:val="24"/>
                <w:szCs w:val="24"/>
                <w:color w:val="auto"/>
              </w:rPr>
            </w:pPr>
          </w:p>
        </w:tc>
        <w:tc>
          <w:tcPr>
            <w:tcW w:w="460" w:type="dxa"/>
            <w:vAlign w:val="bottom"/>
            <w:tcBorders>
              <w:top w:val="single" w:sz="8" w:color="auto"/>
              <w:bottom w:val="single" w:sz="8" w:color="auto"/>
            </w:tcBorders>
            <w:gridSpan w:val="4"/>
          </w:tcPr>
          <w:p>
            <w:pPr>
              <w:spacing w:after="0"/>
              <w:rPr>
                <w:sz w:val="24"/>
                <w:szCs w:val="24"/>
                <w:color w:val="auto"/>
              </w:rPr>
            </w:pPr>
          </w:p>
        </w:tc>
        <w:tc>
          <w:tcPr>
            <w:tcW w:w="240" w:type="dxa"/>
            <w:vAlign w:val="bottom"/>
            <w:gridSpan w:val="2"/>
          </w:tcPr>
          <w:p>
            <w:pPr>
              <w:spacing w:after="0"/>
              <w:rPr>
                <w:sz w:val="24"/>
                <w:szCs w:val="24"/>
                <w:color w:val="auto"/>
              </w:rPr>
            </w:pPr>
          </w:p>
        </w:tc>
        <w:tc>
          <w:tcPr>
            <w:tcW w:w="460" w:type="dxa"/>
            <w:vAlign w:val="bottom"/>
            <w:tcBorders>
              <w:top w:val="single" w:sz="8" w:color="auto"/>
              <w:bottom w:val="single" w:sz="8" w:color="auto"/>
            </w:tcBorders>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480" w:type="dxa"/>
            <w:vAlign w:val="bottom"/>
            <w:tcBorders>
              <w:top w:val="single" w:sz="8" w:color="auto"/>
              <w:bottom w:val="single" w:sz="8" w:color="auto"/>
            </w:tcBorders>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560" w:type="dxa"/>
            <w:vAlign w:val="bottom"/>
            <w:tcBorders>
              <w:top w:val="single" w:sz="8" w:color="auto"/>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60" w:type="dxa"/>
            <w:vAlign w:val="bottom"/>
            <w:tcBorders>
              <w:top w:val="single" w:sz="8" w:color="auto"/>
              <w:bottom w:val="single" w:sz="8" w:color="auto"/>
            </w:tcBorders>
            <w:gridSpan w:val="4"/>
          </w:tcPr>
          <w:p>
            <w:pPr>
              <w:spacing w:after="0"/>
              <w:rPr>
                <w:sz w:val="24"/>
                <w:szCs w:val="24"/>
                <w:color w:val="auto"/>
              </w:rPr>
            </w:pPr>
          </w:p>
        </w:tc>
        <w:tc>
          <w:tcPr>
            <w:tcW w:w="260" w:type="dxa"/>
            <w:vAlign w:val="bottom"/>
            <w:gridSpan w:val="4"/>
          </w:tcPr>
          <w:p>
            <w:pPr>
              <w:spacing w:after="0"/>
              <w:rPr>
                <w:sz w:val="24"/>
                <w:szCs w:val="24"/>
                <w:color w:val="auto"/>
              </w:rPr>
            </w:pPr>
          </w:p>
        </w:tc>
        <w:tc>
          <w:tcPr>
            <w:tcW w:w="460" w:type="dxa"/>
            <w:vAlign w:val="bottom"/>
            <w:tcBorders>
              <w:top w:val="single" w:sz="8" w:color="auto"/>
              <w:bottom w:val="single" w:sz="8" w:color="auto"/>
            </w:tcBorders>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460" w:type="dxa"/>
            <w:vAlign w:val="bottom"/>
            <w:tcBorders>
              <w:top w:val="single" w:sz="8" w:color="auto"/>
              <w:bottom w:val="single" w:sz="8" w:color="auto"/>
            </w:tcBorders>
            <w:gridSpan w:val="4"/>
          </w:tcPr>
          <w:p>
            <w:pPr>
              <w:spacing w:after="0"/>
              <w:rPr>
                <w:sz w:val="24"/>
                <w:szCs w:val="24"/>
                <w:color w:val="auto"/>
              </w:rPr>
            </w:pPr>
          </w:p>
        </w:tc>
        <w:tc>
          <w:tcPr>
            <w:tcW w:w="260" w:type="dxa"/>
            <w:vAlign w:val="bottom"/>
            <w:gridSpan w:val="3"/>
          </w:tcPr>
          <w:p>
            <w:pPr>
              <w:spacing w:after="0"/>
              <w:rPr>
                <w:sz w:val="24"/>
                <w:szCs w:val="24"/>
                <w:color w:val="auto"/>
              </w:rPr>
            </w:pPr>
          </w:p>
        </w:tc>
        <w:tc>
          <w:tcPr>
            <w:tcW w:w="500" w:type="dxa"/>
            <w:vAlign w:val="bottom"/>
            <w:tcBorders>
              <w:top w:val="single" w:sz="8" w:color="auto"/>
              <w:bottom w:val="single" w:sz="8" w:color="auto"/>
            </w:tcBorders>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WESTERNGECO</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0"/>
              </w:rPr>
              <w:t>71.3</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4"/>
            <w:shd w:val="clear" w:color="auto" w:fill="CCEEFF"/>
          </w:tcPr>
          <w:p>
            <w:pPr>
              <w:jc w:val="right"/>
              <w:ind w:right="5"/>
              <w:spacing w:after="0" w:line="149" w:lineRule="exact"/>
              <w:rPr>
                <w:sz w:val="20"/>
                <w:szCs w:val="20"/>
                <w:color w:val="auto"/>
              </w:rPr>
            </w:pPr>
            <w:r>
              <w:rPr>
                <w:rFonts w:ascii="Arial" w:cs="Arial" w:eastAsia="Arial" w:hAnsi="Arial"/>
                <w:sz w:val="14"/>
                <w:szCs w:val="14"/>
                <w:color w:val="auto"/>
              </w:rPr>
              <w:t>(36.5)</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08"/>
        </w:trPr>
        <w:tc>
          <w:tcPr>
            <w:tcW w:w="3960" w:type="dxa"/>
            <w:vAlign w:val="bottom"/>
            <w:gridSpan w:val="8"/>
          </w:tcPr>
          <w:p>
            <w:pPr>
              <w:spacing w:after="0"/>
              <w:rPr>
                <w:sz w:val="9"/>
                <w:szCs w:val="9"/>
                <w:color w:val="auto"/>
              </w:rPr>
            </w:pPr>
          </w:p>
        </w:tc>
        <w:tc>
          <w:tcPr>
            <w:tcW w:w="560" w:type="dxa"/>
            <w:vAlign w:val="bottom"/>
            <w:tcBorders>
              <w:bottom w:val="single" w:sz="8" w:color="auto"/>
            </w:tcBorders>
            <w:gridSpan w:val="5"/>
          </w:tcPr>
          <w:p>
            <w:pPr>
              <w:spacing w:after="0"/>
              <w:rPr>
                <w:sz w:val="9"/>
                <w:szCs w:val="9"/>
                <w:color w:val="auto"/>
              </w:rPr>
            </w:pPr>
          </w:p>
        </w:tc>
        <w:tc>
          <w:tcPr>
            <w:tcW w:w="260" w:type="dxa"/>
            <w:vAlign w:val="bottom"/>
            <w:gridSpan w:val="2"/>
          </w:tcPr>
          <w:p>
            <w:pPr>
              <w:spacing w:after="0"/>
              <w:rPr>
                <w:sz w:val="9"/>
                <w:szCs w:val="9"/>
                <w:color w:val="auto"/>
              </w:rPr>
            </w:pPr>
          </w:p>
        </w:tc>
        <w:tc>
          <w:tcPr>
            <w:tcW w:w="540" w:type="dxa"/>
            <w:vAlign w:val="bottom"/>
            <w:tcBorders>
              <w:bottom w:val="single" w:sz="8" w:color="auto"/>
            </w:tcBorders>
            <w:gridSpan w:val="5"/>
          </w:tcPr>
          <w:p>
            <w:pPr>
              <w:spacing w:after="0"/>
              <w:rPr>
                <w:sz w:val="9"/>
                <w:szCs w:val="9"/>
                <w:color w:val="auto"/>
              </w:rPr>
            </w:pPr>
          </w:p>
        </w:tc>
        <w:tc>
          <w:tcPr>
            <w:tcW w:w="260" w:type="dxa"/>
            <w:vAlign w:val="bottom"/>
            <w:gridSpan w:val="3"/>
          </w:tcPr>
          <w:p>
            <w:pPr>
              <w:spacing w:after="0"/>
              <w:rPr>
                <w:sz w:val="9"/>
                <w:szCs w:val="9"/>
                <w:color w:val="auto"/>
              </w:rPr>
            </w:pPr>
          </w:p>
        </w:tc>
        <w:tc>
          <w:tcPr>
            <w:tcW w:w="460" w:type="dxa"/>
            <w:vAlign w:val="bottom"/>
            <w:tcBorders>
              <w:bottom w:val="single" w:sz="8" w:color="auto"/>
            </w:tcBorders>
            <w:gridSpan w:val="4"/>
          </w:tcPr>
          <w:p>
            <w:pPr>
              <w:spacing w:after="0"/>
              <w:rPr>
                <w:sz w:val="9"/>
                <w:szCs w:val="9"/>
                <w:color w:val="auto"/>
              </w:rPr>
            </w:pPr>
          </w:p>
        </w:tc>
        <w:tc>
          <w:tcPr>
            <w:tcW w:w="240" w:type="dxa"/>
            <w:vAlign w:val="bottom"/>
            <w:gridSpan w:val="2"/>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260" w:type="dxa"/>
            <w:vAlign w:val="bottom"/>
            <w:gridSpan w:val="4"/>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260" w:type="dxa"/>
            <w:vAlign w:val="bottom"/>
            <w:gridSpan w:val="4"/>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60" w:type="dxa"/>
            <w:vAlign w:val="bottom"/>
            <w:tcBorders>
              <w:bottom w:val="single" w:sz="8" w:color="auto"/>
            </w:tcBorders>
            <w:gridSpan w:val="4"/>
          </w:tcPr>
          <w:p>
            <w:pPr>
              <w:spacing w:after="0"/>
              <w:rPr>
                <w:sz w:val="9"/>
                <w:szCs w:val="9"/>
                <w:color w:val="auto"/>
              </w:rPr>
            </w:pPr>
          </w:p>
        </w:tc>
        <w:tc>
          <w:tcPr>
            <w:tcW w:w="260" w:type="dxa"/>
            <w:vAlign w:val="bottom"/>
            <w:gridSpan w:val="4"/>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260" w:type="dxa"/>
            <w:vAlign w:val="bottom"/>
            <w:gridSpan w:val="2"/>
          </w:tcPr>
          <w:p>
            <w:pPr>
              <w:spacing w:after="0"/>
              <w:rPr>
                <w:sz w:val="9"/>
                <w:szCs w:val="9"/>
                <w:color w:val="auto"/>
              </w:rPr>
            </w:pPr>
          </w:p>
        </w:tc>
        <w:tc>
          <w:tcPr>
            <w:tcW w:w="460" w:type="dxa"/>
            <w:vAlign w:val="bottom"/>
            <w:tcBorders>
              <w:bottom w:val="single" w:sz="8" w:color="auto"/>
            </w:tcBorders>
            <w:gridSpan w:val="4"/>
          </w:tcPr>
          <w:p>
            <w:pPr>
              <w:spacing w:after="0"/>
              <w:rPr>
                <w:sz w:val="9"/>
                <w:szCs w:val="9"/>
                <w:color w:val="auto"/>
              </w:rPr>
            </w:pPr>
          </w:p>
        </w:tc>
        <w:tc>
          <w:tcPr>
            <w:tcW w:w="260" w:type="dxa"/>
            <w:vAlign w:val="bottom"/>
            <w:gridSpan w:val="3"/>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960" w:type="dxa"/>
            <w:vAlign w:val="bottom"/>
            <w:gridSpan w:val="8"/>
          </w:tcPr>
          <w:p>
            <w:pPr>
              <w:spacing w:after="0"/>
              <w:rPr>
                <w:sz w:val="24"/>
                <w:szCs w:val="24"/>
                <w:color w:val="auto"/>
              </w:rPr>
            </w:pPr>
          </w:p>
        </w:tc>
        <w:tc>
          <w:tcPr>
            <w:tcW w:w="560" w:type="dxa"/>
            <w:vAlign w:val="bottom"/>
            <w:tcBorders>
              <w:bottom w:val="single" w:sz="8" w:color="auto"/>
            </w:tcBorders>
            <w:gridSpan w:val="5"/>
          </w:tcPr>
          <w:p>
            <w:pPr>
              <w:spacing w:after="0"/>
              <w:rPr>
                <w:sz w:val="24"/>
                <w:szCs w:val="24"/>
                <w:color w:val="auto"/>
              </w:rPr>
            </w:pPr>
          </w:p>
        </w:tc>
        <w:tc>
          <w:tcPr>
            <w:tcW w:w="260" w:type="dxa"/>
            <w:vAlign w:val="bottom"/>
            <w:gridSpan w:val="2"/>
          </w:tcPr>
          <w:p>
            <w:pPr>
              <w:spacing w:after="0"/>
              <w:rPr>
                <w:sz w:val="24"/>
                <w:szCs w:val="24"/>
                <w:color w:val="auto"/>
              </w:rPr>
            </w:pPr>
          </w:p>
        </w:tc>
        <w:tc>
          <w:tcPr>
            <w:tcW w:w="540" w:type="dxa"/>
            <w:vAlign w:val="bottom"/>
            <w:tcBorders>
              <w:bottom w:val="single" w:sz="8" w:color="auto"/>
            </w:tcBorders>
            <w:gridSpan w:val="5"/>
          </w:tcPr>
          <w:p>
            <w:pPr>
              <w:spacing w:after="0"/>
              <w:rPr>
                <w:sz w:val="24"/>
                <w:szCs w:val="24"/>
                <w:color w:val="auto"/>
              </w:rPr>
            </w:pPr>
          </w:p>
        </w:tc>
        <w:tc>
          <w:tcPr>
            <w:tcW w:w="260" w:type="dxa"/>
            <w:vAlign w:val="bottom"/>
            <w:gridSpan w:val="3"/>
          </w:tcPr>
          <w:p>
            <w:pPr>
              <w:spacing w:after="0"/>
              <w:rPr>
                <w:sz w:val="24"/>
                <w:szCs w:val="24"/>
                <w:color w:val="auto"/>
              </w:rPr>
            </w:pPr>
          </w:p>
        </w:tc>
        <w:tc>
          <w:tcPr>
            <w:tcW w:w="460" w:type="dxa"/>
            <w:vAlign w:val="bottom"/>
            <w:tcBorders>
              <w:bottom w:val="single" w:sz="8" w:color="auto"/>
            </w:tcBorders>
            <w:gridSpan w:val="4"/>
          </w:tcPr>
          <w:p>
            <w:pPr>
              <w:spacing w:after="0"/>
              <w:rPr>
                <w:sz w:val="24"/>
                <w:szCs w:val="24"/>
                <w:color w:val="auto"/>
              </w:rPr>
            </w:pPr>
          </w:p>
        </w:tc>
        <w:tc>
          <w:tcPr>
            <w:tcW w:w="240" w:type="dxa"/>
            <w:vAlign w:val="bottom"/>
            <w:gridSpan w:val="2"/>
          </w:tcPr>
          <w:p>
            <w:pPr>
              <w:spacing w:after="0"/>
              <w:rPr>
                <w:sz w:val="24"/>
                <w:szCs w:val="24"/>
                <w:color w:val="auto"/>
              </w:rPr>
            </w:pPr>
          </w:p>
        </w:tc>
        <w:tc>
          <w:tcPr>
            <w:tcW w:w="460" w:type="dxa"/>
            <w:vAlign w:val="bottom"/>
            <w:tcBorders>
              <w:bottom w:val="single" w:sz="8" w:color="auto"/>
            </w:tcBorders>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480" w:type="dxa"/>
            <w:vAlign w:val="bottom"/>
            <w:tcBorders>
              <w:bottom w:val="single" w:sz="8" w:color="auto"/>
            </w:tcBorders>
            <w:gridSpan w:val="3"/>
          </w:tcPr>
          <w:p>
            <w:pPr>
              <w:spacing w:after="0"/>
              <w:rPr>
                <w:sz w:val="24"/>
                <w:szCs w:val="24"/>
                <w:color w:val="auto"/>
              </w:rPr>
            </w:pPr>
          </w:p>
        </w:tc>
        <w:tc>
          <w:tcPr>
            <w:tcW w:w="260" w:type="dxa"/>
            <w:vAlign w:val="bottom"/>
            <w:gridSpan w:val="4"/>
          </w:tcPr>
          <w:p>
            <w:pPr>
              <w:spacing w:after="0"/>
              <w:rPr>
                <w:sz w:val="24"/>
                <w:szCs w:val="24"/>
                <w:color w:val="auto"/>
              </w:rPr>
            </w:pPr>
          </w:p>
        </w:tc>
        <w:tc>
          <w:tcPr>
            <w:tcW w:w="560" w:type="dxa"/>
            <w:vAlign w:val="bottom"/>
            <w:tcBorders>
              <w:bottom w:val="single" w:sz="8" w:color="auto"/>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560" w:type="dxa"/>
            <w:vAlign w:val="bottom"/>
            <w:tcBorders>
              <w:bottom w:val="single" w:sz="8" w:color="auto"/>
            </w:tcBorders>
            <w:gridSpan w:val="4"/>
          </w:tcPr>
          <w:p>
            <w:pPr>
              <w:spacing w:after="0"/>
              <w:rPr>
                <w:sz w:val="24"/>
                <w:szCs w:val="24"/>
                <w:color w:val="auto"/>
              </w:rPr>
            </w:pPr>
          </w:p>
        </w:tc>
        <w:tc>
          <w:tcPr>
            <w:tcW w:w="260" w:type="dxa"/>
            <w:vAlign w:val="bottom"/>
            <w:gridSpan w:val="4"/>
          </w:tcPr>
          <w:p>
            <w:pPr>
              <w:spacing w:after="0"/>
              <w:rPr>
                <w:sz w:val="24"/>
                <w:szCs w:val="24"/>
                <w:color w:val="auto"/>
              </w:rPr>
            </w:pPr>
          </w:p>
        </w:tc>
        <w:tc>
          <w:tcPr>
            <w:tcW w:w="460" w:type="dxa"/>
            <w:vAlign w:val="bottom"/>
            <w:tcBorders>
              <w:bottom w:val="single" w:sz="8" w:color="auto"/>
            </w:tcBorders>
            <w:gridSpan w:val="3"/>
          </w:tcPr>
          <w:p>
            <w:pPr>
              <w:spacing w:after="0"/>
              <w:rPr>
                <w:sz w:val="24"/>
                <w:szCs w:val="24"/>
                <w:color w:val="auto"/>
              </w:rPr>
            </w:pPr>
          </w:p>
        </w:tc>
        <w:tc>
          <w:tcPr>
            <w:tcW w:w="260" w:type="dxa"/>
            <w:vAlign w:val="bottom"/>
            <w:gridSpan w:val="2"/>
          </w:tcPr>
          <w:p>
            <w:pPr>
              <w:spacing w:after="0"/>
              <w:rPr>
                <w:sz w:val="24"/>
                <w:szCs w:val="24"/>
                <w:color w:val="auto"/>
              </w:rPr>
            </w:pPr>
          </w:p>
        </w:tc>
        <w:tc>
          <w:tcPr>
            <w:tcW w:w="460" w:type="dxa"/>
            <w:vAlign w:val="bottom"/>
            <w:tcBorders>
              <w:bottom w:val="single" w:sz="8" w:color="auto"/>
            </w:tcBorders>
            <w:gridSpan w:val="4"/>
          </w:tcPr>
          <w:p>
            <w:pPr>
              <w:spacing w:after="0"/>
              <w:rPr>
                <w:sz w:val="24"/>
                <w:szCs w:val="24"/>
                <w:color w:val="auto"/>
              </w:rPr>
            </w:pPr>
          </w:p>
        </w:tc>
        <w:tc>
          <w:tcPr>
            <w:tcW w:w="260" w:type="dxa"/>
            <w:vAlign w:val="bottom"/>
            <w:gridSpan w:val="3"/>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SCHLUMBERGERSEMA</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33.2</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0"/>
              </w:rPr>
              <w:t>34.3</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27.1</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18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960" w:type="dxa"/>
            <w:vAlign w:val="bottom"/>
            <w:gridSpan w:val="8"/>
          </w:tcPr>
          <w:p>
            <w:pPr>
              <w:spacing w:after="0"/>
              <w:rPr>
                <w:sz w:val="9"/>
                <w:szCs w:val="9"/>
                <w:color w:val="auto"/>
              </w:rPr>
            </w:pPr>
          </w:p>
        </w:tc>
        <w:tc>
          <w:tcPr>
            <w:tcW w:w="560" w:type="dxa"/>
            <w:vAlign w:val="bottom"/>
            <w:tcBorders>
              <w:bottom w:val="single" w:sz="8" w:color="auto"/>
            </w:tcBorders>
            <w:gridSpan w:val="5"/>
          </w:tcPr>
          <w:p>
            <w:pPr>
              <w:spacing w:after="0"/>
              <w:rPr>
                <w:sz w:val="9"/>
                <w:szCs w:val="9"/>
                <w:color w:val="auto"/>
              </w:rPr>
            </w:pPr>
          </w:p>
        </w:tc>
        <w:tc>
          <w:tcPr>
            <w:tcW w:w="260" w:type="dxa"/>
            <w:vAlign w:val="bottom"/>
            <w:gridSpan w:val="2"/>
          </w:tcPr>
          <w:p>
            <w:pPr>
              <w:spacing w:after="0"/>
              <w:rPr>
                <w:sz w:val="9"/>
                <w:szCs w:val="9"/>
                <w:color w:val="auto"/>
              </w:rPr>
            </w:pPr>
          </w:p>
        </w:tc>
        <w:tc>
          <w:tcPr>
            <w:tcW w:w="540" w:type="dxa"/>
            <w:vAlign w:val="bottom"/>
            <w:tcBorders>
              <w:bottom w:val="single" w:sz="8" w:color="auto"/>
            </w:tcBorders>
            <w:gridSpan w:val="5"/>
          </w:tcPr>
          <w:p>
            <w:pPr>
              <w:spacing w:after="0"/>
              <w:rPr>
                <w:sz w:val="9"/>
                <w:szCs w:val="9"/>
                <w:color w:val="auto"/>
              </w:rPr>
            </w:pPr>
          </w:p>
        </w:tc>
        <w:tc>
          <w:tcPr>
            <w:tcW w:w="260" w:type="dxa"/>
            <w:vAlign w:val="bottom"/>
            <w:gridSpan w:val="3"/>
          </w:tcPr>
          <w:p>
            <w:pPr>
              <w:spacing w:after="0"/>
              <w:rPr>
                <w:sz w:val="9"/>
                <w:szCs w:val="9"/>
                <w:color w:val="auto"/>
              </w:rPr>
            </w:pPr>
          </w:p>
        </w:tc>
        <w:tc>
          <w:tcPr>
            <w:tcW w:w="460" w:type="dxa"/>
            <w:vAlign w:val="bottom"/>
            <w:tcBorders>
              <w:bottom w:val="single" w:sz="8" w:color="auto"/>
            </w:tcBorders>
            <w:gridSpan w:val="4"/>
          </w:tcPr>
          <w:p>
            <w:pPr>
              <w:spacing w:after="0"/>
              <w:rPr>
                <w:sz w:val="9"/>
                <w:szCs w:val="9"/>
                <w:color w:val="auto"/>
              </w:rPr>
            </w:pPr>
          </w:p>
        </w:tc>
        <w:tc>
          <w:tcPr>
            <w:tcW w:w="240" w:type="dxa"/>
            <w:vAlign w:val="bottom"/>
            <w:gridSpan w:val="2"/>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260" w:type="dxa"/>
            <w:vAlign w:val="bottom"/>
            <w:gridSpan w:val="4"/>
          </w:tcPr>
          <w:p>
            <w:pPr>
              <w:spacing w:after="0"/>
              <w:rPr>
                <w:sz w:val="9"/>
                <w:szCs w:val="9"/>
                <w:color w:val="auto"/>
              </w:rPr>
            </w:pPr>
          </w:p>
        </w:tc>
        <w:tc>
          <w:tcPr>
            <w:tcW w:w="480" w:type="dxa"/>
            <w:vAlign w:val="bottom"/>
            <w:tcBorders>
              <w:bottom w:val="single" w:sz="8" w:color="auto"/>
            </w:tcBorders>
            <w:gridSpan w:val="3"/>
          </w:tcPr>
          <w:p>
            <w:pPr>
              <w:spacing w:after="0"/>
              <w:rPr>
                <w:sz w:val="9"/>
                <w:szCs w:val="9"/>
                <w:color w:val="auto"/>
              </w:rPr>
            </w:pPr>
          </w:p>
        </w:tc>
        <w:tc>
          <w:tcPr>
            <w:tcW w:w="260" w:type="dxa"/>
            <w:vAlign w:val="bottom"/>
            <w:gridSpan w:val="4"/>
          </w:tcPr>
          <w:p>
            <w:pPr>
              <w:spacing w:after="0"/>
              <w:rPr>
                <w:sz w:val="9"/>
                <w:szCs w:val="9"/>
                <w:color w:val="auto"/>
              </w:rPr>
            </w:pPr>
          </w:p>
        </w:tc>
        <w:tc>
          <w:tcPr>
            <w:tcW w:w="560" w:type="dxa"/>
            <w:vAlign w:val="bottom"/>
            <w:tcBorders>
              <w:bottom w:val="single" w:sz="8" w:color="auto"/>
            </w:tcBorders>
            <w:gridSpan w:val="3"/>
          </w:tcPr>
          <w:p>
            <w:pPr>
              <w:spacing w:after="0"/>
              <w:rPr>
                <w:sz w:val="9"/>
                <w:szCs w:val="9"/>
                <w:color w:val="auto"/>
              </w:rPr>
            </w:pPr>
          </w:p>
        </w:tc>
        <w:tc>
          <w:tcPr>
            <w:tcW w:w="260" w:type="dxa"/>
            <w:vAlign w:val="bottom"/>
            <w:gridSpan w:val="3"/>
          </w:tcPr>
          <w:p>
            <w:pPr>
              <w:spacing w:after="0"/>
              <w:rPr>
                <w:sz w:val="9"/>
                <w:szCs w:val="9"/>
                <w:color w:val="auto"/>
              </w:rPr>
            </w:pPr>
          </w:p>
        </w:tc>
        <w:tc>
          <w:tcPr>
            <w:tcW w:w="560" w:type="dxa"/>
            <w:vAlign w:val="bottom"/>
            <w:tcBorders>
              <w:bottom w:val="single" w:sz="8" w:color="auto"/>
            </w:tcBorders>
            <w:gridSpan w:val="4"/>
          </w:tcPr>
          <w:p>
            <w:pPr>
              <w:spacing w:after="0"/>
              <w:rPr>
                <w:sz w:val="9"/>
                <w:szCs w:val="9"/>
                <w:color w:val="auto"/>
              </w:rPr>
            </w:pPr>
          </w:p>
        </w:tc>
        <w:tc>
          <w:tcPr>
            <w:tcW w:w="260" w:type="dxa"/>
            <w:vAlign w:val="bottom"/>
            <w:gridSpan w:val="4"/>
          </w:tcPr>
          <w:p>
            <w:pPr>
              <w:spacing w:after="0"/>
              <w:rPr>
                <w:sz w:val="9"/>
                <w:szCs w:val="9"/>
                <w:color w:val="auto"/>
              </w:rPr>
            </w:pPr>
          </w:p>
        </w:tc>
        <w:tc>
          <w:tcPr>
            <w:tcW w:w="460" w:type="dxa"/>
            <w:vAlign w:val="bottom"/>
            <w:tcBorders>
              <w:bottom w:val="single" w:sz="8" w:color="auto"/>
            </w:tcBorders>
            <w:gridSpan w:val="3"/>
          </w:tcPr>
          <w:p>
            <w:pPr>
              <w:spacing w:after="0"/>
              <w:rPr>
                <w:sz w:val="9"/>
                <w:szCs w:val="9"/>
                <w:color w:val="auto"/>
              </w:rPr>
            </w:pPr>
          </w:p>
        </w:tc>
        <w:tc>
          <w:tcPr>
            <w:tcW w:w="260" w:type="dxa"/>
            <w:vAlign w:val="bottom"/>
            <w:gridSpan w:val="2"/>
          </w:tcPr>
          <w:p>
            <w:pPr>
              <w:spacing w:after="0"/>
              <w:rPr>
                <w:sz w:val="9"/>
                <w:szCs w:val="9"/>
                <w:color w:val="auto"/>
              </w:rPr>
            </w:pPr>
          </w:p>
        </w:tc>
        <w:tc>
          <w:tcPr>
            <w:tcW w:w="460" w:type="dxa"/>
            <w:vAlign w:val="bottom"/>
            <w:tcBorders>
              <w:bottom w:val="single" w:sz="8" w:color="auto"/>
            </w:tcBorders>
            <w:gridSpan w:val="4"/>
          </w:tcPr>
          <w:p>
            <w:pPr>
              <w:spacing w:after="0"/>
              <w:rPr>
                <w:sz w:val="9"/>
                <w:szCs w:val="9"/>
                <w:color w:val="auto"/>
              </w:rPr>
            </w:pPr>
          </w:p>
        </w:tc>
        <w:tc>
          <w:tcPr>
            <w:tcW w:w="260" w:type="dxa"/>
            <w:vAlign w:val="bottom"/>
            <w:gridSpan w:val="3"/>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1400" w:type="dxa"/>
            <w:vAlign w:val="bottom"/>
            <w:gridSpan w:val="72"/>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20.4</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0"/>
              </w:rPr>
              <w:t>23.2</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31.9</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8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3040" w:type="dxa"/>
            <w:vAlign w:val="bottom"/>
            <w:gridSpan w:val="4"/>
          </w:tcPr>
          <w:p>
            <w:pPr>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4"/>
                <w:szCs w:val="14"/>
                <w:color w:val="auto"/>
              </w:rPr>
              <w:t>$</w:t>
            </w:r>
          </w:p>
        </w:tc>
        <w:tc>
          <w:tcPr>
            <w:tcW w:w="380" w:type="dxa"/>
            <w:vAlign w:val="bottom"/>
            <w:gridSpan w:val="5"/>
          </w:tcPr>
          <w:p>
            <w:pPr>
              <w:jc w:val="right"/>
              <w:ind w:right="20"/>
              <w:spacing w:after="0"/>
              <w:rPr>
                <w:sz w:val="20"/>
                <w:szCs w:val="20"/>
                <w:color w:val="auto"/>
              </w:rPr>
            </w:pPr>
            <w:r>
              <w:rPr>
                <w:rFonts w:ascii="Arial" w:cs="Arial" w:eastAsia="Arial" w:hAnsi="Arial"/>
                <w:sz w:val="14"/>
                <w:szCs w:val="14"/>
                <w:color w:val="auto"/>
                <w:w w:val="92"/>
              </w:rPr>
              <w:t>(47.9)</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6"/>
          </w:tcPr>
          <w:p>
            <w:pPr>
              <w:jc w:val="right"/>
              <w:ind w:right="20"/>
              <w:spacing w:after="0"/>
              <w:rPr>
                <w:sz w:val="20"/>
                <w:szCs w:val="20"/>
                <w:color w:val="auto"/>
              </w:rPr>
            </w:pPr>
            <w:r>
              <w:rPr>
                <w:rFonts w:ascii="Arial" w:cs="Arial" w:eastAsia="Arial" w:hAnsi="Arial"/>
                <w:sz w:val="14"/>
                <w:szCs w:val="14"/>
                <w:color w:val="auto"/>
              </w:rPr>
              <w:t>(147.9)</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4"/>
          </w:tcPr>
          <w:p>
            <w:pPr>
              <w:jc w:val="right"/>
              <w:ind w:right="5"/>
              <w:spacing w:after="0"/>
              <w:rPr>
                <w:sz w:val="20"/>
                <w:szCs w:val="20"/>
                <w:color w:val="auto"/>
              </w:rPr>
            </w:pPr>
            <w:r>
              <w:rPr>
                <w:rFonts w:ascii="Arial" w:cs="Arial" w:eastAsia="Arial" w:hAnsi="Arial"/>
                <w:sz w:val="14"/>
                <w:szCs w:val="14"/>
                <w:color w:val="auto"/>
              </w:rPr>
              <w:t>(53.9)</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ind w:right="60"/>
              <w:spacing w:after="0"/>
              <w:rPr>
                <w:sz w:val="20"/>
                <w:szCs w:val="20"/>
                <w:color w:val="auto"/>
              </w:rPr>
            </w:pPr>
            <w:r>
              <w:rPr>
                <w:rFonts w:ascii="Arial" w:cs="Arial" w:eastAsia="Arial" w:hAnsi="Arial"/>
                <w:sz w:val="14"/>
                <w:szCs w:val="14"/>
                <w:color w:val="auto"/>
                <w:w w:val="99"/>
              </w:rPr>
              <w:t>(200.7)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3"/>
          </w:tcPr>
          <w:p>
            <w:pPr>
              <w:jc w:val="right"/>
              <w:ind w:right="20"/>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4"/>
          </w:tcPr>
          <w:p>
            <w:pPr>
              <w:jc w:val="right"/>
              <w:ind w:right="20"/>
              <w:spacing w:after="0"/>
              <w:rPr>
                <w:sz w:val="20"/>
                <w:szCs w:val="20"/>
                <w:color w:val="auto"/>
              </w:rPr>
            </w:pPr>
            <w:r>
              <w:rPr>
                <w:rFonts w:ascii="Arial" w:cs="Arial" w:eastAsia="Arial" w:hAnsi="Arial"/>
                <w:sz w:val="14"/>
                <w:szCs w:val="14"/>
                <w:color w:val="auto"/>
              </w:rPr>
              <w:t>(147.8)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rPr>
              <w:t>(53.9)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140"/>
              <w:spacing w:after="0"/>
              <w:rPr>
                <w:sz w:val="20"/>
                <w:szCs w:val="20"/>
                <w:color w:val="auto"/>
              </w:rPr>
            </w:pPr>
            <w:r>
              <w:rPr>
                <w:rFonts w:ascii="Arial" w:cs="Arial" w:eastAsia="Arial" w:hAnsi="Arial"/>
                <w:sz w:val="14"/>
                <w:szCs w:val="14"/>
                <w:color w:val="auto"/>
              </w:rPr>
              <w:t>(62.6)</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(200.5)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4"/>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4"/>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288.1</w:t>
            </w:r>
          </w:p>
        </w:tc>
        <w:tc>
          <w:tcPr>
            <w:tcW w:w="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9"/>
              </w:rPr>
              <w:t>1,237.5</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361.3</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466.9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1,485.5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1,237.4</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361.3</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466.8</w:t>
            </w:r>
          </w:p>
        </w:tc>
        <w:tc>
          <w:tcPr>
            <w:tcW w:w="1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$ 1,485.5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gridSpan w:val="10"/>
          </w:tcPr>
          <w:p>
            <w:pPr>
              <w:spacing w:after="0"/>
              <w:rPr>
                <w:sz w:val="20"/>
                <w:szCs w:val="20"/>
                <w:color w:val="auto"/>
              </w:rPr>
            </w:pPr>
            <w:r>
              <w:rPr>
                <w:rFonts w:ascii="Arial" w:cs="Arial" w:eastAsia="Arial" w:hAnsi="Arial"/>
                <w:sz w:val="14"/>
                <w:szCs w:val="14"/>
                <w:color w:val="auto"/>
              </w:rPr>
              <w:t>Interest Income</w:t>
            </w:r>
          </w:p>
        </w:tc>
        <w:tc>
          <w:tcPr>
            <w:tcW w:w="840" w:type="dxa"/>
            <w:vAlign w:val="bottom"/>
            <w:gridSpan w:val="8"/>
          </w:tcPr>
          <w:p>
            <w:pPr>
              <w:jc w:val="right"/>
              <w:ind w:right="492"/>
              <w:spacing w:after="0" w:line="149" w:lineRule="exact"/>
              <w:rPr>
                <w:sz w:val="20"/>
                <w:szCs w:val="20"/>
                <w:color w:val="auto"/>
              </w:rPr>
            </w:pPr>
            <w:r>
              <w:rPr>
                <w:rFonts w:ascii="Arial" w:cs="Arial" w:eastAsia="Arial" w:hAnsi="Arial"/>
                <w:sz w:val="14"/>
                <w:szCs w:val="14"/>
                <w:color w:val="auto"/>
                <w:w w:val="95"/>
              </w:rPr>
              <w:t>15.0</w:t>
            </w:r>
          </w:p>
        </w:tc>
        <w:tc>
          <w:tcPr>
            <w:tcW w:w="700" w:type="dxa"/>
            <w:vAlign w:val="bottom"/>
            <w:gridSpan w:val="7"/>
          </w:tcPr>
          <w:p>
            <w:pPr>
              <w:jc w:val="right"/>
              <w:ind w:right="392"/>
              <w:spacing w:after="0" w:line="149" w:lineRule="exact"/>
              <w:rPr>
                <w:sz w:val="20"/>
                <w:szCs w:val="20"/>
                <w:color w:val="auto"/>
              </w:rPr>
            </w:pPr>
            <w:r>
              <w:rPr>
                <w:rFonts w:ascii="Arial" w:cs="Arial" w:eastAsia="Arial" w:hAnsi="Arial"/>
                <w:sz w:val="14"/>
                <w:szCs w:val="14"/>
                <w:color w:val="auto"/>
                <w:w w:val="80"/>
              </w:rPr>
              <w:t>68.2</w:t>
            </w:r>
          </w:p>
        </w:tc>
        <w:tc>
          <w:tcPr>
            <w:tcW w:w="600" w:type="dxa"/>
            <w:vAlign w:val="bottom"/>
            <w:gridSpan w:val="5"/>
          </w:tcPr>
          <w:p>
            <w:pPr>
              <w:jc w:val="right"/>
              <w:ind w:right="340"/>
              <w:spacing w:after="0" w:line="149" w:lineRule="exact"/>
              <w:rPr>
                <w:sz w:val="20"/>
                <w:szCs w:val="20"/>
                <w:color w:val="auto"/>
              </w:rPr>
            </w:pPr>
            <w:r>
              <w:rPr>
                <w:rFonts w:ascii="Arial" w:cs="Arial" w:eastAsia="Arial" w:hAnsi="Arial"/>
                <w:sz w:val="14"/>
                <w:szCs w:val="14"/>
                <w:color w:val="auto"/>
                <w:w w:val="87"/>
              </w:rPr>
              <w:t>10.4</w:t>
            </w:r>
          </w:p>
        </w:tc>
        <w:tc>
          <w:tcPr>
            <w:tcW w:w="700" w:type="dxa"/>
            <w:vAlign w:val="bottom"/>
            <w:gridSpan w:val="7"/>
          </w:tcPr>
          <w:p>
            <w:pPr>
              <w:jc w:val="right"/>
              <w:ind w:right="340"/>
              <w:spacing w:after="0" w:line="149" w:lineRule="exact"/>
              <w:rPr>
                <w:sz w:val="20"/>
                <w:szCs w:val="20"/>
                <w:color w:val="auto"/>
              </w:rPr>
            </w:pPr>
            <w:r>
              <w:rPr>
                <w:rFonts w:ascii="Arial" w:cs="Arial" w:eastAsia="Arial" w:hAnsi="Arial"/>
                <w:sz w:val="14"/>
                <w:szCs w:val="14"/>
                <w:color w:val="auto"/>
              </w:rPr>
              <w:t>13.0</w:t>
            </w:r>
          </w:p>
        </w:tc>
        <w:tc>
          <w:tcPr>
            <w:tcW w:w="740" w:type="dxa"/>
            <w:vAlign w:val="bottom"/>
            <w:gridSpan w:val="7"/>
          </w:tcPr>
          <w:p>
            <w:pPr>
              <w:jc w:val="right"/>
              <w:ind w:right="252"/>
              <w:spacing w:after="0" w:line="149" w:lineRule="exact"/>
              <w:rPr>
                <w:sz w:val="20"/>
                <w:szCs w:val="20"/>
                <w:color w:val="auto"/>
              </w:rPr>
            </w:pPr>
            <w:r>
              <w:rPr>
                <w:rFonts w:ascii="Arial" w:cs="Arial" w:eastAsia="Arial" w:hAnsi="Arial"/>
                <w:sz w:val="14"/>
                <w:szCs w:val="14"/>
                <w:color w:val="auto"/>
              </w:rPr>
              <w:t>49.3</w:t>
            </w:r>
          </w:p>
        </w:tc>
        <w:tc>
          <w:tcPr>
            <w:tcW w:w="820" w:type="dxa"/>
            <w:vAlign w:val="bottom"/>
            <w:gridSpan w:val="6"/>
          </w:tcPr>
          <w:p>
            <w:pPr>
              <w:jc w:val="right"/>
              <w:ind w:right="340"/>
              <w:spacing w:after="0" w:line="149" w:lineRule="exact"/>
              <w:rPr>
                <w:sz w:val="20"/>
                <w:szCs w:val="20"/>
                <w:color w:val="auto"/>
              </w:rPr>
            </w:pPr>
            <w:r>
              <w:rPr>
                <w:rFonts w:ascii="Arial" w:cs="Arial" w:eastAsia="Arial" w:hAnsi="Arial"/>
                <w:sz w:val="14"/>
                <w:szCs w:val="14"/>
                <w:color w:val="auto"/>
              </w:rPr>
              <w:t>15.0</w:t>
            </w:r>
          </w:p>
        </w:tc>
        <w:tc>
          <w:tcPr>
            <w:tcW w:w="820" w:type="dxa"/>
            <w:vAlign w:val="bottom"/>
            <w:gridSpan w:val="8"/>
          </w:tcPr>
          <w:p>
            <w:pPr>
              <w:jc w:val="right"/>
              <w:ind w:right="340"/>
              <w:spacing w:after="0" w:line="149" w:lineRule="exact"/>
              <w:rPr>
                <w:sz w:val="20"/>
                <w:szCs w:val="20"/>
                <w:color w:val="auto"/>
              </w:rPr>
            </w:pPr>
            <w:r>
              <w:rPr>
                <w:rFonts w:ascii="Arial" w:cs="Arial" w:eastAsia="Arial" w:hAnsi="Arial"/>
                <w:sz w:val="14"/>
                <w:szCs w:val="14"/>
                <w:color w:val="auto"/>
              </w:rPr>
              <w:t>68.2</w:t>
            </w:r>
          </w:p>
        </w:tc>
        <w:tc>
          <w:tcPr>
            <w:tcW w:w="720" w:type="dxa"/>
            <w:vAlign w:val="bottom"/>
            <w:gridSpan w:val="5"/>
          </w:tcPr>
          <w:p>
            <w:pPr>
              <w:jc w:val="right"/>
              <w:ind w:right="272"/>
              <w:spacing w:after="0" w:line="149" w:lineRule="exact"/>
              <w:rPr>
                <w:sz w:val="20"/>
                <w:szCs w:val="20"/>
                <w:color w:val="auto"/>
              </w:rPr>
            </w:pPr>
            <w:r>
              <w:rPr>
                <w:rFonts w:ascii="Arial" w:cs="Arial" w:eastAsia="Arial" w:hAnsi="Arial"/>
                <w:sz w:val="14"/>
                <w:szCs w:val="14"/>
                <w:color w:val="auto"/>
              </w:rPr>
              <w:t>10.4</w:t>
            </w:r>
          </w:p>
        </w:tc>
        <w:tc>
          <w:tcPr>
            <w:tcW w:w="700" w:type="dxa"/>
            <w:vAlign w:val="bottom"/>
            <w:gridSpan w:val="7"/>
          </w:tcPr>
          <w:p>
            <w:pPr>
              <w:jc w:val="right"/>
              <w:ind w:right="320"/>
              <w:spacing w:after="0" w:line="149" w:lineRule="exact"/>
              <w:rPr>
                <w:sz w:val="20"/>
                <w:szCs w:val="20"/>
                <w:color w:val="auto"/>
              </w:rPr>
            </w:pPr>
            <w:r>
              <w:rPr>
                <w:rFonts w:ascii="Arial" w:cs="Arial" w:eastAsia="Arial" w:hAnsi="Arial"/>
                <w:sz w:val="14"/>
                <w:szCs w:val="14"/>
                <w:color w:val="auto"/>
              </w:rPr>
              <w:t>13.0</w:t>
            </w:r>
          </w:p>
        </w:tc>
        <w:tc>
          <w:tcPr>
            <w:tcW w:w="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(93.3)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5"/>
              <w:spacing w:after="0" w:line="149" w:lineRule="exact"/>
              <w:rPr>
                <w:sz w:val="20"/>
                <w:szCs w:val="20"/>
                <w:color w:val="auto"/>
              </w:rPr>
            </w:pPr>
            <w:r>
              <w:rPr>
                <w:rFonts w:ascii="Arial" w:cs="Arial" w:eastAsia="Arial" w:hAnsi="Arial"/>
                <w:sz w:val="14"/>
                <w:szCs w:val="14"/>
                <w:color w:val="auto"/>
              </w:rPr>
              <w:t>(74.5)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(329.0)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Charges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7"/>
          </w:tcPr>
          <w:p>
            <w:pPr>
              <w:jc w:val="right"/>
              <w:ind w:right="20"/>
              <w:spacing w:after="0" w:line="149" w:lineRule="exact"/>
              <w:rPr>
                <w:sz w:val="20"/>
                <w:szCs w:val="20"/>
                <w:color w:val="auto"/>
              </w:rPr>
            </w:pPr>
            <w:r>
              <w:rPr>
                <w:rFonts w:ascii="Arial" w:cs="Arial" w:eastAsia="Arial" w:hAnsi="Arial"/>
                <w:sz w:val="14"/>
                <w:szCs w:val="14"/>
                <w:color w:val="auto"/>
              </w:rPr>
              <w:t>(3,138.3)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6"/>
          </w:tcPr>
          <w:p>
            <w:pPr>
              <w:jc w:val="right"/>
              <w:ind w:right="20"/>
              <w:spacing w:after="0" w:line="149" w:lineRule="exact"/>
              <w:rPr>
                <w:sz w:val="20"/>
                <w:szCs w:val="20"/>
                <w:color w:val="auto"/>
              </w:rPr>
            </w:pPr>
            <w:r>
              <w:rPr>
                <w:rFonts w:ascii="Arial" w:cs="Arial" w:eastAsia="Arial" w:hAnsi="Arial"/>
                <w:sz w:val="14"/>
                <w:szCs w:val="14"/>
                <w:color w:val="auto"/>
                <w:w w:val="85"/>
              </w:rPr>
              <w:t>(3,168.6)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right"/>
              <w:ind w:right="5"/>
              <w:spacing w:after="0" w:line="149" w:lineRule="exact"/>
              <w:rPr>
                <w:sz w:val="20"/>
                <w:szCs w:val="20"/>
                <w:color w:val="auto"/>
              </w:rPr>
            </w:pPr>
            <w:r>
              <w:rPr>
                <w:rFonts w:ascii="Arial" w:cs="Arial" w:eastAsia="Arial" w:hAnsi="Arial"/>
                <w:sz w:val="14"/>
                <w:szCs w:val="14"/>
                <w:color w:val="auto"/>
                <w:w w:val="90"/>
              </w:rPr>
              <w:t>(507.3)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99"/>
              </w:rPr>
              <w:t>(638.0)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89"/>
              </w:rPr>
              <w:t>(3,138.3)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w w:val="89"/>
              </w:rPr>
              <w:t>(3,168.6)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0"/>
              </w:rPr>
              <w:t>(507.3)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(49.2)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Tax expense</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2"/>
              </w:rPr>
              <w:t>(95.3)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42.0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(209.4)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(120.0)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gridSpan w:val="3"/>
          </w:tcPr>
          <w:p>
            <w:pPr>
              <w:spacing w:after="0"/>
              <w:rPr>
                <w:sz w:val="20"/>
                <w:szCs w:val="20"/>
                <w:color w:val="auto"/>
              </w:rPr>
            </w:pPr>
            <w:r>
              <w:rPr>
                <w:rFonts w:ascii="Arial" w:cs="Arial" w:eastAsia="Arial" w:hAnsi="Arial"/>
                <w:sz w:val="14"/>
                <w:szCs w:val="14"/>
                <w:color w:val="auto"/>
              </w:rPr>
              <w:t>Minority Interest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w w:val="95"/>
              </w:rPr>
              <w:t>94.4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w w:val="80"/>
              </w:rPr>
              <w:t>91.9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94.4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91.9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110.9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4"/>
          </w:tcPr>
          <w:p>
            <w:pPr>
              <w:jc w:val="right"/>
              <w:ind w:right="14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Borders>
              <w:bottom w:val="single" w:sz="8" w:color="auto"/>
            </w:tcBorders>
            <w:gridSpan w:val="5"/>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gridSpan w:val="3"/>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0" w:type="dxa"/>
            <w:vAlign w:val="bottom"/>
            <w:gridSpan w:val="72"/>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7"/>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(2,929.4)</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(2,417.2)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4"/>
            <w:shd w:val="clear" w:color="auto" w:fill="CCEEFF"/>
          </w:tcPr>
          <w:p>
            <w:pPr>
              <w:jc w:val="right"/>
              <w:ind w:right="5"/>
              <w:spacing w:after="0" w:line="149" w:lineRule="exact"/>
              <w:rPr>
                <w:sz w:val="20"/>
                <w:szCs w:val="20"/>
                <w:color w:val="auto"/>
              </w:rPr>
            </w:pPr>
            <w:r>
              <w:rPr>
                <w:rFonts w:ascii="Arial" w:cs="Arial" w:eastAsia="Arial" w:hAnsi="Arial"/>
                <w:sz w:val="14"/>
                <w:szCs w:val="14"/>
                <w:color w:val="auto"/>
              </w:rPr>
              <w:t>(57.2)</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472.6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5"/>
              </w:rPr>
              <w:t>$ (2,929.4)</w:t>
            </w:r>
          </w:p>
        </w:tc>
        <w:tc>
          <w:tcPr>
            <w:tcW w:w="120" w:type="dxa"/>
            <w:vAlign w:val="bottom"/>
            <w:shd w:val="clear" w:color="auto" w:fill="CCEEFF"/>
          </w:tcPr>
          <w:p>
            <w:pPr>
              <w:spacing w:after="0"/>
              <w:rPr>
                <w:sz w:val="12"/>
                <w:szCs w:val="12"/>
                <w:color w:val="auto"/>
              </w:rPr>
            </w:pPr>
          </w:p>
        </w:tc>
        <w:tc>
          <w:tcPr>
            <w:tcW w:w="700" w:type="dxa"/>
            <w:vAlign w:val="bottom"/>
            <w:gridSpan w:val="6"/>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 (2,417.2)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234.5</w:t>
            </w:r>
          </w:p>
        </w:tc>
        <w:tc>
          <w:tcPr>
            <w:tcW w:w="18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960" w:type="dxa"/>
            <w:vAlign w:val="bottom"/>
            <w:gridSpan w:val="8"/>
          </w:tcPr>
          <w:p>
            <w:pPr>
              <w:spacing w:after="0"/>
              <w:rPr>
                <w:sz w:val="11"/>
                <w:szCs w:val="11"/>
                <w:color w:val="auto"/>
              </w:rPr>
            </w:pPr>
          </w:p>
        </w:tc>
        <w:tc>
          <w:tcPr>
            <w:tcW w:w="560" w:type="dxa"/>
            <w:vAlign w:val="bottom"/>
            <w:tcBorders>
              <w:bottom w:val="single" w:sz="8" w:color="auto"/>
            </w:tcBorders>
            <w:gridSpan w:val="5"/>
          </w:tcPr>
          <w:p>
            <w:pPr>
              <w:spacing w:after="0"/>
              <w:rPr>
                <w:sz w:val="11"/>
                <w:szCs w:val="11"/>
                <w:color w:val="auto"/>
              </w:rPr>
            </w:pPr>
          </w:p>
        </w:tc>
        <w:tc>
          <w:tcPr>
            <w:tcW w:w="260" w:type="dxa"/>
            <w:vAlign w:val="bottom"/>
            <w:gridSpan w:val="2"/>
          </w:tcPr>
          <w:p>
            <w:pPr>
              <w:spacing w:after="0"/>
              <w:rPr>
                <w:sz w:val="11"/>
                <w:szCs w:val="11"/>
                <w:color w:val="auto"/>
              </w:rPr>
            </w:pPr>
          </w:p>
        </w:tc>
        <w:tc>
          <w:tcPr>
            <w:tcW w:w="560" w:type="dxa"/>
            <w:vAlign w:val="bottom"/>
            <w:tcBorders>
              <w:bottom w:val="single" w:sz="8" w:color="auto"/>
            </w:tcBorders>
            <w:gridSpan w:val="6"/>
          </w:tcPr>
          <w:p>
            <w:pPr>
              <w:spacing w:after="0"/>
              <w:rPr>
                <w:sz w:val="11"/>
                <w:szCs w:val="11"/>
                <w:color w:val="auto"/>
              </w:rPr>
            </w:pPr>
          </w:p>
        </w:tc>
        <w:tc>
          <w:tcPr>
            <w:tcW w:w="240" w:type="dxa"/>
            <w:vAlign w:val="bottom"/>
            <w:gridSpan w:val="2"/>
          </w:tcPr>
          <w:p>
            <w:pPr>
              <w:spacing w:after="0"/>
              <w:rPr>
                <w:sz w:val="11"/>
                <w:szCs w:val="11"/>
                <w:color w:val="auto"/>
              </w:rPr>
            </w:pPr>
          </w:p>
        </w:tc>
        <w:tc>
          <w:tcPr>
            <w:tcW w:w="460" w:type="dxa"/>
            <w:vAlign w:val="bottom"/>
            <w:tcBorders>
              <w:bottom w:val="single" w:sz="8" w:color="auto"/>
            </w:tcBorders>
            <w:gridSpan w:val="4"/>
          </w:tcPr>
          <w:p>
            <w:pPr>
              <w:spacing w:after="0"/>
              <w:rPr>
                <w:sz w:val="11"/>
                <w:szCs w:val="11"/>
                <w:color w:val="auto"/>
              </w:rPr>
            </w:pPr>
          </w:p>
        </w:tc>
        <w:tc>
          <w:tcPr>
            <w:tcW w:w="240" w:type="dxa"/>
            <w:vAlign w:val="bottom"/>
            <w:gridSpan w:val="2"/>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240" w:type="dxa"/>
            <w:vAlign w:val="bottom"/>
            <w:gridSpan w:val="3"/>
          </w:tcPr>
          <w:p>
            <w:pPr>
              <w:spacing w:after="0"/>
              <w:rPr>
                <w:sz w:val="11"/>
                <w:szCs w:val="11"/>
                <w:color w:val="auto"/>
              </w:rPr>
            </w:pPr>
          </w:p>
        </w:tc>
        <w:tc>
          <w:tcPr>
            <w:tcW w:w="520" w:type="dxa"/>
            <w:vAlign w:val="bottom"/>
            <w:tcBorders>
              <w:bottom w:val="single" w:sz="8" w:color="auto"/>
            </w:tcBorders>
            <w:gridSpan w:val="5"/>
          </w:tcPr>
          <w:p>
            <w:pPr>
              <w:spacing w:after="0"/>
              <w:rPr>
                <w:sz w:val="11"/>
                <w:szCs w:val="11"/>
                <w:color w:val="auto"/>
              </w:rPr>
            </w:pPr>
          </w:p>
        </w:tc>
        <w:tc>
          <w:tcPr>
            <w:tcW w:w="240" w:type="dxa"/>
            <w:vAlign w:val="bottom"/>
            <w:gridSpan w:val="3"/>
          </w:tcPr>
          <w:p>
            <w:pPr>
              <w:spacing w:after="0"/>
              <w:rPr>
                <w:sz w:val="11"/>
                <w:szCs w:val="11"/>
                <w:color w:val="auto"/>
              </w:rPr>
            </w:pPr>
          </w:p>
        </w:tc>
        <w:tc>
          <w:tcPr>
            <w:tcW w:w="560" w:type="dxa"/>
            <w:vAlign w:val="bottom"/>
            <w:tcBorders>
              <w:bottom w:val="single" w:sz="8" w:color="auto"/>
            </w:tcBorders>
            <w:gridSpan w:val="3"/>
          </w:tcPr>
          <w:p>
            <w:pPr>
              <w:spacing w:after="0"/>
              <w:rPr>
                <w:sz w:val="11"/>
                <w:szCs w:val="11"/>
                <w:color w:val="auto"/>
              </w:rPr>
            </w:pPr>
          </w:p>
        </w:tc>
        <w:tc>
          <w:tcPr>
            <w:tcW w:w="260" w:type="dxa"/>
            <w:vAlign w:val="bottom"/>
            <w:gridSpan w:val="3"/>
          </w:tcPr>
          <w:p>
            <w:pPr>
              <w:spacing w:after="0"/>
              <w:rPr>
                <w:sz w:val="11"/>
                <w:szCs w:val="11"/>
                <w:color w:val="auto"/>
              </w:rPr>
            </w:pPr>
          </w:p>
        </w:tc>
        <w:tc>
          <w:tcPr>
            <w:tcW w:w="560" w:type="dxa"/>
            <w:vAlign w:val="bottom"/>
            <w:tcBorders>
              <w:bottom w:val="single" w:sz="8" w:color="auto"/>
            </w:tcBorders>
            <w:gridSpan w:val="4"/>
          </w:tcPr>
          <w:p>
            <w:pPr>
              <w:spacing w:after="0"/>
              <w:rPr>
                <w:sz w:val="11"/>
                <w:szCs w:val="11"/>
                <w:color w:val="auto"/>
              </w:rPr>
            </w:pPr>
          </w:p>
        </w:tc>
        <w:tc>
          <w:tcPr>
            <w:tcW w:w="260" w:type="dxa"/>
            <w:vAlign w:val="bottom"/>
            <w:gridSpan w:val="4"/>
          </w:tcPr>
          <w:p>
            <w:pPr>
              <w:spacing w:after="0"/>
              <w:rPr>
                <w:sz w:val="11"/>
                <w:szCs w:val="11"/>
                <w:color w:val="auto"/>
              </w:rPr>
            </w:pPr>
          </w:p>
        </w:tc>
        <w:tc>
          <w:tcPr>
            <w:tcW w:w="460" w:type="dxa"/>
            <w:vAlign w:val="bottom"/>
            <w:tcBorders>
              <w:bottom w:val="single" w:sz="8" w:color="auto"/>
            </w:tcBorders>
            <w:gridSpan w:val="3"/>
          </w:tcPr>
          <w:p>
            <w:pPr>
              <w:spacing w:after="0"/>
              <w:rPr>
                <w:sz w:val="11"/>
                <w:szCs w:val="11"/>
                <w:color w:val="auto"/>
              </w:rPr>
            </w:pPr>
          </w:p>
        </w:tc>
        <w:tc>
          <w:tcPr>
            <w:tcW w:w="260" w:type="dxa"/>
            <w:vAlign w:val="bottom"/>
            <w:gridSpan w:val="2"/>
          </w:tcPr>
          <w:p>
            <w:pPr>
              <w:spacing w:after="0"/>
              <w:rPr>
                <w:sz w:val="11"/>
                <w:szCs w:val="11"/>
                <w:color w:val="auto"/>
              </w:rPr>
            </w:pPr>
          </w:p>
        </w:tc>
        <w:tc>
          <w:tcPr>
            <w:tcW w:w="460" w:type="dxa"/>
            <w:vAlign w:val="bottom"/>
            <w:tcBorders>
              <w:bottom w:val="single" w:sz="8" w:color="auto"/>
            </w:tcBorders>
            <w:gridSpan w:val="4"/>
          </w:tcPr>
          <w:p>
            <w:pPr>
              <w:spacing w:after="0"/>
              <w:rPr>
                <w:sz w:val="11"/>
                <w:szCs w:val="11"/>
                <w:color w:val="auto"/>
              </w:rPr>
            </w:pPr>
          </w:p>
        </w:tc>
        <w:tc>
          <w:tcPr>
            <w:tcW w:w="240" w:type="dxa"/>
            <w:vAlign w:val="bottom"/>
            <w:gridSpan w:val="2"/>
          </w:tcPr>
          <w:p>
            <w:pPr>
              <w:spacing w:after="0"/>
              <w:rPr>
                <w:sz w:val="11"/>
                <w:szCs w:val="11"/>
                <w:color w:val="auto"/>
              </w:rPr>
            </w:pPr>
          </w:p>
        </w:tc>
        <w:tc>
          <w:tcPr>
            <w:tcW w:w="540" w:type="dxa"/>
            <w:vAlign w:val="bottom"/>
            <w:tcBorders>
              <w:bottom w:val="single" w:sz="8" w:color="auto"/>
            </w:tcBorders>
            <w:gridSpan w:val="4"/>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-4514215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-4514215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-4514215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-4514215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-4514215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-4514215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-4514215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-4514215</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-4514215</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-4514215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-4514215</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-4514215</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-4514215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-4514215</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-4514215</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-4514215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-4514215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-4514215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-4514215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-4514215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-4514215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-4514215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-4514215</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-4514215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-4514215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-4514215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-4514215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-4514215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-4514215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-4514215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3873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52" w:orient="portrait"/>
          <w:cols w:equalWidth="0" w:num="1">
            <w:col w:w="11420"/>
          </w:cols>
          <w:pgMar w:left="240" w:top="274" w:right="239" w:bottom="0" w:gutter="0" w:footer="0" w:header="0"/>
        </w:sectPr>
      </w:pPr>
    </w:p>
    <w:p>
      <w:pPr>
        <w:spacing w:after="0" w:line="96" w:lineRule="exact"/>
        <w:rPr>
          <w:sz w:val="20"/>
          <w:szCs w:val="20"/>
          <w:color w:val="auto"/>
        </w:rPr>
      </w:pPr>
    </w:p>
    <w:p>
      <w:pPr>
        <w:ind w:right="5640"/>
        <w:spacing w:after="0" w:line="268" w:lineRule="auto"/>
        <w:rPr>
          <w:sz w:val="20"/>
          <w:szCs w:val="20"/>
          <w:color w:val="auto"/>
        </w:rPr>
      </w:pPr>
      <w:r>
        <w:rPr>
          <w:rFonts w:ascii="Arial" w:cs="Arial" w:eastAsia="Arial" w:hAnsi="Arial"/>
          <w:sz w:val="18"/>
          <w:szCs w:val="18"/>
          <w:color w:val="auto"/>
        </w:rPr>
        <w:t>Restated for NP Test, Verification Systems and e-City as Discontinued Operations All figures stated in $ million.</w:t>
      </w:r>
    </w:p>
    <w:p>
      <w:pPr>
        <w:sectPr>
          <w:pgSz w:w="11900" w:h="16852" w:orient="portrait"/>
          <w:cols w:equalWidth="0" w:num="1">
            <w:col w:w="11420"/>
          </w:cols>
          <w:pgMar w:left="240" w:top="274" w:right="239" w:bottom="0" w:gutter="0" w:footer="0" w:header="0"/>
          <w:type w:val="continuous"/>
        </w:sectPr>
      </w:pPr>
    </w:p>
    <w:bookmarkStart w:id="23" w:name="page24"/>
    <w:bookmarkEnd w:id="23"/>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280" w:right="1440"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This question and answer document, the fourth quarter and full year 2003 earnings release and other statements we make contain forward looking statements, which include any statements that are not historical facts, such as our expectations regarding business outlook, economic recovery, expected capex and depreciation and amortization charges, the capitalizing of multi-client survey costs and the acquisition of new multi-client surveys, the funding of pension plans and related pension expense, the likelihood and timing of and the benefits to be derived from divestitures, conditions in the oilfield service business, including activity levels during 2004 and higher E&amp;P investment, production increases in non-OPEC areas, issues affecting the seismic industry, including sales pertaining to Q technology, continued deepwater drilling activity, benefits from contract awards, future results of operations, pricing, future effective tax rates, general outlook in IT solutions and expectations regarding the sale of our SchlumbergerSema businesses and Atos Origin shares. These statements involve risks and uncertainties, including, but not limited to, the extent and timing of a rebound in the global economy; changes in exploration and production spending by major oil companies; recovery of activity levels, improved pricing and realization of cost reduction and cost savings targets associated with the seismic business; market acceptance of Q seismic technology; general economic and business conditions in key regions of the world, including Argentina; political and economic uncertainty in Venezuela and Nigeria and further socio-political unrest in the Persian Gulf and/or Asia; the completion of the sale of the majority of the SchlumbergerSema businesses and our ability to complete and benefits to be derived from other divestitures; our ability to achieve growth objectives in IT solutions to upstream E&amp;P business; a rebound in the IT environment and an increase in IT spending; the extent and timing of a recovery in the telecommunications industry; continued growth in the demand for smart cards and related products; our ability to meet our identified liquidity projections, including the generation of sufficient cash flow from oilfield operating results and the successful completion of certain business divestitures; potential contributions to pension plans; and other factors detailed in our fourth quarter and full year 2003 earnings release, our most recent Forms 10-K and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3"/>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lvl w:ilvl="1">
      <w:lvlJc w:val="left"/>
      <w:lvlText w:val="•"/>
      <w:numFmt w:val="bullet"/>
      <w:start w:val="1"/>
    </w:lvl>
  </w:abstractNum>
  <w:abstractNum w:abstractNumId="8">
    <w:nsid w:val="1BEFD79F"/>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upperLetter"/>
      <w:start w:val="3"/>
    </w:lvl>
  </w:abstractNum>
  <w:abstractNum w:abstractNumId="18">
    <w:nsid w:val="62BBD95A"/>
    <w:multiLevelType w:val="hybridMultilevel"/>
    <w:lvl w:ilvl="0">
      <w:lvlJc w:val="left"/>
      <w:lvlText w:val="%1)"/>
      <w:numFmt w:val="upperLetter"/>
      <w:start w:val="4"/>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2019-12-13T06:42:15Z</dcterms:created>
  <dcterms:modified xsi:type="dcterms:W3CDTF">2019-12-13T06:42:15Z</dcterms:modified>
</cp:coreProperties>
</file>