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333-231029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778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Schlumberger Investment SA</w:t>
            </w:r>
          </w:p>
        </w:tc>
      </w:tr>
      <w:tr>
        <w:trPr>
          <w:trHeight w:val="324"/>
        </w:trPr>
        <w:tc>
          <w:tcPr>
            <w:tcW w:w="3240" w:type="dxa"/>
            <w:vAlign w:val="bottom"/>
          </w:tcPr>
          <w:p>
            <w:pPr>
              <w:spacing w:after="0"/>
              <w:rPr>
                <w:sz w:val="24"/>
                <w:szCs w:val="24"/>
                <w:color w:val="auto"/>
              </w:rPr>
            </w:pPr>
          </w:p>
        </w:tc>
        <w:tc>
          <w:tcPr>
            <w:tcW w:w="7780" w:type="dxa"/>
            <w:vAlign w:val="bottom"/>
          </w:tcPr>
          <w:p>
            <w:pPr>
              <w:jc w:val="center"/>
              <w:ind w:right="3170"/>
              <w:spacing w:after="0"/>
              <w:rPr>
                <w:sz w:val="20"/>
                <w:szCs w:val="20"/>
                <w:color w:val="auto"/>
              </w:rPr>
            </w:pPr>
            <w:r>
              <w:rPr>
                <w:rFonts w:ascii="Arial" w:cs="Arial" w:eastAsia="Arial" w:hAnsi="Arial"/>
                <w:sz w:val="18"/>
                <w:szCs w:val="18"/>
                <w:b w:val="1"/>
                <w:bCs w:val="1"/>
                <w:color w:val="auto"/>
                <w:w w:val="89"/>
              </w:rPr>
              <w:t>$900,000,000 2.650% Senior Notes due 2030</w:t>
            </w:r>
          </w:p>
        </w:tc>
      </w:tr>
      <w:tr>
        <w:trPr>
          <w:trHeight w:val="324"/>
        </w:trPr>
        <w:tc>
          <w:tcPr>
            <w:tcW w:w="3240" w:type="dxa"/>
            <w:vAlign w:val="bottom"/>
          </w:tcPr>
          <w:p>
            <w:pPr>
              <w:spacing w:after="0"/>
              <w:rPr>
                <w:sz w:val="24"/>
                <w:szCs w:val="24"/>
                <w:color w:val="auto"/>
              </w:rPr>
            </w:pPr>
          </w:p>
        </w:tc>
        <w:tc>
          <w:tcPr>
            <w:tcW w:w="778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Pricing Term Sheet</w:t>
            </w:r>
          </w:p>
        </w:tc>
      </w:tr>
      <w:tr>
        <w:trPr>
          <w:trHeight w:val="324"/>
        </w:trPr>
        <w:tc>
          <w:tcPr>
            <w:tcW w:w="3240" w:type="dxa"/>
            <w:vAlign w:val="bottom"/>
          </w:tcPr>
          <w:p>
            <w:pPr>
              <w:spacing w:after="0"/>
              <w:rPr>
                <w:sz w:val="24"/>
                <w:szCs w:val="24"/>
                <w:color w:val="auto"/>
              </w:rPr>
            </w:pPr>
          </w:p>
        </w:tc>
        <w:tc>
          <w:tcPr>
            <w:tcW w:w="7780" w:type="dxa"/>
            <w:vAlign w:val="bottom"/>
          </w:tcPr>
          <w:p>
            <w:pPr>
              <w:jc w:val="center"/>
              <w:ind w:right="3170"/>
              <w:spacing w:after="0"/>
              <w:rPr>
                <w:sz w:val="20"/>
                <w:szCs w:val="20"/>
                <w:color w:val="auto"/>
              </w:rPr>
            </w:pPr>
            <w:r>
              <w:rPr>
                <w:rFonts w:ascii="Arial" w:cs="Arial" w:eastAsia="Arial" w:hAnsi="Arial"/>
                <w:sz w:val="18"/>
                <w:szCs w:val="18"/>
                <w:b w:val="1"/>
                <w:bCs w:val="1"/>
                <w:color w:val="auto"/>
                <w:w w:val="88"/>
              </w:rPr>
              <w:t>June 17, 2020</w:t>
            </w:r>
          </w:p>
        </w:tc>
      </w:tr>
      <w:tr>
        <w:trPr>
          <w:trHeight w:val="243"/>
        </w:trPr>
        <w:tc>
          <w:tcPr>
            <w:tcW w:w="3240" w:type="dxa"/>
            <w:vAlign w:val="bottom"/>
            <w:tcBorders>
              <w:bottom w:val="single" w:sz="8" w:color="auto"/>
            </w:tcBorders>
          </w:tcPr>
          <w:p>
            <w:pPr>
              <w:spacing w:after="0"/>
              <w:rPr>
                <w:sz w:val="21"/>
                <w:szCs w:val="21"/>
                <w:color w:val="auto"/>
              </w:rPr>
            </w:pPr>
          </w:p>
        </w:tc>
        <w:tc>
          <w:tcPr>
            <w:tcW w:w="7780" w:type="dxa"/>
            <w:vAlign w:val="bottom"/>
            <w:tcBorders>
              <w:bottom w:val="single" w:sz="8" w:color="auto"/>
            </w:tcBorders>
          </w:tcPr>
          <w:p>
            <w:pPr>
              <w:spacing w:after="0"/>
              <w:rPr>
                <w:sz w:val="21"/>
                <w:szCs w:val="21"/>
                <w:color w:val="auto"/>
              </w:rPr>
            </w:pP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Issuer:</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Schlumberger Investment SA</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Guarantor:</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Schlumberger Limited</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2.650% Senior Notes due 2030</w:t>
            </w: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Issue Format:</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SEC registered</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Guarantor Ratings (Moody’s/S&amp;P)*:</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A2 (Negative) / A (Negative)</w:t>
            </w: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Principal Amount:</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$900,000,000</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Coupon:</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2.650%</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Price to Public:</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99.608%</w:t>
            </w: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Payment Dates:</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June 26 and December 26, beginning December 26, 2020</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Trade Date:</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June 17, 2020</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Settlement Date:</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June 26, 2020</w:t>
            </w: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Maturity Date:</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June 26, 2030</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Make-Whole Call:</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T + 30 basis points</w:t>
            </w: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 Call:</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At any time on or after March 26, 2030</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Benchmark Treasury:</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UST 0.625% due May 15, 2030</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Treasury Yield:</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0.745%</w:t>
            </w: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Spread to Benchmark Treasury:</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+195 basis points</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Reoffer Yield:</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2.695%</w:t>
            </w: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CUSIP:</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806854 AJ4</w:t>
            </w: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ISIN:</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US806854AJ48</w:t>
            </w:r>
          </w:p>
        </w:tc>
      </w:tr>
      <w:tr>
        <w:trPr>
          <w:trHeight w:val="195"/>
        </w:trPr>
        <w:tc>
          <w:tcPr>
            <w:tcW w:w="3240" w:type="dxa"/>
            <w:vAlign w:val="bottom"/>
          </w:tcPr>
          <w:p>
            <w:pPr>
              <w:spacing w:after="0" w:line="195" w:lineRule="exact"/>
              <w:rPr>
                <w:sz w:val="20"/>
                <w:szCs w:val="20"/>
                <w:color w:val="auto"/>
              </w:rPr>
            </w:pPr>
            <w:r>
              <w:rPr>
                <w:rFonts w:ascii="Arial" w:cs="Arial" w:eastAsia="Arial" w:hAnsi="Arial"/>
                <w:sz w:val="18"/>
                <w:szCs w:val="18"/>
                <w:color w:val="auto"/>
              </w:rPr>
              <w:t>Joint Book-Running Managers:</w:t>
            </w:r>
          </w:p>
        </w:tc>
        <w:tc>
          <w:tcPr>
            <w:tcW w:w="7780" w:type="dxa"/>
            <w:vAlign w:val="bottom"/>
          </w:tcPr>
          <w:p>
            <w:pPr>
              <w:ind w:left="2500"/>
              <w:spacing w:after="0" w:line="195" w:lineRule="exact"/>
              <w:rPr>
                <w:sz w:val="20"/>
                <w:szCs w:val="20"/>
                <w:color w:val="auto"/>
              </w:rPr>
            </w:pPr>
            <w:r>
              <w:rPr>
                <w:rFonts w:ascii="Arial" w:cs="Arial" w:eastAsia="Arial" w:hAnsi="Arial"/>
                <w:sz w:val="18"/>
                <w:szCs w:val="18"/>
                <w:color w:val="auto"/>
              </w:rPr>
              <w:t>Citigroup Global Markets Inc.</w:t>
            </w:r>
          </w:p>
        </w:tc>
      </w:tr>
      <w:tr>
        <w:trPr>
          <w:trHeight w:val="216"/>
        </w:trPr>
        <w:tc>
          <w:tcPr>
            <w:tcW w:w="3240" w:type="dxa"/>
            <w:vAlign w:val="bottom"/>
          </w:tcPr>
          <w:p>
            <w:pPr>
              <w:spacing w:after="0"/>
              <w:rPr>
                <w:sz w:val="18"/>
                <w:szCs w:val="18"/>
                <w:color w:val="auto"/>
              </w:rPr>
            </w:pPr>
          </w:p>
        </w:tc>
        <w:tc>
          <w:tcPr>
            <w:tcW w:w="7780" w:type="dxa"/>
            <w:vAlign w:val="bottom"/>
          </w:tcPr>
          <w:p>
            <w:pPr>
              <w:ind w:left="2500"/>
              <w:spacing w:after="0"/>
              <w:rPr>
                <w:sz w:val="20"/>
                <w:szCs w:val="20"/>
                <w:color w:val="auto"/>
              </w:rPr>
            </w:pPr>
            <w:r>
              <w:rPr>
                <w:rFonts w:ascii="Arial" w:cs="Arial" w:eastAsia="Arial" w:hAnsi="Arial"/>
                <w:sz w:val="18"/>
                <w:szCs w:val="18"/>
                <w:color w:val="auto"/>
              </w:rPr>
              <w:t>HSBC Securities (USA) Inc.</w:t>
            </w:r>
          </w:p>
        </w:tc>
      </w:tr>
      <w:tr>
        <w:trPr>
          <w:trHeight w:val="216"/>
        </w:trPr>
        <w:tc>
          <w:tcPr>
            <w:tcW w:w="3240" w:type="dxa"/>
            <w:vAlign w:val="bottom"/>
          </w:tcPr>
          <w:p>
            <w:pPr>
              <w:spacing w:after="0"/>
              <w:rPr>
                <w:sz w:val="18"/>
                <w:szCs w:val="18"/>
                <w:color w:val="auto"/>
              </w:rPr>
            </w:pPr>
          </w:p>
        </w:tc>
        <w:tc>
          <w:tcPr>
            <w:tcW w:w="7780" w:type="dxa"/>
            <w:vAlign w:val="bottom"/>
          </w:tcPr>
          <w:p>
            <w:pPr>
              <w:ind w:left="2500"/>
              <w:spacing w:after="0"/>
              <w:rPr>
                <w:sz w:val="20"/>
                <w:szCs w:val="20"/>
                <w:color w:val="auto"/>
              </w:rPr>
            </w:pPr>
            <w:r>
              <w:rPr>
                <w:rFonts w:ascii="Arial" w:cs="Arial" w:eastAsia="Arial" w:hAnsi="Arial"/>
                <w:sz w:val="18"/>
                <w:szCs w:val="18"/>
                <w:color w:val="auto"/>
              </w:rPr>
              <w:t>J.P. Morgan Securities LLC</w:t>
            </w:r>
          </w:p>
        </w:tc>
      </w:tr>
      <w:tr>
        <w:trPr>
          <w:trHeight w:val="216"/>
        </w:trPr>
        <w:tc>
          <w:tcPr>
            <w:tcW w:w="3240" w:type="dxa"/>
            <w:vAlign w:val="bottom"/>
          </w:tcPr>
          <w:p>
            <w:pPr>
              <w:spacing w:after="0"/>
              <w:rPr>
                <w:sz w:val="18"/>
                <w:szCs w:val="18"/>
                <w:color w:val="auto"/>
              </w:rPr>
            </w:pPr>
          </w:p>
        </w:tc>
        <w:tc>
          <w:tcPr>
            <w:tcW w:w="7780" w:type="dxa"/>
            <w:vAlign w:val="bottom"/>
          </w:tcPr>
          <w:p>
            <w:pPr>
              <w:ind w:left="2500"/>
              <w:spacing w:after="0"/>
              <w:rPr>
                <w:sz w:val="20"/>
                <w:szCs w:val="20"/>
                <w:color w:val="auto"/>
              </w:rPr>
            </w:pPr>
            <w:r>
              <w:rPr>
                <w:rFonts w:ascii="Arial" w:cs="Arial" w:eastAsia="Arial" w:hAnsi="Arial"/>
                <w:sz w:val="18"/>
                <w:szCs w:val="18"/>
                <w:color w:val="auto"/>
              </w:rPr>
              <w:t>SG Americas Securities, LLC</w:t>
            </w:r>
          </w:p>
        </w:tc>
      </w:tr>
      <w:tr>
        <w:trPr>
          <w:trHeight w:val="216"/>
        </w:trPr>
        <w:tc>
          <w:tcPr>
            <w:tcW w:w="3240" w:type="dxa"/>
            <w:vAlign w:val="bottom"/>
          </w:tcPr>
          <w:p>
            <w:pPr>
              <w:spacing w:after="0"/>
              <w:rPr>
                <w:sz w:val="18"/>
                <w:szCs w:val="18"/>
                <w:color w:val="auto"/>
              </w:rPr>
            </w:pPr>
          </w:p>
        </w:tc>
        <w:tc>
          <w:tcPr>
            <w:tcW w:w="7780" w:type="dxa"/>
            <w:vAlign w:val="bottom"/>
          </w:tcPr>
          <w:p>
            <w:pPr>
              <w:ind w:left="2500"/>
              <w:spacing w:after="0"/>
              <w:rPr>
                <w:sz w:val="20"/>
                <w:szCs w:val="20"/>
                <w:color w:val="auto"/>
              </w:rPr>
            </w:pPr>
            <w:r>
              <w:rPr>
                <w:rFonts w:ascii="Arial" w:cs="Arial" w:eastAsia="Arial" w:hAnsi="Arial"/>
                <w:sz w:val="18"/>
                <w:szCs w:val="18"/>
                <w:color w:val="auto"/>
              </w:rPr>
              <w:t>BBVA Securities Inc.</w:t>
            </w:r>
          </w:p>
        </w:tc>
      </w:tr>
      <w:tr>
        <w:trPr>
          <w:trHeight w:val="216"/>
        </w:trPr>
        <w:tc>
          <w:tcPr>
            <w:tcW w:w="3240" w:type="dxa"/>
            <w:vAlign w:val="bottom"/>
          </w:tcPr>
          <w:p>
            <w:pPr>
              <w:spacing w:after="0"/>
              <w:rPr>
                <w:sz w:val="18"/>
                <w:szCs w:val="18"/>
                <w:color w:val="auto"/>
              </w:rPr>
            </w:pPr>
          </w:p>
        </w:tc>
        <w:tc>
          <w:tcPr>
            <w:tcW w:w="7780" w:type="dxa"/>
            <w:vAlign w:val="bottom"/>
          </w:tcPr>
          <w:p>
            <w:pPr>
              <w:ind w:left="250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3240" w:type="dxa"/>
            <w:vAlign w:val="bottom"/>
          </w:tcPr>
          <w:p>
            <w:pPr>
              <w:spacing w:after="0"/>
              <w:rPr>
                <w:sz w:val="18"/>
                <w:szCs w:val="18"/>
                <w:color w:val="auto"/>
              </w:rPr>
            </w:pPr>
          </w:p>
        </w:tc>
        <w:tc>
          <w:tcPr>
            <w:tcW w:w="7780" w:type="dxa"/>
            <w:vAlign w:val="bottom"/>
          </w:tcPr>
          <w:p>
            <w:pPr>
              <w:ind w:left="2500"/>
              <w:spacing w:after="0"/>
              <w:rPr>
                <w:sz w:val="20"/>
                <w:szCs w:val="20"/>
                <w:color w:val="auto"/>
              </w:rPr>
            </w:pPr>
            <w:r>
              <w:rPr>
                <w:rFonts w:ascii="Arial" w:cs="Arial" w:eastAsia="Arial" w:hAnsi="Arial"/>
                <w:sz w:val="18"/>
                <w:szCs w:val="18"/>
                <w:color w:val="auto"/>
              </w:rPr>
              <w:t>Morgan Stanley &amp; Co. LLC</w:t>
            </w:r>
          </w:p>
        </w:tc>
      </w:tr>
      <w:tr>
        <w:trPr>
          <w:trHeight w:val="237"/>
        </w:trPr>
        <w:tc>
          <w:tcPr>
            <w:tcW w:w="324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MUFG Securities Americas Inc.</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i w:val="1"/>
          <w:iCs w:val="1"/>
          <w:color w:val="auto"/>
        </w:rPr>
        <w:t>*Note: A securities rating is not a recommendation to buy, sell or hold securities and may be subject to revision or withdrawal at any time.</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Settlement and Sale of the Notes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Issuer expects to deliver the Notes against payment for the Notes on or about June 26, 2020 which will be the seventh business day following June 17, 2020, the date of the pricing of the Notes. Since trades in the secondary market generally settle in two business days, purchasers who wish to trade Notes on the date of pricing or the next four succeeding business days will be required, by virtue of the fact that the Notes initially will settle in T+7, to specify alternative settlement arrangements to prevent a failed settlement.</w:t>
      </w:r>
    </w:p>
    <w:p>
      <w:pPr>
        <w:spacing w:after="0" w:line="183"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Citigroup Global Markets Inc. toll-free at 1-800-831-9146, HSBC Securities (USA) Inc. toll-free at 1-866-811-8049, J.P. Morgan Securities LLC collect at 1-212-834-4533 and SG Americas Securities, LLC toll-free at 1-855-881-2108.</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2020-06-17T16:14:10Z</dcterms:created>
  <dcterms:modified xsi:type="dcterms:W3CDTF">2020-06-17T16:14:10Z</dcterms:modified>
</cp:coreProperties>
</file>