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181610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52705</wp:posOffset>
            </wp:positionV>
            <wp:extent cx="1449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72390</wp:posOffset>
            </wp:positionV>
            <wp:extent cx="1449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4" w:lineRule="exact"/>
        <w:rPr>
          <w:sz w:val="24"/>
          <w:szCs w:val="24"/>
          <w:color w:val="auto"/>
        </w:rPr>
      </w:pPr>
    </w:p>
    <w:p>
      <w:pPr>
        <w:ind w:left="520" w:hanging="51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ind w:left="520" w:hanging="514"/>
        <w:spacing w:after="0" w:line="219" w:lineRule="auto"/>
        <w:tabs>
          <w:tab w:leader="none" w:pos="520" w:val="left"/>
        </w:tabs>
        <w:numPr>
          <w:ilvl w:val="0"/>
          <w:numId w:val="2"/>
        </w:numPr>
        <w:rPr>
          <w:rFonts w:ascii="MS PGothic" w:cs="MS PGothic" w:eastAsia="MS PGothic" w:hAnsi="MS PGothic"/>
          <w:sz w:val="34"/>
          <w:szCs w:val="34"/>
          <w:color w:val="auto"/>
          <w:vertAlign w:val="super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6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1-4601</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-263525</wp:posOffset>
            </wp:positionV>
            <wp:extent cx="1449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(Schlumberger Limited)</w:t>
      </w: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51" w:lineRule="exact"/>
        <w:rPr>
          <w:sz w:val="24"/>
          <w:szCs w:val="24"/>
          <w:color w:val="auto"/>
        </w:rPr>
      </w:pPr>
    </w:p>
    <w:tbl>
      <w:tblPr>
        <w:tblLayout w:type="fixed"/>
        <w:tblInd w:w="1320" w:type="dxa"/>
        <w:tblCellMar>
          <w:top w:w="0" w:type="dxa"/>
          <w:left w:w="0" w:type="dxa"/>
          <w:bottom w:w="0" w:type="dxa"/>
          <w:right w:w="0" w:type="dxa"/>
        </w:tblCellMar>
      </w:tblPr>
      <w:tr>
        <w:trPr>
          <w:trHeight w:val="141"/>
        </w:trPr>
        <w:tc>
          <w:tcPr>
            <w:tcW w:w="3260" w:type="dxa"/>
            <w:vAlign w:val="bottom"/>
          </w:tcPr>
          <w:p>
            <w:pPr>
              <w:jc w:val="center"/>
              <w:ind w:right="231"/>
              <w:spacing w:after="0" w:line="141" w:lineRule="exact"/>
              <w:rPr>
                <w:sz w:val="20"/>
                <w:szCs w:val="20"/>
                <w:color w:val="auto"/>
              </w:rPr>
            </w:pPr>
            <w:r>
              <w:rPr>
                <w:rFonts w:ascii="Times New Roman" w:cs="Times New Roman" w:eastAsia="Times New Roman" w:hAnsi="Times New Roman"/>
                <w:sz w:val="14"/>
                <w:szCs w:val="14"/>
                <w:b w:val="1"/>
                <w:bCs w:val="1"/>
                <w:color w:val="auto"/>
              </w:rPr>
              <w:t>Curaçao</w:t>
            </w:r>
          </w:p>
        </w:tc>
        <w:tc>
          <w:tcPr>
            <w:tcW w:w="2280" w:type="dxa"/>
            <w:vAlign w:val="bottom"/>
            <w:tcBorders>
              <w:top w:val="single" w:sz="8" w:color="auto"/>
            </w:tcBorders>
          </w:tcPr>
          <w:p>
            <w:pPr>
              <w:spacing w:after="0"/>
              <w:rPr>
                <w:sz w:val="12"/>
                <w:szCs w:val="12"/>
                <w:color w:val="auto"/>
              </w:rPr>
            </w:pPr>
          </w:p>
        </w:tc>
        <w:tc>
          <w:tcPr>
            <w:tcW w:w="2620" w:type="dxa"/>
            <w:vAlign w:val="bottom"/>
          </w:tcPr>
          <w:p>
            <w:pPr>
              <w:jc w:val="center"/>
              <w:ind w:left="833"/>
              <w:spacing w:after="0" w:line="141" w:lineRule="exact"/>
              <w:rPr>
                <w:sz w:val="20"/>
                <w:szCs w:val="20"/>
                <w:color w:val="auto"/>
              </w:rPr>
            </w:pPr>
            <w:r>
              <w:rPr>
                <w:rFonts w:ascii="Times New Roman" w:cs="Times New Roman" w:eastAsia="Times New Roman" w:hAnsi="Times New Roman"/>
                <w:sz w:val="14"/>
                <w:szCs w:val="14"/>
                <w:b w:val="1"/>
                <w:bCs w:val="1"/>
                <w:color w:val="auto"/>
              </w:rPr>
              <w:t>52-0684746</w:t>
            </w:r>
          </w:p>
        </w:tc>
        <w:tc>
          <w:tcPr>
            <w:tcW w:w="0" w:type="dxa"/>
            <w:vAlign w:val="bottom"/>
          </w:tcPr>
          <w:p>
            <w:pPr>
              <w:spacing w:after="0"/>
              <w:rPr>
                <w:sz w:val="1"/>
                <w:szCs w:val="1"/>
                <w:color w:val="auto"/>
              </w:rPr>
            </w:pPr>
          </w:p>
        </w:tc>
      </w:tr>
      <w:tr>
        <w:trPr>
          <w:trHeight w:val="160"/>
        </w:trPr>
        <w:tc>
          <w:tcPr>
            <w:tcW w:w="3260" w:type="dxa"/>
            <w:vAlign w:val="bottom"/>
          </w:tcPr>
          <w:p>
            <w:pPr>
              <w:jc w:val="center"/>
              <w:ind w:right="231"/>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tc>
        <w:tc>
          <w:tcPr>
            <w:tcW w:w="2280" w:type="dxa"/>
            <w:vAlign w:val="bottom"/>
          </w:tcPr>
          <w:p>
            <w:pPr>
              <w:spacing w:after="0"/>
              <w:rPr>
                <w:sz w:val="13"/>
                <w:szCs w:val="13"/>
                <w:color w:val="auto"/>
              </w:rPr>
            </w:pPr>
          </w:p>
        </w:tc>
        <w:tc>
          <w:tcPr>
            <w:tcW w:w="2620" w:type="dxa"/>
            <w:vAlign w:val="bottom"/>
          </w:tcPr>
          <w:p>
            <w:pPr>
              <w:jc w:val="center"/>
              <w:ind w:left="853"/>
              <w:spacing w:after="0"/>
              <w:rPr>
                <w:sz w:val="20"/>
                <w:szCs w:val="20"/>
                <w:color w:val="auto"/>
              </w:rPr>
            </w:pPr>
            <w:r>
              <w:rPr>
                <w:rFonts w:ascii="Times New Roman" w:cs="Times New Roman" w:eastAsia="Times New Roman" w:hAnsi="Times New Roman"/>
                <w:sz w:val="12"/>
                <w:szCs w:val="12"/>
                <w:color w:val="auto"/>
              </w:rPr>
              <w:t>(IRS Employer Identification No.)</w:t>
            </w:r>
          </w:p>
        </w:tc>
        <w:tc>
          <w:tcPr>
            <w:tcW w:w="0" w:type="dxa"/>
            <w:vAlign w:val="bottom"/>
          </w:tcPr>
          <w:p>
            <w:pPr>
              <w:spacing w:after="0"/>
              <w:rPr>
                <w:sz w:val="1"/>
                <w:szCs w:val="1"/>
                <w:color w:val="auto"/>
              </w:rPr>
            </w:pPr>
          </w:p>
        </w:tc>
      </w:tr>
      <w:tr>
        <w:trPr>
          <w:trHeight w:val="178"/>
        </w:trPr>
        <w:tc>
          <w:tcPr>
            <w:tcW w:w="3260" w:type="dxa"/>
            <w:vAlign w:val="bottom"/>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42, rue Saint-Dominique</w:t>
            </w:r>
          </w:p>
        </w:tc>
        <w:tc>
          <w:tcPr>
            <w:tcW w:w="4900" w:type="dxa"/>
            <w:vAlign w:val="bottom"/>
            <w:gridSpan w:val="2"/>
            <w:vMerge w:val="restart"/>
          </w:tcPr>
          <w:p>
            <w:pPr>
              <w:jc w:val="center"/>
              <w:ind w:left="3129"/>
              <w:spacing w:after="0"/>
              <w:rPr>
                <w:sz w:val="20"/>
                <w:szCs w:val="20"/>
                <w:color w:val="auto"/>
              </w:rPr>
            </w:pPr>
            <w:r>
              <w:rPr>
                <w:rFonts w:ascii="Times New Roman" w:cs="Times New Roman" w:eastAsia="Times New Roman" w:hAnsi="Times New Roman"/>
                <w:sz w:val="14"/>
                <w:szCs w:val="14"/>
                <w:b w:val="1"/>
                <w:bCs w:val="1"/>
                <w:color w:val="auto"/>
                <w:w w:val="97"/>
              </w:rPr>
              <w:t>75007</w:t>
            </w:r>
          </w:p>
        </w:tc>
        <w:tc>
          <w:tcPr>
            <w:tcW w:w="0" w:type="dxa"/>
            <w:vAlign w:val="bottom"/>
          </w:tcPr>
          <w:p>
            <w:pPr>
              <w:spacing w:after="0"/>
              <w:rPr>
                <w:sz w:val="1"/>
                <w:szCs w:val="1"/>
                <w:color w:val="auto"/>
              </w:rPr>
            </w:pPr>
          </w:p>
        </w:tc>
      </w:tr>
      <w:tr>
        <w:trPr>
          <w:trHeight w:val="186"/>
        </w:trPr>
        <w:tc>
          <w:tcPr>
            <w:tcW w:w="326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Paris, France</w:t>
            </w:r>
          </w:p>
        </w:tc>
        <w:tc>
          <w:tcPr>
            <w:tcW w:w="4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260" w:type="dxa"/>
            <w:vAlign w:val="bottom"/>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5599 San Felipe, 17</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w:t>
            </w:r>
          </w:p>
        </w:tc>
        <w:tc>
          <w:tcPr>
            <w:tcW w:w="4900" w:type="dxa"/>
            <w:vAlign w:val="bottom"/>
            <w:gridSpan w:val="2"/>
            <w:vMerge w:val="restart"/>
          </w:tcPr>
          <w:p>
            <w:pPr>
              <w:jc w:val="center"/>
              <w:ind w:left="3129"/>
              <w:spacing w:after="0"/>
              <w:rPr>
                <w:sz w:val="20"/>
                <w:szCs w:val="20"/>
                <w:color w:val="auto"/>
              </w:rPr>
            </w:pPr>
            <w:r>
              <w:rPr>
                <w:rFonts w:ascii="Times New Roman" w:cs="Times New Roman" w:eastAsia="Times New Roman" w:hAnsi="Times New Roman"/>
                <w:sz w:val="14"/>
                <w:szCs w:val="14"/>
                <w:b w:val="1"/>
                <w:bCs w:val="1"/>
                <w:color w:val="auto"/>
                <w:w w:val="97"/>
              </w:rPr>
              <w:t>77056</w:t>
            </w:r>
          </w:p>
        </w:tc>
        <w:tc>
          <w:tcPr>
            <w:tcW w:w="0" w:type="dxa"/>
            <w:vAlign w:val="bottom"/>
          </w:tcPr>
          <w:p>
            <w:pPr>
              <w:spacing w:after="0"/>
              <w:rPr>
                <w:sz w:val="1"/>
                <w:szCs w:val="1"/>
                <w:color w:val="auto"/>
              </w:rPr>
            </w:pPr>
          </w:p>
        </w:tc>
      </w:tr>
      <w:tr>
        <w:trPr>
          <w:trHeight w:val="186"/>
        </w:trPr>
        <w:tc>
          <w:tcPr>
            <w:tcW w:w="326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Houston, Texas, United States of America</w:t>
            </w:r>
          </w:p>
        </w:tc>
        <w:tc>
          <w:tcPr>
            <w:tcW w:w="4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26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62 Buckingham Gate,</w:t>
            </w:r>
          </w:p>
        </w:tc>
        <w:tc>
          <w:tcPr>
            <w:tcW w:w="2280" w:type="dxa"/>
            <w:vAlign w:val="bottom"/>
          </w:tcPr>
          <w:p>
            <w:pPr>
              <w:spacing w:after="0"/>
              <w:rPr>
                <w:sz w:val="14"/>
                <w:szCs w:val="14"/>
                <w:color w:val="auto"/>
              </w:rPr>
            </w:pPr>
          </w:p>
        </w:tc>
        <w:tc>
          <w:tcPr>
            <w:tcW w:w="2620" w:type="dxa"/>
            <w:vAlign w:val="bottom"/>
            <w:vMerge w:val="restart"/>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rPr>
              <w:t>SW1E 6AJ</w:t>
            </w:r>
          </w:p>
        </w:tc>
        <w:tc>
          <w:tcPr>
            <w:tcW w:w="0" w:type="dxa"/>
            <w:vAlign w:val="bottom"/>
          </w:tcPr>
          <w:p>
            <w:pPr>
              <w:spacing w:after="0"/>
              <w:rPr>
                <w:sz w:val="1"/>
                <w:szCs w:val="1"/>
                <w:color w:val="auto"/>
              </w:rPr>
            </w:pPr>
          </w:p>
        </w:tc>
      </w:tr>
      <w:tr>
        <w:trPr>
          <w:trHeight w:val="186"/>
        </w:trPr>
        <w:tc>
          <w:tcPr>
            <w:tcW w:w="326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London, United Kingdom</w:t>
            </w:r>
          </w:p>
        </w:tc>
        <w:tc>
          <w:tcPr>
            <w:tcW w:w="2280" w:type="dxa"/>
            <w:vAlign w:val="bottom"/>
          </w:tcPr>
          <w:p>
            <w:pPr>
              <w:spacing w:after="0"/>
              <w:rPr>
                <w:sz w:val="16"/>
                <w:szCs w:val="16"/>
                <w:color w:val="auto"/>
              </w:rPr>
            </w:pPr>
          </w:p>
        </w:tc>
        <w:tc>
          <w:tcPr>
            <w:tcW w:w="2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260" w:type="dxa"/>
            <w:vAlign w:val="bottom"/>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Parkstraat 83, The Hague,</w:t>
            </w:r>
          </w:p>
        </w:tc>
        <w:tc>
          <w:tcPr>
            <w:tcW w:w="2280" w:type="dxa"/>
            <w:vAlign w:val="bottom"/>
          </w:tcPr>
          <w:p>
            <w:pPr>
              <w:spacing w:after="0"/>
              <w:rPr>
                <w:sz w:val="14"/>
                <w:szCs w:val="14"/>
                <w:color w:val="auto"/>
              </w:rPr>
            </w:pPr>
          </w:p>
        </w:tc>
        <w:tc>
          <w:tcPr>
            <w:tcW w:w="2620" w:type="dxa"/>
            <w:vAlign w:val="bottom"/>
            <w:vMerge w:val="restart"/>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rPr>
              <w:t>2514 JG</w:t>
            </w:r>
          </w:p>
        </w:tc>
        <w:tc>
          <w:tcPr>
            <w:tcW w:w="0" w:type="dxa"/>
            <w:vAlign w:val="bottom"/>
          </w:tcPr>
          <w:p>
            <w:pPr>
              <w:spacing w:after="0"/>
              <w:rPr>
                <w:sz w:val="1"/>
                <w:szCs w:val="1"/>
                <w:color w:val="auto"/>
              </w:rPr>
            </w:pPr>
          </w:p>
        </w:tc>
      </w:tr>
      <w:tr>
        <w:trPr>
          <w:trHeight w:val="152"/>
        </w:trPr>
        <w:tc>
          <w:tcPr>
            <w:tcW w:w="3260" w:type="dxa"/>
            <w:vAlign w:val="bottom"/>
          </w:tcPr>
          <w:p>
            <w:pPr>
              <w:jc w:val="center"/>
              <w:ind w:right="211"/>
              <w:spacing w:after="0" w:line="153" w:lineRule="exact"/>
              <w:rPr>
                <w:sz w:val="20"/>
                <w:szCs w:val="20"/>
                <w:color w:val="auto"/>
              </w:rPr>
            </w:pPr>
            <w:r>
              <w:rPr>
                <w:rFonts w:ascii="Times New Roman" w:cs="Times New Roman" w:eastAsia="Times New Roman" w:hAnsi="Times New Roman"/>
                <w:sz w:val="14"/>
                <w:szCs w:val="14"/>
                <w:b w:val="1"/>
                <w:bCs w:val="1"/>
                <w:color w:val="auto"/>
              </w:rPr>
              <w:t>The Netherlands</w:t>
            </w:r>
          </w:p>
        </w:tc>
        <w:tc>
          <w:tcPr>
            <w:tcW w:w="228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tcPr>
          <w:p>
            <w:pPr>
              <w:jc w:val="center"/>
              <w:ind w:right="211"/>
              <w:spacing w:after="0"/>
              <w:rPr>
                <w:sz w:val="20"/>
                <w:szCs w:val="20"/>
                <w:color w:val="auto"/>
              </w:rPr>
            </w:pPr>
            <w:r>
              <w:rPr>
                <w:rFonts w:ascii="Times New Roman" w:cs="Times New Roman" w:eastAsia="Times New Roman" w:hAnsi="Times New Roman"/>
                <w:sz w:val="12"/>
                <w:szCs w:val="12"/>
                <w:color w:val="auto"/>
              </w:rPr>
              <w:t>(Addresses of principal executive offices)</w:t>
            </w:r>
          </w:p>
        </w:tc>
        <w:tc>
          <w:tcPr>
            <w:tcW w:w="2280" w:type="dxa"/>
            <w:vAlign w:val="bottom"/>
          </w:tcPr>
          <w:p>
            <w:pPr>
              <w:spacing w:after="0"/>
              <w:rPr>
                <w:sz w:val="13"/>
                <w:szCs w:val="13"/>
                <w:color w:val="auto"/>
              </w:rPr>
            </w:pPr>
          </w:p>
        </w:tc>
        <w:tc>
          <w:tcPr>
            <w:tcW w:w="2620" w:type="dxa"/>
            <w:vAlign w:val="bottom"/>
          </w:tcPr>
          <w:p>
            <w:pPr>
              <w:jc w:val="center"/>
              <w:ind w:left="853"/>
              <w:spacing w:after="0"/>
              <w:rPr>
                <w:sz w:val="20"/>
                <w:szCs w:val="20"/>
                <w:color w:val="auto"/>
              </w:rPr>
            </w:pPr>
            <w:r>
              <w:rPr>
                <w:rFonts w:ascii="Times New Roman" w:cs="Times New Roman" w:eastAsia="Times New Roman" w:hAnsi="Times New Roman"/>
                <w:sz w:val="12"/>
                <w:szCs w:val="12"/>
                <w:color w:val="auto"/>
              </w:rPr>
              <w:t>(Zip Codes)</w:t>
            </w:r>
          </w:p>
        </w:tc>
        <w:tc>
          <w:tcPr>
            <w:tcW w:w="0" w:type="dxa"/>
            <w:vAlign w:val="bottom"/>
          </w:tcPr>
          <w:p>
            <w:pPr>
              <w:spacing w:after="0"/>
              <w:rPr>
                <w:sz w:val="1"/>
                <w:szCs w:val="1"/>
                <w:color w:val="auto"/>
              </w:rPr>
            </w:pPr>
          </w:p>
        </w:tc>
      </w:tr>
    </w:tbl>
    <w:p>
      <w:pPr>
        <w:ind w:left="2980"/>
        <w:spacing w:after="0"/>
        <w:rPr>
          <w:sz w:val="20"/>
          <w:szCs w:val="20"/>
          <w:color w:val="auto"/>
        </w:rPr>
      </w:pPr>
      <w:r>
        <w:rPr>
          <w:rFonts w:ascii="Times New Roman" w:cs="Times New Roman" w:eastAsia="Times New Roman" w:hAnsi="Times New Roman"/>
          <w:sz w:val="14"/>
          <w:szCs w:val="14"/>
          <w:b w:val="1"/>
          <w:bCs w:val="1"/>
          <w:color w:val="auto"/>
        </w:rPr>
        <w:t>Registrant’s telephone number in the United States, including area code, is: (713) 513-2000</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420"/>
          </w:cols>
          <w:pgMar w:left="240" w:top="340" w:right="239" w:bottom="1440" w:gutter="0" w:footer="0" w:header="0"/>
        </w:sectPr>
      </w:pPr>
    </w:p>
    <w:p>
      <w:pPr>
        <w:spacing w:after="0" w:line="23"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3"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SLB</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477520</wp:posOffset>
            </wp:positionH>
            <wp:positionV relativeFrom="paragraph">
              <wp:posOffset>48260</wp:posOffset>
            </wp:positionV>
            <wp:extent cx="1449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266" w:lineRule="exact"/>
        <w:rPr>
          <w:sz w:val="24"/>
          <w:szCs w:val="24"/>
          <w:color w:val="auto"/>
        </w:rPr>
      </w:pPr>
    </w:p>
    <w:p>
      <w:pPr>
        <w:sectPr>
          <w:pgSz w:w="11900" w:h="16838" w:orient="portrait"/>
          <w:cols w:equalWidth="0" w:num="3">
            <w:col w:w="3220" w:space="600"/>
            <w:col w:w="3800" w:space="480"/>
            <w:col w:w="3320"/>
          </w:cols>
          <w:pgMar w:left="240" w:top="340" w:right="239" w:bottom="1440" w:gutter="0" w:footer="0" w:header="0"/>
          <w:type w:val="continuous"/>
        </w:sectPr>
      </w:pPr>
    </w:p>
    <w:p>
      <w:pPr>
        <w:ind w:right="3780"/>
        <w:spacing w:after="0" w:line="217"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28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2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jc w:val="both"/>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80"/>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65" w:lineRule="exact"/>
        <w:rPr>
          <w:sz w:val="24"/>
          <w:szCs w:val="24"/>
          <w:color w:val="auto"/>
        </w:rPr>
      </w:pPr>
    </w:p>
    <w:p>
      <w:pPr>
        <w:ind w:right="36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June 30, 2019, the aggregate market value of the common stock of the registrant held by non-affiliates of the registrant was approximately $54.89 billion.</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2019, the number of shares of common stock outstanding was 1,384,515,345.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5" w:lineRule="exact"/>
        <w:rPr>
          <w:sz w:val="24"/>
          <w:szCs w:val="24"/>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Certain information required to be furnished pursuant to Part III of this Form 10-K is set forth in, and is incorporated by reference from, Schlumberger’s definitive proxy statement for its 2020 Annual General Meeting of Stockholders, to be filed by Schlumberger with the Securities and Exchange Commission (“SEC”) pursuant to Regulation 14A within 120 days after December 31, 2019 (the “2020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249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75565</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4"/>
        </w:trPr>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20" w:type="dxa"/>
            <w:vAlign w:val="bottom"/>
            <w:gridSpan w:val="8"/>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8"/>
              </w:rPr>
              <w:t>SCHLUMBERGER LIMITED</w:t>
            </w:r>
          </w:p>
        </w:tc>
        <w:tc>
          <w:tcPr>
            <w:tcW w:w="380" w:type="dxa"/>
            <w:vAlign w:val="bottom"/>
          </w:tcPr>
          <w:p>
            <w:pPr>
              <w:spacing w:after="0"/>
              <w:rPr>
                <w:sz w:val="18"/>
                <w:szCs w:val="18"/>
                <w:color w:val="auto"/>
              </w:rPr>
            </w:pPr>
          </w:p>
        </w:tc>
      </w:tr>
      <w:tr>
        <w:trPr>
          <w:trHeight w:val="212"/>
        </w:trPr>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20" w:type="dxa"/>
            <w:vAlign w:val="bottom"/>
            <w:gridSpan w:val="8"/>
          </w:tcPr>
          <w:p>
            <w:pPr>
              <w:jc w:val="center"/>
              <w:ind w:right="3940"/>
              <w:spacing w:after="0"/>
              <w:rPr>
                <w:sz w:val="20"/>
                <w:szCs w:val="20"/>
                <w:color w:val="auto"/>
              </w:rPr>
            </w:pPr>
            <w:r>
              <w:rPr>
                <w:rFonts w:ascii="Times New Roman" w:cs="Times New Roman" w:eastAsia="Times New Roman" w:hAnsi="Times New Roman"/>
                <w:sz w:val="18"/>
                <w:szCs w:val="18"/>
                <w:color w:val="auto"/>
                <w:w w:val="97"/>
              </w:rPr>
              <w:t>Table of Contents</w:t>
            </w:r>
          </w:p>
        </w:tc>
        <w:tc>
          <w:tcPr>
            <w:tcW w:w="380" w:type="dxa"/>
            <w:vAlign w:val="bottom"/>
          </w:tcPr>
          <w:p>
            <w:pPr>
              <w:spacing w:after="0"/>
              <w:rPr>
                <w:sz w:val="18"/>
                <w:szCs w:val="18"/>
                <w:color w:val="auto"/>
              </w:rPr>
            </w:pPr>
          </w:p>
        </w:tc>
      </w:tr>
      <w:tr>
        <w:trPr>
          <w:trHeight w:val="232"/>
        </w:trPr>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20" w:type="dxa"/>
            <w:vAlign w:val="bottom"/>
            <w:gridSpan w:val="8"/>
          </w:tcPr>
          <w:p>
            <w:pPr>
              <w:jc w:val="center"/>
              <w:ind w:right="3940"/>
              <w:spacing w:after="0"/>
              <w:rPr>
                <w:sz w:val="20"/>
                <w:szCs w:val="20"/>
                <w:color w:val="auto"/>
              </w:rPr>
            </w:pPr>
            <w:r>
              <w:rPr>
                <w:rFonts w:ascii="Times New Roman" w:cs="Times New Roman" w:eastAsia="Times New Roman" w:hAnsi="Times New Roman"/>
                <w:sz w:val="18"/>
                <w:szCs w:val="18"/>
                <w:color w:val="auto"/>
                <w:w w:val="96"/>
              </w:rPr>
              <w:t>Form 10-K</w:t>
            </w:r>
          </w:p>
        </w:tc>
        <w:tc>
          <w:tcPr>
            <w:tcW w:w="380" w:type="dxa"/>
            <w:vAlign w:val="bottom"/>
          </w:tcPr>
          <w:p>
            <w:pPr>
              <w:spacing w:after="0"/>
              <w:rPr>
                <w:sz w:val="20"/>
                <w:szCs w:val="20"/>
                <w:color w:val="auto"/>
              </w:rPr>
            </w:pPr>
          </w:p>
        </w:tc>
      </w:tr>
      <w:tr>
        <w:trPr>
          <w:trHeight w:val="397"/>
        </w:trPr>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9"/>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0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Risk Factors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0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Unresolved Staff Comments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5"/>
              </w:rPr>
            </w:pPr>
            <w:hyperlink w:anchor="page10">
              <w:r>
                <w:rPr>
                  <w:rFonts w:ascii="Times New Roman" w:cs="Times New Roman" w:eastAsia="Times New Roman" w:hAnsi="Times New Roman"/>
                  <w:sz w:val="18"/>
                  <w:szCs w:val="18"/>
                  <w:color w:val="0000EE"/>
                  <w:w w:val="95"/>
                </w:rPr>
                <w:t>Properties</w:t>
              </w:r>
            </w:hyperlink>
          </w:p>
        </w:tc>
        <w:tc>
          <w:tcPr>
            <w:tcW w:w="1280" w:type="dxa"/>
            <w:vAlign w:val="bottom"/>
            <w:tcBorders>
              <w:top w:val="single" w:sz="8" w:color="0000EE"/>
            </w:tcBorders>
            <w:gridSpan w:val="8"/>
          </w:tcPr>
          <w:p>
            <w:pPr>
              <w:spacing w:after="0"/>
              <w:rPr>
                <w:sz w:val="24"/>
                <w:szCs w:val="24"/>
                <w:color w:val="auto"/>
              </w:rPr>
            </w:pPr>
          </w:p>
        </w:tc>
        <w:tc>
          <w:tcPr>
            <w:tcW w:w="798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Legal Proceedings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10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Mine Safety Disclosures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53"/>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Market for Schlumberger’s Common Stock, Related Stockholder Matters and Issuer Purchases of Equity Securities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Selected Financial Data</w:t>
              </w:r>
            </w:hyperlink>
          </w:p>
        </w:tc>
        <w:tc>
          <w:tcPr>
            <w:tcW w:w="6460" w:type="dxa"/>
            <w:vAlign w:val="bottom"/>
            <w:tcBorders>
              <w:top w:val="single" w:sz="8" w:color="0000EE"/>
            </w:tcBorders>
            <w:gridSpan w:val="13"/>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2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Quantitative and Qualitative Disclosures About Market Risk</w:t>
              </w:r>
            </w:hyperlink>
          </w:p>
        </w:tc>
        <w:tc>
          <w:tcPr>
            <w:tcW w:w="2060" w:type="dxa"/>
            <w:vAlign w:val="bottom"/>
            <w:tcBorders>
              <w:top w:val="single" w:sz="8" w:color="0000EE"/>
            </w:tcBorders>
            <w:gridSpan w:val="3"/>
          </w:tcPr>
          <w:p>
            <w:pPr>
              <w:spacing w:after="0"/>
              <w:rPr>
                <w:sz w:val="24"/>
                <w:szCs w:val="24"/>
                <w:color w:val="auto"/>
              </w:rPr>
            </w:pPr>
          </w:p>
        </w:tc>
        <w:tc>
          <w:tcPr>
            <w:tcW w:w="36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Financial Statements and Supplementary Data</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0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Controls and Procedures</w:t>
              </w:r>
            </w:hyperlink>
          </w:p>
        </w:tc>
        <w:tc>
          <w:tcPr>
            <w:tcW w:w="4620" w:type="dxa"/>
            <w:vAlign w:val="bottom"/>
            <w:tcBorders>
              <w:top w:val="single" w:sz="8" w:color="0000EE"/>
            </w:tcBorders>
            <w:gridSpan w:val="10"/>
          </w:tcPr>
          <w:p>
            <w:pPr>
              <w:spacing w:after="0"/>
              <w:rPr>
                <w:sz w:val="24"/>
                <w:szCs w:val="24"/>
                <w:color w:val="auto"/>
              </w:rPr>
            </w:pPr>
          </w:p>
        </w:tc>
        <w:tc>
          <w:tcPr>
            <w:tcW w:w="362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Other Information</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53"/>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Directors, Executive Officers and Corporate Governance of Schlumberger</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52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Executive Compensation</w:t>
              </w:r>
            </w:hyperlink>
          </w:p>
        </w:tc>
        <w:tc>
          <w:tcPr>
            <w:tcW w:w="47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10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36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Certain Relationships and Related Transactions, and Director Independence</w:t>
              </w:r>
            </w:hyperlink>
          </w:p>
        </w:tc>
        <w:tc>
          <w:tcPr>
            <w:tcW w:w="1800" w:type="dxa"/>
            <w:vAlign w:val="bottom"/>
            <w:tcBorders>
              <w:top w:val="single" w:sz="8" w:color="0000EE"/>
            </w:tcBorders>
            <w:gridSpan w:val="3"/>
          </w:tcPr>
          <w:p>
            <w:pPr>
              <w:spacing w:after="0"/>
              <w:rPr>
                <w:sz w:val="24"/>
                <w:szCs w:val="24"/>
                <w:color w:val="auto"/>
              </w:rPr>
            </w:pPr>
          </w:p>
        </w:tc>
        <w:tc>
          <w:tcPr>
            <w:tcW w:w="28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Principal Accounting Fees and Services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53"/>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Exhibits and Financial Statement Schedules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69">
              <w:r>
                <w:rPr>
                  <w:rFonts w:ascii="Times New Roman" w:cs="Times New Roman" w:eastAsia="Times New Roman" w:hAnsi="Times New Roman"/>
                  <w:sz w:val="18"/>
                  <w:szCs w:val="18"/>
                  <w:color w:val="0000EE"/>
                  <w:w w:val="96"/>
                </w:rPr>
                <w:t>Form 10-K Summary</w:t>
              </w:r>
            </w:hyperlink>
          </w:p>
        </w:tc>
        <w:tc>
          <w:tcPr>
            <w:tcW w:w="1580" w:type="dxa"/>
            <w:vAlign w:val="bottom"/>
            <w:tcBorders>
              <w:top w:val="single" w:sz="8" w:color="0000EE"/>
            </w:tcBorders>
            <w:gridSpan w:val="6"/>
          </w:tcPr>
          <w:p>
            <w:pPr>
              <w:spacing w:after="0"/>
              <w:rPr>
                <w:sz w:val="24"/>
                <w:szCs w:val="24"/>
                <w:color w:val="auto"/>
              </w:rPr>
            </w:pPr>
          </w:p>
        </w:tc>
        <w:tc>
          <w:tcPr>
            <w:tcW w:w="688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05"/>
        </w:trPr>
        <w:tc>
          <w:tcPr>
            <w:tcW w:w="1060" w:type="dxa"/>
            <w:vAlign w:val="bottom"/>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Signatures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10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240" w:type="dxa"/>
            <w:vAlign w:val="bottom"/>
            <w:gridSpan w:val="1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53"/>
        </w:trPr>
        <w:tc>
          <w:tcPr>
            <w:tcW w:w="106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380" w:type="dxa"/>
            <w:vAlign w:val="bottom"/>
          </w:tcPr>
          <w:p>
            <w:pPr>
              <w:spacing w:after="0"/>
              <w:rPr>
                <w:sz w:val="24"/>
                <w:szCs w:val="24"/>
                <w:color w:val="auto"/>
              </w:rPr>
            </w:pPr>
          </w:p>
        </w:tc>
      </w:tr>
      <w:tr>
        <w:trPr>
          <w:trHeight w:val="425"/>
        </w:trPr>
        <w:tc>
          <w:tcPr>
            <w:tcW w:w="1060" w:type="dxa"/>
            <w:vAlign w:val="bottom"/>
          </w:tcPr>
          <w:p>
            <w:pPr>
              <w:spacing w:after="0"/>
              <w:rPr>
                <w:sz w:val="24"/>
                <w:szCs w:val="24"/>
                <w:color w:val="auto"/>
              </w:rPr>
            </w:pPr>
          </w:p>
        </w:tc>
        <w:tc>
          <w:tcPr>
            <w:tcW w:w="5240" w:type="dxa"/>
            <w:vAlign w:val="bottom"/>
            <w:gridSpan w:val="15"/>
          </w:tcPr>
          <w:p>
            <w:pPr>
              <w:jc w:val="center"/>
              <w:ind w:left="397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25"/>
        </w:trPr>
        <w:tc>
          <w:tcPr>
            <w:tcW w:w="10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All references in this report to “Registrant,” “Company,” “Schlumberger,” “we” or “our” are to Schlumberger Limited (Schlumberger N.V., incorporated in Curaçao) and its consolidated subsidiaries.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Founded in 1926, Schlumberger is the world’s leading provider of technology for reservoir characterization, drilling, production and processing to the oil and gas industry. Having invented wireline logging as a technique for obtaining downhole data in oil and gas wells, today Schlumberger supplies the industry’s most comprehensive range of products and services, from exploration through production, and integrated pore-to-pipeline solutions that optimize hydrocarbon recovery to deliver reservoir performance sustainably. As of December 31, 2019, the Company employed approximately 105,000 people representing over 170 nationalities. Schlumberger, which generates revenue in more than 120 countries, has executive offices in Paris, Houston, London and The Hague.</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Schlumberger operates in each of the major oilfield service markets through four segments: Reservoir Characterization, Drilling, Production and Cameron. Each segment consists of a number of technology-based service and product lines, or Technologies. These Technologies cover the entire life cycle of the reservoir and correspond to a number of markets in which Schlumberger holds leading positions. The role of the Technologies is to support Schlumberger in providing the best possible service to customers and to ensure that Schlumberger remains at the forefront of technology development and services integration. The Technologies are collectively responsible for driving performance throughout their businesses; overseeing operational processes, resource allocation and personnel; and delivering superior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segments are as follows:</w:t>
      </w:r>
    </w:p>
    <w:p>
      <w:pPr>
        <w:spacing w:after="0" w:line="2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Reservoir Characterization </w:t>
      </w:r>
      <w:r>
        <w:rPr>
          <w:rFonts w:ascii="Times New Roman" w:cs="Times New Roman" w:eastAsia="Times New Roman" w:hAnsi="Times New Roman"/>
          <w:sz w:val="18"/>
          <w:szCs w:val="18"/>
          <w:color w:val="auto"/>
        </w:rPr>
        <w:t>– Consists of the principal Technologies involved in finding and defining hydrocarbon resources. These include WesternGeco</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Wireline, Testing Services, Software Integrated Solutions (“SIS”), OneSurface</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auto"/>
        </w:rPr>
        <w:t xml:space="preserve"> and Integrated Services Management (“ISM”).</w:t>
      </w:r>
    </w:p>
    <w:p>
      <w:pPr>
        <w:spacing w:after="0" w:line="65" w:lineRule="exact"/>
        <w:rPr>
          <w:sz w:val="20"/>
          <w:szCs w:val="20"/>
          <w:color w:val="auto"/>
        </w:rPr>
      </w:pPr>
    </w:p>
    <w:p>
      <w:pPr>
        <w:jc w:val="both"/>
        <w:ind w:left="740" w:hanging="362"/>
        <w:spacing w:after="0" w:line="256"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WesternGeco </w:t>
      </w:r>
      <w:r>
        <w:rPr>
          <w:rFonts w:ascii="Times New Roman" w:cs="Times New Roman" w:eastAsia="Times New Roman" w:hAnsi="Times New Roman"/>
          <w:sz w:val="18"/>
          <w:szCs w:val="18"/>
          <w:color w:val="auto"/>
        </w:rPr>
        <w:t>is a leading geophysical services supplier, providing comprehensive worldwide reservoir interpretation and data processing services.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 highly efficient and scientifically advanced imaging platform to its customers. Through access to the industry’s global marine fleet, it provides accurate measurements and images of subsurface geology and rock properties for multiclient surveys. WesternGeco offers the industry’s most extensive multiclient library.</w:t>
      </w:r>
    </w:p>
    <w:p>
      <w:pPr>
        <w:spacing w:after="0" w:line="85" w:lineRule="exact"/>
        <w:rPr>
          <w:rFonts w:ascii="Times New Roman" w:cs="Times New Roman" w:eastAsia="Times New Roman" w:hAnsi="Times New Roman"/>
          <w:sz w:val="18"/>
          <w:szCs w:val="18"/>
          <w:color w:val="auto"/>
        </w:rPr>
      </w:pPr>
    </w:p>
    <w:p>
      <w:pPr>
        <w:jc w:val="both"/>
        <w:ind w:left="740" w:hanging="362"/>
        <w:spacing w:after="0" w:line="26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Wireline </w:t>
      </w:r>
      <w:r>
        <w:rPr>
          <w:rFonts w:ascii="Times New Roman" w:cs="Times New Roman" w:eastAsia="Times New Roman" w:hAnsi="Times New Roman"/>
          <w:sz w:val="18"/>
          <w:szCs w:val="18"/>
          <w:color w:val="auto"/>
        </w:rPr>
        <w:t>provides the information necessary to evaluate subsurface formation rocks and fluids to plan and monitor well construction, and to monitor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evaluate well production. Wireline offers both openhole and cased-hole services including wireline perforating. Slickline services provide downhole mechanical well intervention.</w:t>
      </w:r>
    </w:p>
    <w:p>
      <w:pPr>
        <w:spacing w:after="0" w:line="81" w:lineRule="exact"/>
        <w:rPr>
          <w:rFonts w:ascii="Times New Roman" w:cs="Times New Roman" w:eastAsia="Times New Roman" w:hAnsi="Times New Roman"/>
          <w:sz w:val="18"/>
          <w:szCs w:val="18"/>
          <w:color w:val="auto"/>
        </w:rPr>
      </w:pPr>
    </w:p>
    <w:p>
      <w:pPr>
        <w:ind w:left="740" w:hanging="362"/>
        <w:spacing w:after="0" w:line="277"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Testing Services </w:t>
      </w:r>
      <w:r>
        <w:rPr>
          <w:rFonts w:ascii="Times New Roman" w:cs="Times New Roman" w:eastAsia="Times New Roman" w:hAnsi="Times New Roman"/>
          <w:sz w:val="18"/>
          <w:szCs w:val="18"/>
          <w:color w:val="auto"/>
        </w:rPr>
        <w:t>provides exploration and production pressure and flow-rate measurement services both at the surface and downhole. Testing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of laboratories that conduct rock and fluid characterization. Testing also provides tubing-conveyed perforating services.</w:t>
      </w:r>
    </w:p>
    <w:p>
      <w:pPr>
        <w:spacing w:after="0" w:line="66" w:lineRule="exact"/>
        <w:rPr>
          <w:rFonts w:ascii="Times New Roman" w:cs="Times New Roman" w:eastAsia="Times New Roman" w:hAnsi="Times New Roman"/>
          <w:sz w:val="18"/>
          <w:szCs w:val="18"/>
          <w:color w:val="auto"/>
        </w:rPr>
      </w:pPr>
    </w:p>
    <w:p>
      <w:pPr>
        <w:jc w:val="both"/>
        <w:ind w:left="740" w:hanging="362"/>
        <w:spacing w:after="0" w:line="26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Integrated Solutions </w:t>
      </w:r>
      <w:r>
        <w:rPr>
          <w:rFonts w:ascii="Times New Roman" w:cs="Times New Roman" w:eastAsia="Times New Roman" w:hAnsi="Times New Roman"/>
          <w:sz w:val="18"/>
          <w:szCs w:val="18"/>
          <w:color w:val="auto"/>
        </w:rPr>
        <w:t>sells proprietary software and provides consulting, information management and IT infrastructure services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oil and gas industry. SIS also offers expert consulting services for reservoir characterization, field development planning and production enhancement, as well as industry-leading petrotechnical data services and training solutions.</w:t>
      </w:r>
    </w:p>
    <w:p>
      <w:pPr>
        <w:spacing w:after="0" w:line="81" w:lineRule="exact"/>
        <w:rPr>
          <w:rFonts w:ascii="Times New Roman" w:cs="Times New Roman" w:eastAsia="Times New Roman" w:hAnsi="Times New Roman"/>
          <w:sz w:val="18"/>
          <w:szCs w:val="18"/>
          <w:color w:val="auto"/>
        </w:rPr>
      </w:pPr>
    </w:p>
    <w:p>
      <w:pPr>
        <w:ind w:left="740" w:hanging="362"/>
        <w:spacing w:after="0" w:line="277"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OneSurface </w:t>
      </w:r>
      <w:r>
        <w:rPr>
          <w:rFonts w:ascii="Times New Roman" w:cs="Times New Roman" w:eastAsia="Times New Roman" w:hAnsi="Times New Roman"/>
          <w:sz w:val="18"/>
          <w:szCs w:val="18"/>
          <w:color w:val="auto"/>
        </w:rPr>
        <w:t>provides a unique, reservoir driven, fit for purpose integrated production system for accelerating first oil and gas production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maximizing project economics.</w:t>
      </w:r>
    </w:p>
    <w:p>
      <w:pPr>
        <w:spacing w:after="0" w:line="66" w:lineRule="exact"/>
        <w:rPr>
          <w:rFonts w:ascii="Times New Roman" w:cs="Times New Roman" w:eastAsia="Times New Roman" w:hAnsi="Times New Roman"/>
          <w:sz w:val="18"/>
          <w:szCs w:val="18"/>
          <w:color w:val="auto"/>
        </w:rPr>
      </w:pPr>
    </w:p>
    <w:p>
      <w:pPr>
        <w:jc w:val="both"/>
        <w:ind w:left="740" w:hanging="362"/>
        <w:spacing w:after="0" w:line="26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Integrated Services Management </w:t>
      </w:r>
      <w:r>
        <w:rPr>
          <w:rFonts w:ascii="Times New Roman" w:cs="Times New Roman" w:eastAsia="Times New Roman" w:hAnsi="Times New Roman"/>
          <w:sz w:val="18"/>
          <w:szCs w:val="18"/>
          <w:color w:val="auto"/>
        </w:rPr>
        <w:t>provides coordination and management of Schlumberger services, products and third parties in projects around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 ISM offers a certified integrated services project manager as a focal point of contact between the project owner and the various Schlumberger services, ensuring alignment of project objectives.</w:t>
      </w:r>
    </w:p>
    <w:p>
      <w:pPr>
        <w:spacing w:after="0" w:line="17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w:t>
      </w:r>
      <w:r>
        <w:rPr>
          <w:rFonts w:ascii="Times New Roman" w:cs="Times New Roman" w:eastAsia="Times New Roman" w:hAnsi="Times New Roman"/>
          <w:sz w:val="18"/>
          <w:szCs w:val="18"/>
          <w:color w:val="auto"/>
        </w:rPr>
        <w:t>– Consists of the principal Technologies involved in the drilling and positioning of oil and gas wells and comprises Bits &amp; Drilling Tools, M-I SWACO,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Drilling &amp; Measurements, Land Rigs and Integrated Drilling Services (“IDS”).</w:t>
      </w:r>
    </w:p>
    <w:p>
      <w:pPr>
        <w:spacing w:after="0" w:line="65" w:lineRule="exact"/>
        <w:rPr>
          <w:sz w:val="20"/>
          <w:szCs w:val="20"/>
          <w:color w:val="auto"/>
        </w:rPr>
      </w:pPr>
    </w:p>
    <w:p>
      <w:pPr>
        <w:jc w:val="both"/>
        <w:ind w:left="740" w:hanging="362"/>
        <w:spacing w:after="0" w:line="261"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Bits &amp; Drilling Tools </w:t>
      </w:r>
      <w:r>
        <w:rPr>
          <w:rFonts w:ascii="Times New Roman" w:cs="Times New Roman" w:eastAsia="Times New Roman" w:hAnsi="Times New Roman"/>
          <w:sz w:val="18"/>
          <w:szCs w:val="18"/>
          <w:color w:val="auto"/>
        </w:rPr>
        <w:t>designs, manufactures and markets roller cone and fixed cutter drill bits for all environments. The drill bits include designs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market segments where faster penetration rates and increased footage provide significant economic benefits in lowering overall well costs. Drilling Tools includes a wide variety of bottom-hole-assembly and borehole-enlargement technologies for oil and gas drilling operations.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 w:name="page4"/>
    <w:bookmarkEnd w:id="3"/>
    <w:p>
      <w:pPr>
        <w:jc w:val="both"/>
        <w:ind w:left="740" w:hanging="362"/>
        <w:spacing w:after="0" w:line="25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 SWACO </w:t>
      </w:r>
      <w:r>
        <w:rPr>
          <w:rFonts w:ascii="Times New Roman" w:cs="Times New Roman" w:eastAsia="Times New Roman" w:hAnsi="Times New Roman"/>
          <w:sz w:val="18"/>
          <w:szCs w:val="18"/>
          <w:color w:val="auto"/>
        </w:rPr>
        <w:t>is a supplier of drilling fluid systems engineered to improve drilling performance by anticipating fluids-related problems; fluid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specialty equipment designed to optimize wellbore productivity; and production technology solutions formulated to maximize production rates. M-I SWACO also provides engineered managed pressure drilling and underbalanced drilling solutions, as well as environmental services and products to safely manage waste volumes generated in both drilling and production operations.</w:t>
      </w:r>
    </w:p>
    <w:p>
      <w:pPr>
        <w:spacing w:after="0" w:line="85" w:lineRule="exact"/>
        <w:rPr>
          <w:rFonts w:ascii="Times New Roman" w:cs="Times New Roman" w:eastAsia="Times New Roman" w:hAnsi="Times New Roman"/>
          <w:sz w:val="18"/>
          <w:szCs w:val="18"/>
          <w:color w:val="auto"/>
        </w:rPr>
      </w:pPr>
    </w:p>
    <w:p>
      <w:pPr>
        <w:ind w:left="740" w:hanging="362"/>
        <w:spacing w:after="0" w:line="277"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Drilling &amp; Measurements </w:t>
      </w:r>
      <w:r>
        <w:rPr>
          <w:rFonts w:ascii="Times New Roman" w:cs="Times New Roman" w:eastAsia="Times New Roman" w:hAnsi="Times New Roman"/>
          <w:sz w:val="18"/>
          <w:szCs w:val="18"/>
          <w:color w:val="auto"/>
        </w:rPr>
        <w:t>provides mud logging services for geological and drilling surveillance, directional drilling, measurement-while-drilling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logging-while-drilling services for all well profiles as well as engineering support.</w:t>
      </w:r>
    </w:p>
    <w:p>
      <w:pPr>
        <w:spacing w:after="0" w:line="66" w:lineRule="exact"/>
        <w:rPr>
          <w:rFonts w:ascii="Times New Roman" w:cs="Times New Roman" w:eastAsia="Times New Roman" w:hAnsi="Times New Roman"/>
          <w:sz w:val="18"/>
          <w:szCs w:val="18"/>
          <w:color w:val="auto"/>
        </w:rPr>
      </w:pPr>
    </w:p>
    <w:p>
      <w:pPr>
        <w:jc w:val="both"/>
        <w:ind w:left="740" w:hanging="362"/>
        <w:spacing w:after="0" w:line="261"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Land Rigs </w:t>
      </w:r>
      <w:r>
        <w:rPr>
          <w:rFonts w:ascii="Times New Roman" w:cs="Times New Roman" w:eastAsia="Times New Roman" w:hAnsi="Times New Roman"/>
          <w:sz w:val="18"/>
          <w:szCs w:val="18"/>
          <w:color w:val="auto"/>
        </w:rPr>
        <w:t>provides land drilling rigs and related support services. The land drilling system of the future represents an integrated drilling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bringing together digitally enabled surface and downhole hardware combined with a common optimization software to create a step-change in operational efficiency.</w:t>
      </w:r>
    </w:p>
    <w:p>
      <w:pPr>
        <w:spacing w:after="0" w:line="81" w:lineRule="exact"/>
        <w:rPr>
          <w:rFonts w:ascii="Times New Roman" w:cs="Times New Roman" w:eastAsia="Times New Roman" w:hAnsi="Times New Roman"/>
          <w:sz w:val="18"/>
          <w:szCs w:val="18"/>
          <w:color w:val="auto"/>
        </w:rPr>
      </w:pPr>
    </w:p>
    <w:p>
      <w:pPr>
        <w:ind w:left="740" w:hanging="362"/>
        <w:spacing w:after="0" w:line="277"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Integrated Drilling Services </w:t>
      </w:r>
      <w:r>
        <w:rPr>
          <w:rFonts w:ascii="Times New Roman" w:cs="Times New Roman" w:eastAsia="Times New Roman" w:hAnsi="Times New Roman"/>
          <w:sz w:val="18"/>
          <w:szCs w:val="18"/>
          <w:color w:val="auto"/>
        </w:rPr>
        <w:t>supplies all of the services necessary to construct or change the architecture (re-entry) of wells. IDS covers all aspects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planning, well drilling, engineering, supervision, logistics, procurement and contracting of third parties, and drilling rig management.</w:t>
      </w:r>
    </w:p>
    <w:p>
      <w:pPr>
        <w:spacing w:after="0" w:line="15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w:t>
      </w:r>
      <w:r>
        <w:rPr>
          <w:rFonts w:ascii="Times New Roman" w:cs="Times New Roman" w:eastAsia="Times New Roman" w:hAnsi="Times New Roman"/>
          <w:sz w:val="18"/>
          <w:szCs w:val="18"/>
          <w:color w:val="auto"/>
        </w:rPr>
        <w:t>– Consists of the principal Technologies involved in the lifetime production of oil and gas reservoirs and includes Well Services, OneStim</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Completions, Artificial Lift, and Asset Performance Solutions (“APS”).</w:t>
      </w:r>
    </w:p>
    <w:p>
      <w:pPr>
        <w:spacing w:after="0" w:line="65" w:lineRule="exact"/>
        <w:rPr>
          <w:sz w:val="20"/>
          <w:szCs w:val="20"/>
          <w:color w:val="auto"/>
        </w:rPr>
      </w:pPr>
    </w:p>
    <w:p>
      <w:pPr>
        <w:jc w:val="both"/>
        <w:ind w:left="740" w:hanging="362"/>
        <w:spacing w:after="0" w:line="261"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Well Services </w:t>
      </w:r>
      <w:r>
        <w:rPr>
          <w:rFonts w:ascii="Times New Roman" w:cs="Times New Roman" w:eastAsia="Times New Roman" w:hAnsi="Times New Roman"/>
          <w:sz w:val="18"/>
          <w:szCs w:val="18"/>
          <w:color w:val="auto"/>
        </w:rPr>
        <w:t>provides services used during oil and gas well drilling and completion as well as those used to maintain optimal production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 of a well. Such services include pressure pumping, well cementing and stimulation, and coiled tubing equipment for downhole mechanical well intervention, reservoir monitoring and downhole data acquisition.</w:t>
      </w:r>
    </w:p>
    <w:p>
      <w:pPr>
        <w:spacing w:after="0" w:line="81" w:lineRule="exact"/>
        <w:rPr>
          <w:rFonts w:ascii="Times New Roman" w:cs="Times New Roman" w:eastAsia="Times New Roman" w:hAnsi="Times New Roman"/>
          <w:sz w:val="18"/>
          <w:szCs w:val="18"/>
          <w:color w:val="auto"/>
        </w:rPr>
      </w:pPr>
    </w:p>
    <w:p>
      <w:pPr>
        <w:ind w:left="740" w:hanging="362"/>
        <w:spacing w:after="0" w:line="277"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OneStim </w:t>
      </w:r>
      <w:r>
        <w:rPr>
          <w:rFonts w:ascii="Times New Roman" w:cs="Times New Roman" w:eastAsia="Times New Roman" w:hAnsi="Times New Roman"/>
          <w:sz w:val="18"/>
          <w:szCs w:val="18"/>
          <w:color w:val="auto"/>
        </w:rPr>
        <w:t>provides a low cost-to-serve and highly competitive service delivery platform in North America’s unconventional plays. The services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hydraulic fracturing, multistage completions, perforating, and a vertically integrated product and logistics organization.</w:t>
      </w:r>
    </w:p>
    <w:p>
      <w:pPr>
        <w:spacing w:after="0" w:line="66" w:lineRule="exact"/>
        <w:rPr>
          <w:rFonts w:ascii="Times New Roman" w:cs="Times New Roman" w:eastAsia="Times New Roman" w:hAnsi="Times New Roman"/>
          <w:sz w:val="18"/>
          <w:szCs w:val="18"/>
          <w:color w:val="auto"/>
        </w:rPr>
      </w:pPr>
    </w:p>
    <w:p>
      <w:pPr>
        <w:ind w:left="740" w:hanging="362"/>
        <w:spacing w:after="0" w:line="277"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Completions </w:t>
      </w:r>
      <w:r>
        <w:rPr>
          <w:rFonts w:ascii="Times New Roman" w:cs="Times New Roman" w:eastAsia="Times New Roman" w:hAnsi="Times New Roman"/>
          <w:sz w:val="18"/>
          <w:szCs w:val="18"/>
          <w:color w:val="auto"/>
        </w:rPr>
        <w:t>supplies well completion services and equipment that include packers, safety valves and sand control technology as well as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intelligent well completions technology and equipment.</w:t>
      </w:r>
    </w:p>
    <w:p>
      <w:pPr>
        <w:spacing w:after="0" w:line="66" w:lineRule="exact"/>
        <w:rPr>
          <w:rFonts w:ascii="Times New Roman" w:cs="Times New Roman" w:eastAsia="Times New Roman" w:hAnsi="Times New Roman"/>
          <w:sz w:val="18"/>
          <w:szCs w:val="18"/>
          <w:color w:val="auto"/>
        </w:rPr>
      </w:pPr>
    </w:p>
    <w:p>
      <w:pPr>
        <w:ind w:left="740" w:hanging="362"/>
        <w:spacing w:after="0" w:line="277"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Artificial Lift </w:t>
      </w:r>
      <w:r>
        <w:rPr>
          <w:rFonts w:ascii="Times New Roman" w:cs="Times New Roman" w:eastAsia="Times New Roman" w:hAnsi="Times New Roman"/>
          <w:sz w:val="18"/>
          <w:szCs w:val="18"/>
          <w:color w:val="auto"/>
        </w:rPr>
        <w:t>provides production equipment and optimization services using electrical submersible pumps, gas lift equipment, rod lift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progressing cavity pumps and surface horizontal pumping systems.</w:t>
      </w:r>
    </w:p>
    <w:p>
      <w:pPr>
        <w:spacing w:after="0" w:line="66" w:lineRule="exact"/>
        <w:rPr>
          <w:rFonts w:ascii="Times New Roman" w:cs="Times New Roman" w:eastAsia="Times New Roman" w:hAnsi="Times New Roman"/>
          <w:sz w:val="18"/>
          <w:szCs w:val="18"/>
          <w:color w:val="auto"/>
        </w:rPr>
      </w:pPr>
    </w:p>
    <w:p>
      <w:pPr>
        <w:jc w:val="both"/>
        <w:ind w:left="740" w:hanging="362"/>
        <w:spacing w:after="0" w:line="261"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Asset Performance Solutions </w:t>
      </w:r>
      <w:r>
        <w:rPr>
          <w:rFonts w:ascii="Times New Roman" w:cs="Times New Roman" w:eastAsia="Times New Roman" w:hAnsi="Times New Roman"/>
          <w:sz w:val="18"/>
          <w:szCs w:val="18"/>
          <w:color w:val="auto"/>
        </w:rPr>
        <w:t>(formerly Schlumberger Production Management) is a business model for field production projects. This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combines the required services and products of the Technologies with drilling rig management, specialized engineering and project management expertise to provide a complete solution to well construction and production improvement.</w:t>
      </w:r>
    </w:p>
    <w:p>
      <w:pPr>
        <w:spacing w:after="0" w:line="216" w:lineRule="exact"/>
        <w:rPr>
          <w:rFonts w:ascii="Times New Roman" w:cs="Times New Roman" w:eastAsia="Times New Roman" w:hAnsi="Times New Roman"/>
          <w:sz w:val="18"/>
          <w:szCs w:val="18"/>
          <w:color w:val="auto"/>
        </w:rPr>
      </w:pPr>
    </w:p>
    <w:p>
      <w:pPr>
        <w:jc w:val="both"/>
        <w:ind w:left="7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APS creates alignment between Schlumberger and the asset holder and/or the operator whereby Schlumberger receives remuneration in line with its value creation. These projects are generally focused on developing and co-managing production of customer assets under long-term agreements. Schlumberger invests its own services and products, and historically, cash in certain cases,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generally compensated based upon cash flow generated or on a fee-per-barrel basis. This includes certain arrangements whereby Schlumberger is only compensated based upon incremental production that it helps deliver above a mutually agreed baseline. APS represented less than 5% of Schlumberger’s consolidated revenue during each of 2019, 2018 and 2017.</w:t>
      </w:r>
    </w:p>
    <w:p>
      <w:pPr>
        <w:spacing w:after="0" w:line="18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Cameron </w:t>
      </w:r>
      <w:r>
        <w:rPr>
          <w:rFonts w:ascii="Times New Roman" w:cs="Times New Roman" w:eastAsia="Times New Roman" w:hAnsi="Times New Roman"/>
          <w:sz w:val="18"/>
          <w:szCs w:val="18"/>
          <w:color w:val="auto"/>
        </w:rPr>
        <w:t>– Consists of the principal Technologies involved in pressure and flow control for drilling and intervention rigs, oil and gas wells and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and includes OneSubsea</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auto"/>
        </w:rPr>
        <w:t>, Surface Systems, Drilling Systems, and Valves &amp; Process Systems.</w:t>
      </w:r>
    </w:p>
    <w:p>
      <w:pPr>
        <w:spacing w:after="0" w:line="65" w:lineRule="exact"/>
        <w:rPr>
          <w:sz w:val="20"/>
          <w:szCs w:val="20"/>
          <w:color w:val="auto"/>
        </w:rPr>
      </w:pPr>
    </w:p>
    <w:p>
      <w:pPr>
        <w:jc w:val="both"/>
        <w:ind w:left="740" w:hanging="362"/>
        <w:spacing w:after="0" w:line="256"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OneSubsea </w:t>
      </w:r>
      <w:r>
        <w:rPr>
          <w:rFonts w:ascii="Times New Roman" w:cs="Times New Roman" w:eastAsia="Times New Roman" w:hAnsi="Times New Roman"/>
          <w:sz w:val="18"/>
          <w:szCs w:val="18"/>
          <w:color w:val="auto"/>
        </w:rPr>
        <w:t>provides integrated solutions, products, systems and services for the subsea oil and gas market, including integrated subsea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involving wellheads, subsea trees, manifolds and flowline connectors, control systems, connectors and services designed to maximize reservoir recovery and extend the life of each field. OneSubsea offers integration and optimization of the entire production system over the life of the field by leveraging flow control expertise and process technologies with petrotechnical expertise and reservoir and production technologies.</w:t>
      </w:r>
    </w:p>
    <w:p>
      <w:pPr>
        <w:spacing w:after="0" w:line="85" w:lineRule="exact"/>
        <w:rPr>
          <w:rFonts w:ascii="Times New Roman" w:cs="Times New Roman" w:eastAsia="Times New Roman" w:hAnsi="Times New Roman"/>
          <w:sz w:val="18"/>
          <w:szCs w:val="18"/>
          <w:color w:val="auto"/>
        </w:rPr>
      </w:pPr>
    </w:p>
    <w:p>
      <w:pPr>
        <w:ind w:left="740" w:hanging="362"/>
        <w:spacing w:after="0" w:line="277"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Surface Systems </w:t>
      </w:r>
      <w:r>
        <w:rPr>
          <w:rFonts w:ascii="Times New Roman" w:cs="Times New Roman" w:eastAsia="Times New Roman" w:hAnsi="Times New Roman"/>
          <w:sz w:val="18"/>
          <w:szCs w:val="18"/>
          <w:color w:val="auto"/>
        </w:rPr>
        <w:t>designs and manufactures onshore and offshore platform wellhead systems and processing solutions, including valves, chokes,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actuators and Christmas trees, and provides services to oil and gas operators.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 w:name="page5"/>
    <w:bookmarkEnd w:id="4"/>
    <w:p>
      <w:pPr>
        <w:jc w:val="both"/>
        <w:ind w:left="740" w:hanging="362"/>
        <w:spacing w:after="0" w:line="256"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Drilling Systems </w:t>
      </w:r>
      <w:r>
        <w:rPr>
          <w:rFonts w:ascii="Times New Roman" w:cs="Times New Roman" w:eastAsia="Times New Roman" w:hAnsi="Times New Roman"/>
          <w:sz w:val="18"/>
          <w:szCs w:val="18"/>
          <w:color w:val="auto"/>
        </w:rPr>
        <w:t>provides drilling equipment and services to shipyards, drilling contractors, exploration and production companies and rental tool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The products fall into two broad categories: pressure control equipment and rotary drilling equipment. These products are designed for either onshore or offshore applications and include drilling equipment packages, blowout preventers (“BOPs”), BOP control systems, connectors, riser systems, valves and choke manifold systems, top drives, mud pumps, pipe handling equipment, rig designs and rig kits.</w:t>
      </w:r>
    </w:p>
    <w:p>
      <w:pPr>
        <w:spacing w:after="0" w:line="85" w:lineRule="exact"/>
        <w:rPr>
          <w:rFonts w:ascii="Times New Roman" w:cs="Times New Roman" w:eastAsia="Times New Roman" w:hAnsi="Times New Roman"/>
          <w:sz w:val="18"/>
          <w:szCs w:val="18"/>
          <w:color w:val="auto"/>
        </w:rPr>
      </w:pPr>
    </w:p>
    <w:p>
      <w:pPr>
        <w:jc w:val="both"/>
        <w:ind w:left="740" w:hanging="362"/>
        <w:spacing w:after="0" w:line="256"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Valves &amp; Process Systems </w:t>
      </w:r>
      <w:r>
        <w:rPr>
          <w:rFonts w:ascii="Times New Roman" w:cs="Times New Roman" w:eastAsia="Times New Roman" w:hAnsi="Times New Roman"/>
          <w:sz w:val="18"/>
          <w:szCs w:val="18"/>
          <w:color w:val="auto"/>
        </w:rPr>
        <w:t>serves portions of the upstream, midstream and downstream markets and provides valve products that are primarily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and direct the flow of oil and gas as they are moved from wellheads through flow lines, gathering lines and transmission systems to refineries, petrochemical plants and industrial centers for processing. Valves &amp; Process Systems also provides efficient monetization of subsurface assets using standard and custom-designed onshore, offshore and downstream processing and treatment systems.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Supporting the Technologies is a global network of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network of GeoMarket* regions, within each of four major geographic areas of North America, Latin America, Europe/CIS/Africa and Middle East &amp; Asia, provides logistical, technical and commercial coordination.</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GeoMarket structure offers customers a single point of contact at the local level for field operations and brings together geographically focused teams to meet local needs and deliver customized solutions. The GeoMarkets are responsible for providing the most efficient and cost-effective support possible to the operations.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Schlumberger primarily uses its own personnel to market its offerings. The customer base, business risks and opportunities for growth are essentially uniform across all services and products. Manufacturing and engineering facilities as well as research centers are shared, and the labor force, within certain limitations, is interchangeable. Technological innovation, quality of service and price differentiation are the principal methods of competition, which vary geographically with respect to the different services and products offered. While Schlumberger has numerous competitors, both large and small, Schlumberger believes it is an industry leader in providing wireline logging, well production testing, exploration and production software, rig equipment, surface equipment, artificial lift, hydraulic fracturing, cementing, coiled-tubing services, drilling and completion fluids, solids control and waste management, drilling pressure control, drill bits, measurement-while-drilling, logging-while-drilling, directional-drilling services, and surface data (mud) logging.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Mark of Schlumberger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owns and controls a variety of intellectual property, including but not limited to patents, proprietary information and software tools and applications that, in the aggregate, are material to Schlumberger’s business. While Schlumberger seeks and holds numerous patents covering various products and processes, no particular patent or group of patents is material to Schlumberger’s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Seasonal changes in weather and significant weather events can temporarily affect the delivery of oilfield services. For example, the spring thaw in Canada and consequent road restrictions can affect activity levels, while the winter months in the North Sea, Russia and China can produce severe weather conditions that can temporarily reduce levels of activity. In addition, hurricanes and typhoons can disrupt coastal and offshore operations. Furthermore, customer spending patterns for multiclient data, software and other oilfield services and products may result in higher activity in the fourth quarter of each year as clients seek to fully utilize their annual budgets. Conversely, customer budget constraints may lead to lower demand for our services and products in the fourth quarter of each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Backlog of Orders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2019, no single customer exceeded 10% of consolidated revenue. Other than the OneSubsea, Drilling Systems and WesternGeco businesses, Schlumberger has no significant backlog due to the nature of its businesses. The combined backlog of these businesses was $3.0 billion at December 31, 2019 (of which approximately 50% is expected to be recognized as revenue during 2020) and $2.7 billion at December 31, 2018.</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About Our Executive Officers</w:t>
      </w:r>
    </w:p>
    <w:p>
      <w:pPr>
        <w:spacing w:after="0" w:line="1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 sets forth, as of January 21, 2020, the names and ages of the executive officers of Schlumberger, including all offices and positions held by each for the past five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Age</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Position and Five-Year Business Experience</w:t>
            </w:r>
          </w:p>
        </w:tc>
      </w:tr>
      <w:tr>
        <w:trPr>
          <w:trHeight w:val="40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Olivier Le Peuch</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56</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 since August 2019; Chief Operating Officer, February 2019 to July 2019;</w:t>
            </w:r>
          </w:p>
        </w:tc>
      </w:tr>
      <w:tr>
        <w:trPr>
          <w:trHeight w:val="212"/>
        </w:trPr>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Reservoir and Infrastructure, May 2018 to February 2019; President, Cameron Group,</w:t>
            </w:r>
          </w:p>
        </w:tc>
      </w:tr>
      <w:tr>
        <w:trPr>
          <w:trHeight w:val="232"/>
        </w:trPr>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February 2017 to May 2018; and President, Completions, October 2014 to January 2017.</w:t>
            </w:r>
          </w:p>
        </w:tc>
      </w:tr>
      <w:tr>
        <w:trPr>
          <w:trHeight w:val="42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Simon Ayat</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65</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 since March 2007.</w:t>
            </w:r>
          </w:p>
        </w:tc>
      </w:tr>
      <w:tr>
        <w:trPr>
          <w:trHeight w:val="42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Alexander C. Juden</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59</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Secretary and General Counsel, since April 2009.</w:t>
            </w:r>
          </w:p>
        </w:tc>
      </w:tr>
      <w:tr>
        <w:trPr>
          <w:trHeight w:val="40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Khaled Al Mogharbel</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49</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Executive Vice President, Operations, since April 2019; Executive Vice President, Eastern Hemisphere, February 2019</w:t>
            </w:r>
          </w:p>
        </w:tc>
      </w:tr>
      <w:tr>
        <w:trPr>
          <w:trHeight w:val="212"/>
        </w:trPr>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to March 2019; President, Eastern Hemisphere, May 2017 to January 2019; and President, Drilling Group, July 2013 to</w:t>
            </w:r>
          </w:p>
        </w:tc>
      </w:tr>
      <w:tr>
        <w:trPr>
          <w:trHeight w:val="232"/>
        </w:trPr>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2017.</w:t>
            </w:r>
          </w:p>
        </w:tc>
      </w:tr>
      <w:tr>
        <w:trPr>
          <w:trHeight w:val="58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Ashok Belani</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61</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Technology, since January 2011.</w:t>
            </w:r>
          </w:p>
        </w:tc>
      </w:tr>
      <w:tr>
        <w:trPr>
          <w:trHeight w:val="40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Hinda Gharbi</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49</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Reservoir and Infrastructure, since February 2019; Vice President, Human Resources, May</w:t>
            </w:r>
          </w:p>
        </w:tc>
      </w:tr>
      <w:tr>
        <w:trPr>
          <w:trHeight w:val="212"/>
        </w:trPr>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2018 to January 2019; President, Reservoir Characterization Group, June 2017 to May 2018; and President, Wireline,</w:t>
            </w:r>
          </w:p>
        </w:tc>
      </w:tr>
      <w:tr>
        <w:trPr>
          <w:trHeight w:val="232"/>
        </w:trPr>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2013 to May 2017.</w:t>
            </w:r>
          </w:p>
        </w:tc>
      </w:tr>
      <w:tr>
        <w:trPr>
          <w:trHeight w:val="40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Abdellah Merad</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46</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Executive Vice President, Performance Management, since May 2019; President NAL Production Group, May 2018 to</w:t>
            </w:r>
          </w:p>
        </w:tc>
      </w:tr>
      <w:tr>
        <w:trPr>
          <w:trHeight w:val="212"/>
        </w:trPr>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April 2019, President, Production Group, October 2017 to May 2018; Vice President, Controller, Operations, December</w:t>
            </w:r>
          </w:p>
        </w:tc>
      </w:tr>
      <w:tr>
        <w:trPr>
          <w:trHeight w:val="232"/>
        </w:trPr>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2016 to September 2017; and Vice President, Global Shared Services Organization, November 2013 to December 2016.</w:t>
            </w:r>
          </w:p>
        </w:tc>
      </w:tr>
      <w:tr>
        <w:trPr>
          <w:trHeight w:val="40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Jean-Francois Poupeau</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58</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Corporate  Engagement,  since  May  2017;  and  Executive  Vice  President,  Corporate</w:t>
            </w:r>
          </w:p>
        </w:tc>
      </w:tr>
      <w:tr>
        <w:trPr>
          <w:trHeight w:val="232"/>
        </w:trPr>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and Communications, June 2012 to April 2017.</w:t>
            </w:r>
          </w:p>
        </w:tc>
      </w:tr>
      <w:tr>
        <w:trPr>
          <w:trHeight w:val="40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Patrick Schorn</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51</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Wells, since May 2018; Executive Vice President, New Ventures, May 2017 to May 2018;</w:t>
            </w:r>
          </w:p>
        </w:tc>
      </w:tr>
      <w:tr>
        <w:trPr>
          <w:trHeight w:val="232"/>
        </w:trPr>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Operations, August 2015 to May 2017; and President, Operations &amp; Integration, July 2013 to July 2015.</w:t>
            </w:r>
          </w:p>
        </w:tc>
      </w:tr>
      <w:tr>
        <w:trPr>
          <w:trHeight w:val="40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Donald Ross</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50</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North America Land, since September 2019; President, NAL Production, May 2019 to September 2019;</w:t>
            </w:r>
          </w:p>
        </w:tc>
      </w:tr>
      <w:tr>
        <w:trPr>
          <w:trHeight w:val="212"/>
        </w:trPr>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GeoMarket Manager, North America Offshore, August 2016 to May 2019; and Human Resources Manager, Reservoir</w:t>
            </w:r>
          </w:p>
        </w:tc>
      </w:tr>
      <w:tr>
        <w:trPr>
          <w:trHeight w:val="232"/>
        </w:trPr>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Characterization Group, July 2013 to July 2016.</w:t>
            </w:r>
          </w:p>
        </w:tc>
      </w:tr>
      <w:tr>
        <w:trPr>
          <w:trHeight w:val="40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Rajeev Sonthalia</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51</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Integrated Performance Management, since October 2019; Vice President, Marketing, Wells, May 2018 to</w:t>
            </w:r>
          </w:p>
        </w:tc>
      </w:tr>
      <w:tr>
        <w:trPr>
          <w:trHeight w:val="212"/>
        </w:trPr>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September 2019; Vice President, Eastern Hemisphere, Reservoir Characterization Group, October 2017 to April 2018;</w:t>
            </w:r>
          </w:p>
        </w:tc>
      </w:tr>
      <w:tr>
        <w:trPr>
          <w:trHeight w:val="212"/>
        </w:trPr>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Integrated Drilling Services, July 2015 to September 2017; President, Integrated Project Management and</w:t>
            </w:r>
          </w:p>
        </w:tc>
      </w:tr>
      <w:tr>
        <w:trPr>
          <w:trHeight w:val="232"/>
        </w:trPr>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Schlumberger Production Management, July 2014 to June 2015.</w:t>
            </w:r>
          </w:p>
        </w:tc>
      </w:tr>
      <w:tr>
        <w:trPr>
          <w:trHeight w:val="40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Stephane Biguet</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51</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Vice President, Finance, since December 2017; Vice President and Treasurer, December 2016 to November 2017; Vice</w:t>
            </w:r>
          </w:p>
        </w:tc>
      </w:tr>
      <w:tr>
        <w:trPr>
          <w:trHeight w:val="232"/>
        </w:trPr>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Controller, Operations, November 2013 to December 2016.</w:t>
            </w:r>
          </w:p>
        </w:tc>
      </w:tr>
      <w:tr>
        <w:trPr>
          <w:trHeight w:val="42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Pierre Chereque</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65</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Director of Taxes, since June 2017; and Director of Taxes, Operations, July 2004 to May 2017.</w:t>
            </w:r>
          </w:p>
        </w:tc>
      </w:tr>
      <w:tr>
        <w:trPr>
          <w:trHeight w:val="42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Simon Farrant</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55</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Investor Relations, since February 2014.</w:t>
            </w:r>
          </w:p>
        </w:tc>
      </w:tr>
      <w:tr>
        <w:trPr>
          <w:trHeight w:val="40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Kevin Fyfe</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46</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Controller, since October 2017; Controller, Cameron Group, April 2016 to October 2017; and Vice</w:t>
            </w:r>
          </w:p>
        </w:tc>
      </w:tr>
      <w:tr>
        <w:trPr>
          <w:trHeight w:val="232"/>
        </w:trPr>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Finance, OneSubsea, July 2013 to March 2016.</w:t>
            </w:r>
          </w:p>
        </w:tc>
      </w:tr>
      <w:tr>
        <w:trPr>
          <w:trHeight w:val="42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Howard Guild</w:t>
            </w:r>
          </w:p>
        </w:tc>
        <w:tc>
          <w:tcPr>
            <w:tcW w:w="7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48</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Accounting Officer, since July 2005.</w:t>
            </w:r>
          </w:p>
        </w:tc>
      </w:tr>
      <w:tr>
        <w:trPr>
          <w:trHeight w:val="425"/>
        </w:trPr>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6</w:t>
            </w:r>
          </w:p>
        </w:tc>
      </w:tr>
      <w:tr>
        <w:trPr>
          <w:trHeight w:val="125"/>
        </w:trPr>
        <w:tc>
          <w:tcPr>
            <w:tcW w:w="19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Claudia Jaramillo</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w:t>
            </w:r>
          </w:p>
        </w:tc>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and Treasurer, since December 2017; ERM and Treasury Projects Manager, July 2017 to November</w:t>
            </w:r>
          </w:p>
        </w:tc>
      </w:tr>
      <w:tr>
        <w:trPr>
          <w:trHeight w:val="232"/>
        </w:trPr>
        <w:tc>
          <w:tcPr>
            <w:tcW w:w="1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2017; and Controller, North America Area, July 2014 to July 2017.</w:t>
            </w:r>
          </w:p>
        </w:tc>
      </w:tr>
      <w:tr>
        <w:trPr>
          <w:trHeight w:val="425"/>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Vijay Kasibhatla</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w:t>
            </w:r>
          </w:p>
        </w:tc>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Mergers and Acquisitions, since January 2013.</w:t>
            </w:r>
          </w:p>
        </w:tc>
      </w:tr>
      <w:tr>
        <w:trPr>
          <w:trHeight w:val="425"/>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Saul R. Laureles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w:t>
            </w:r>
          </w:p>
        </w:tc>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Corporate Legal Affairs, since July 2014; and Assistant Secretary, since April 2007.</w:t>
            </w:r>
          </w:p>
        </w:tc>
      </w:tr>
      <w:tr>
        <w:trPr>
          <w:trHeight w:val="405"/>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Gavin Rennick</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Human Resources, since February 2019; President, Software Integrated Solutions, January 2017 to</w:t>
            </w:r>
          </w:p>
        </w:tc>
      </w:tr>
      <w:tr>
        <w:trPr>
          <w:trHeight w:val="212"/>
        </w:trPr>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2019; M&amp;A/Integration Manager, Cameron International, September 2015 to January 2017; and Vice</w:t>
            </w:r>
          </w:p>
        </w:tc>
      </w:tr>
      <w:tr>
        <w:trPr>
          <w:trHeight w:val="232"/>
        </w:trPr>
        <w:tc>
          <w:tcPr>
            <w:tcW w:w="1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Drilling Products and Bottom-Hole-Assembly Integration, January 2014 to August 2015.</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Schlumberger website is </w:t>
      </w:r>
      <w:r>
        <w:rPr>
          <w:rFonts w:ascii="Times New Roman" w:cs="Times New Roman" w:eastAsia="Times New Roman" w:hAnsi="Times New Roman"/>
          <w:sz w:val="18"/>
          <w:szCs w:val="18"/>
          <w:u w:val="single" w:color="auto"/>
          <w:color w:val="auto"/>
        </w:rPr>
        <w:t>www.slb.com</w:t>
      </w:r>
      <w:r>
        <w:rPr>
          <w:rFonts w:ascii="Times New Roman" w:cs="Times New Roman" w:eastAsia="Times New Roman" w:hAnsi="Times New Roman"/>
          <w:sz w:val="18"/>
          <w:szCs w:val="18"/>
          <w:color w:val="auto"/>
        </w:rPr>
        <w:t xml:space="preserve">. Schlumberger uses its Investor Relations website, </w:t>
      </w:r>
      <w:r>
        <w:rPr>
          <w:rFonts w:ascii="Times New Roman" w:cs="Times New Roman" w:eastAsia="Times New Roman" w:hAnsi="Times New Roman"/>
          <w:sz w:val="18"/>
          <w:szCs w:val="18"/>
          <w:u w:val="single" w:color="auto"/>
          <w:color w:val="auto"/>
        </w:rPr>
        <w:t>www.slb.com/ir</w:t>
      </w:r>
      <w:r>
        <w:rPr>
          <w:rFonts w:ascii="Times New Roman" w:cs="Times New Roman" w:eastAsia="Times New Roman" w:hAnsi="Times New Roman"/>
          <w:sz w:val="18"/>
          <w:szCs w:val="18"/>
          <w:color w:val="auto"/>
        </w:rPr>
        <w:t xml:space="preserve">, as a routine channel for distribution of important information, including news releases, analyst presentations, and financial information. Schlumberger makes available free of charge through its Investor Relations website at </w:t>
      </w:r>
      <w:r>
        <w:rPr>
          <w:rFonts w:ascii="Times New Roman" w:cs="Times New Roman" w:eastAsia="Times New Roman" w:hAnsi="Times New Roman"/>
          <w:sz w:val="18"/>
          <w:szCs w:val="18"/>
          <w:u w:val="single" w:color="auto"/>
          <w:color w:val="auto"/>
        </w:rPr>
        <w:t>www.slb.com/ir,</w:t>
      </w:r>
      <w:r>
        <w:rPr>
          <w:rFonts w:ascii="Times New Roman" w:cs="Times New Roman" w:eastAsia="Times New Roman" w:hAnsi="Times New Roman"/>
          <w:sz w:val="18"/>
          <w:szCs w:val="18"/>
          <w:color w:val="auto"/>
        </w:rPr>
        <w:t xml:space="preserve"> access to its Annual Reports on Form 10-K, Quarterly Reports on Form 10-Q, Current Reports on Form 8-K, proxy statements and Forms 3, 4 and 5 filed on behalf of directors and executive officers, and amendments to each of those reports, as soon as reasonably practicable after such material is filed with or furnished to the SEC. Alternatively, you may access these reports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Copies are also available, without charge, from Schlumberger Investor Relations, 5599 San Felipe, 17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Houston, Texas 77056. Unless expressly noted, the information on our website or any other website is not incorporated by reference in this Form 10-K and should not be considered part of this Form 10-K or any other filing Schlumberger makes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and related notes included in this Form 10-K.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We urge you to consider carefully the risks described below, as well as in other reports and materials that we file with the SEC and the other information included or incorporated by reference in this Form 10-K. Additional risks and uncertainties not currently known to us or that we currently deem immaterial may also materially adversely affect our business, reputation, financial condition, results of operations, cash flows and prospects.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Demand for our products and services is substantially dependent on the levels of expenditures by our customers. The recent oil and gas industry downturn has (and current market conditions have) resulted in reduced demand for oilfield services and lower expenditures by our customers, which have had, and may in the future have, a material adverse impact on our financial condition, results of operations and cash flows.</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Demand for our products and services depends substantially on expenditures by our customers for the exploration, development and production of oil and natural gas reserves. These expenditures are generally dependent on our customers’ views of future oil and natural gas prices and are sensitive to our customers’ views of future economic growth and the resulting impact on demand for oil and natural gas.</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Declines, as well as anticipated declines, in oil and gas prices have in the past resulted in, and may in the future result in, lower capital expenditures, project modifications, delays or cancellations, general business disruptions, and delays in payment of, or nonpayment of, amounts that are owed to us. These effects have had, and may in the future have, a material adverse effect on our financial condition, results of operations and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oil and natural gas prices have experienced significant volatility and can be affected by a variety of factors, including:</w:t>
      </w:r>
    </w:p>
    <w:p>
      <w:pPr>
        <w:spacing w:after="0" w:line="112" w:lineRule="exact"/>
        <w:rPr>
          <w:sz w:val="20"/>
          <w:szCs w:val="20"/>
          <w:color w:val="auto"/>
        </w:rPr>
      </w:pPr>
    </w:p>
    <w:p>
      <w:pPr>
        <w:ind w:left="740" w:hanging="362"/>
        <w:spacing w:after="0" w:line="274"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hydrocarbons, which is affected by general economic and business conditions, as well as increased demand for (and availability of) alternative fuels and electric vehicles;</w:t>
      </w:r>
    </w:p>
    <w:p>
      <w:pPr>
        <w:spacing w:after="0" w:line="58" w:lineRule="exact"/>
        <w:rPr>
          <w:rFonts w:ascii="Times New Roman" w:cs="Times New Roman" w:eastAsia="Times New Roman" w:hAnsi="Times New Roman"/>
          <w:sz w:val="18"/>
          <w:szCs w:val="18"/>
          <w:color w:val="auto"/>
        </w:rPr>
      </w:pPr>
    </w:p>
    <w:p>
      <w:pPr>
        <w:ind w:left="740" w:hanging="362"/>
        <w:spacing w:after="0" w:line="274"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or willingness of the Organization of Petroleum Exporting Countries and 10 other oil producing countries, including Russia, Mexico and Kazakhstan (“OPEC+”) to set and maintain production levels for oil;</w:t>
      </w:r>
    </w:p>
    <w:p>
      <w:pPr>
        <w:spacing w:after="0" w:line="58"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gas production levels by non-OPEC+ countries;</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excess production capacity;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 w:name="page8"/>
    <w:bookmarkEnd w:id="7"/>
    <w:p>
      <w:pPr>
        <w:ind w:left="740" w:hanging="362"/>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uncertainty and geopolitical unrest;</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oil and gas exploration and production activity;</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potential resources;</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and subsidies;</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exploring for, producing and delivering oil and gas;</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initiatives to promote the use of renewable energy sources and public sentiment regarding alternatives to oil and gas;</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 and</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demand or pricing for oil and natural gas or for our products and services will follow historic patterns or recover meaningfully in the near term. The oil and gas industry has historically experienced downturns, which have been characterized by diminished demand for our products and services and downward pressure on the prices that we are able to charge. Sustained market uncertainty can also result in lower demand and pricing for our products and services. A future downturn or sustained market uncertainty could again result in a reduction in demand for oilfield services and could have a material adverse effect on our business, financial condition, results of operations, cash flows and prospects.</w:t>
      </w:r>
    </w:p>
    <w:p>
      <w:pPr>
        <w:spacing w:after="0" w:line="1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our non-United States operations, which exposes us to risks inherent in doing business in each of the over 120 countries in which we operate.</w:t>
      </w:r>
    </w:p>
    <w:p>
      <w:pPr>
        <w:spacing w:after="0" w:line="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non-United States operations accounted for approximately 72% of our consolidated revenue in 2019, 68% in 2018 and 74% in 2017. In addition to the risks addressed elsewhere in this section, our operations in countries other than the United States are subject to various risks, including:</w:t>
      </w:r>
    </w:p>
    <w:p>
      <w:pPr>
        <w:spacing w:after="0" w:line="58" w:lineRule="exact"/>
        <w:rPr>
          <w:sz w:val="20"/>
          <w:szCs w:val="20"/>
          <w:color w:val="auto"/>
        </w:rPr>
      </w:pPr>
    </w:p>
    <w:p>
      <w:pPr>
        <w:ind w:left="740" w:hanging="362"/>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political, social and economic conditions;</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expropriation of our assets or other governmental actions;</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acts of terrorism, war or other armed conflict;</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or other adverse tax policies;</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deprivation of contract rights;</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economic sanctions or other restrictions imposed by the European Union, the United States or other countries;</w:t>
      </w:r>
    </w:p>
    <w:p>
      <w:pPr>
        <w:spacing w:after="0" w:line="111" w:lineRule="exact"/>
        <w:rPr>
          <w:rFonts w:ascii="Times New Roman" w:cs="Times New Roman" w:eastAsia="Times New Roman" w:hAnsi="Times New Roman"/>
          <w:sz w:val="18"/>
          <w:szCs w:val="18"/>
          <w:color w:val="auto"/>
        </w:rPr>
      </w:pPr>
    </w:p>
    <w:p>
      <w:pPr>
        <w:ind w:left="740" w:hanging="362"/>
        <w:spacing w:after="0" w:line="274"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under the United States Foreign Corrupt Practices Act (“FCPA”), the U.K. Bribery Act or similar anti-bribery and anti-corruption legislation;</w:t>
      </w:r>
    </w:p>
    <w:p>
      <w:pPr>
        <w:spacing w:after="0" w:line="58"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of proprietary technology and other intellectual property;</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controls;</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devaluations.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failure to comply with complex US and foreign laws and regulations could have a material adverse effect on our operations or financial condition.</w:t>
      </w:r>
    </w:p>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subject to complex US and foreign laws and regulations, such as the FCPA, the U.K. Bribery Act and various other anti-bribery and anti-corruption laws. We are also subject to trade control regulations and trade sanctions laws that restrict the movement of certain goods to, and certain operations in, various countries or with certain persons. Our ability to transfer people, products and data among certain countries is subject to maintaining required licenses and complying with these laws and regulations. The internal controls, policies and procedures, and employee training and compliance programs we have implemented to deter prohibited practices may not be effective in preventing employees, contractors or agents from violating or circumventing such internal policies or from material violations of applicable laws and regulations. Any determination that we have violated or are responsible for violations of anti-bribery, trade control, trade sanctions or anti-corruption laws could have a material adverse effect on our financial condition. Violations of international and US laws and regulations or the loss of any required licenses may result in fines and penalties, criminal sanctions, administrative remedies or restrictions on business conduct, and could have a material adverse effect on our reputation and our business, operating results and financial condition.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Demand for our products and services could be reduced by existing and future legislation, regulations and public sentiment.</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Environmental advocacy groups and regulatory agencies in the European Union, the United States and other regions or countries have been focusing considerable attention on the emissions of carbon dioxide, methane and other greenhouse gases and their potential role in climate change. Existing or future legislation and regulations related to greenhouse gas emissions and climate change, as well as government initiatives to conserve energy or promote the use of alternative energy sources, may significantly curtail demand for and production of fossil fuels such as oil and gas in areas of the world where our customers operate, and thus reduce future demand for our products and services. This may, in turn, adversely affect our financial condition, results of operations and cash flows.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New or additional legal or regulatory requirements regarding climate change could adversely affect our business, reputation or demand for our stock. There is also increased focus, including by governmental and non-governmental organizations, investors and other stakeholders, on these and other sustainability matters. Additionally, some international, national, state and local governments and agencies have adopted laws and regulations or are evaluating proposed legislation and regulations that are focused on the extraction of shale gas or oil using hydraulic fracturing. Future hydraulic fracturing-related legislation or regulations could limit or ban hydraulic fracturing, or lead to operational delays and increased costs, and therefore reduce demand for our pressure pumping services. Enactment of additional international, national, state or local legislation or regulations can adversely affect our financial condition, results of operations and cash flows and could be 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compliance costs and liabilities could reduce our earnings and cash available for operations.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increasingly stringent laws and regulations relating to importation and use of hazardous materials, radioactive materials, chemicals and explosives and to environmental protection, including laws and regulations governing air emissions, hydraulic fracturing, water discharges and waste management. We incur, and expect to continue to incur, significant capital and operating costs to comply with environmental laws and regulations. The technical requirements of these laws and regulations are becoming increasingly complex, stringent and expensive to implement. These laws may provide for “strict liability” for remediation costs, damages to natural resources or threats to public health and safety. Strict liability can render us liable for damages without regard to our degree of care or fault. Some environmental laws provide for joint and several strict liability for remediation of spills and releases of hazardous substances, and, as a result, we could be liable for the actions of others.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for new or increased liabilities that could reduce our earnings and our cash available for operations.</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We could be subject to substantial liability claims, including catastrophic well incidents, which could adversely affect our reputation, financial condition, results of operations and cash flows.</w:t>
      </w:r>
    </w:p>
    <w:p>
      <w:pPr>
        <w:spacing w:after="0" w:line="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technical complexities of our operations expose us to a wide range of significant health, safety and environmental risks. Our operations involve production-related activities, radioactive materials, chemicals, explosives and other equipment and services that are deployed in challenging exploration, development and production environments. Accidents involving these services or equipment, or a failure of a product, could cause personal injury, loss of life, damage to or destruction of property, equipment or the environment, or suspension of operations, which could materially adversely affect us. Any catastrophic well incidents, including blowouts at a well site, may expose us to additional liabilities, which could be material. Generally, we rely on contractual indemnities, releases, and limitations on liability with our customers and insurance to protect us from potential liability related to such events. However, our insurance may not protect us against liability for certain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subject to substantial deductibles, could adversely affect our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maintain technology leadership, this could adversely affect any competitive advantage we hold.</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oilfield service industry is highly competitive. Our ability to continually provide competitive technology and services can impact our ability to defend, maintain or increase prices for our products and services, maintain market share, and negotiate acceptable contract terms with our customers. Failure to continue to develop and produce competitive technology or deliver it to our clients in a timely and cost-competitive manner in the various markets we serve, could adversely affect our financial condition, results of operations and cash flows.</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Limitations on our ability to protect our intellectual property rights, including our trade secrets, could cause a loss in revenue and any competitive advantage we hold.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products or services, and the processes we use to produce or provide them, have been granted patent protection, have patent applications pending, or are trade secrets. Our business may be adversely affected when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 which could adversely affect our financial condition, results of operations and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parties may claim that we have infringed upon their intellectual property rights.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tools, techniques, methodologies, programs and components we use to provide our services and products may infringe upon the intellectual property rights of others. Infringement claims generally result in significant legal and other costs, and may distract management from running our business. Royalty payments under licenses from third parties, if available, would increase our costs. If a license were not available, we might not be able to continue providing a particular service or product, which could adversely affect our financial condition, results of operations and cash flows. Additionally, developing non-infringing technologies would increase our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obtain and retain skilled technical personnel could impede our operations.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require highly skilled personnel to operate and provide technical services and support for our business. Competition for the personnel required for our businesses intensifies as activity increases and technology evolves. In periods of high utilization, it is often more difficult to find and retain qualified individuals. This could increase our costs or have other adverse effects on our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Severe weather may adversely affect our operations.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business has been, and in the future will be affected by severe weather in areas where we operate, which could materially impact our operations and financial results This may entail the evacuation of personnel and stoppage of services. In addition, particularly severe weather affects platforms or structures, which may result in a suspension of activities. Any of these events could adversely affect our financial condition, results of operations and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Cyberattacks could have a material adverse impact on our business and results of operation.</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rely heavily on information systems to conduct our business, including systems operated by or under the control of third parties. Although we devote significant resources to protect our systems and proprietary data, we have experienced and will continue to experience varying degrees of cyber incidents in the normal conduct of our business. There can be no assurance that the systems we have designed to prevent or limit the effects of cyber incidents or attacks will be sufficient to prevent or detect such incidents or attacks, or to avoid a material adverse impact on our systems after such incidents or attacks do occur. Breaches or circumvention of our systems, or the systems of third parties, including by ransomware or other attacks, result in disruptions to our business operations; unauthorized access to (or the loss of Company access to) competitively sensitive, confidential or other critical data or systems; loss of customers; financial losses; regulatory fines; and misuse or corruption of critical data and proprietary information, any of which could be 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Schlumberger owns or leases numerous manufacturing facilities, administrative offices, service centers, research centers, data processing centers, mines, and other facilities throughout the world, none of which are individually 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with respect to this Item 3. Legal Proceedings is set forth in Note 15 of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by section 1503(a) of the Dodd-Frank Wall Street Reform and Consumer Protection Act and Item 104 of Regulation S-K is included in Exhibit 95 to this Form 10-K.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Market for Schlumberger’s Common Stock, Related Stockholder Matters and Issuer Purchases of Equity Securities.</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December 31, 2019, there were 25,464 stockholders of record. The principal United States market for Schlumberger’s common stock is the New York Stock Exchange (“NYSE”), where it is traded under the symbol “SLB.”</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following graph compares the cumulative total stockholder return on Schlumberger common stock with the cumulative total return on the Standard &amp; Poor’s 500 Index (“S&amp;P 500 Index”) and the cumulative total return on the Philadelphia Oil Service Index. It assumes $100 was invested on December 31, 2014 in Schlumberger common stock, in the S&amp;P 500 Index and in the Philadelphia Oil Service Index, as well as the reinvestment of dividends on the last day of the month of payment.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 Among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Common Stock, the S&amp;P 500 Index and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Oil Service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188595</wp:posOffset>
            </wp:positionV>
            <wp:extent cx="5133340" cy="3557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33340" cy="355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21, 2016, the Schlumberger Board of Directors approved a $10 billion share repurchase program for Schlumberger common stock.</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Schlumberger’s common stock repurchase program activity for the three months ended December 31, 2019 was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thousands, except per share amounts)</w:t>
            </w:r>
          </w:p>
        </w:tc>
      </w:tr>
      <w:tr>
        <w:trPr>
          <w:trHeight w:val="409"/>
        </w:trPr>
        <w:tc>
          <w:tcPr>
            <w:tcW w:w="5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Total Number of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5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Shares Purchased</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Maximum Value</w:t>
            </w:r>
          </w:p>
        </w:tc>
      </w:tr>
      <w:tr>
        <w:trPr>
          <w:trHeight w:val="199"/>
        </w:trPr>
        <w:tc>
          <w:tcPr>
            <w:tcW w:w="5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as Part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of Shares that</w:t>
            </w:r>
          </w:p>
        </w:tc>
      </w:tr>
      <w:tr>
        <w:trPr>
          <w:trHeight w:val="199"/>
        </w:trPr>
        <w:tc>
          <w:tcPr>
            <w:tcW w:w="5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Publicly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may yet be</w:t>
            </w:r>
          </w:p>
        </w:tc>
      </w:tr>
      <w:tr>
        <w:trPr>
          <w:trHeight w:val="199"/>
        </w:trPr>
        <w:tc>
          <w:tcPr>
            <w:tcW w:w="58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Total Number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6"/>
                <w:szCs w:val="16"/>
                <w:color w:val="auto"/>
                <w:w w:val="99"/>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Announced</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Purchased Under</w:t>
            </w:r>
          </w:p>
        </w:tc>
      </w:tr>
      <w:tr>
        <w:trPr>
          <w:trHeight w:val="210"/>
        </w:trPr>
        <w:tc>
          <w:tcPr>
            <w:tcW w:w="58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Shares Purchased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6"/>
                <w:szCs w:val="16"/>
                <w:color w:val="auto"/>
                <w:w w:val="98"/>
              </w:rPr>
              <w:t>Paid per Share</w:t>
            </w: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Program</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the Program</w:t>
            </w:r>
          </w:p>
        </w:tc>
      </w:tr>
      <w:tr>
        <w:trPr>
          <w:trHeight w:val="221"/>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2019</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8,998,416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November 2019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8,998,416</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2019</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8,998,416</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Unregistered Sales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Selected Financial Data.</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both “Item 7. Management’s Discussion and Analysis of Financial Condition and Results of Operations” and “Item 8. Financial Statements and Supplementary Data” of this Form 10-K in order to understand factors, such as business combinations and charges and credits, which may affect the comparability of the Selected Financial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gridSpan w:val="10"/>
          </w:tcPr>
          <w:p>
            <w:pPr>
              <w:ind w:left="74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436"/>
        </w:trPr>
        <w:tc>
          <w:tcPr>
            <w:tcW w:w="4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9"/>
        </w:trPr>
        <w:tc>
          <w:tcPr>
            <w:tcW w:w="47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CFF0FC"/>
            </w:tcBorders>
          </w:tcPr>
          <w:p>
            <w:pPr>
              <w:spacing w:after="0"/>
              <w:rPr>
                <w:sz w:val="19"/>
                <w:szCs w:val="19"/>
                <w:color w:val="auto"/>
              </w:rPr>
            </w:pPr>
          </w:p>
        </w:tc>
      </w:tr>
      <w:tr>
        <w:trPr>
          <w:trHeight w:val="21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35,475</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(10,137)</w:t>
            </w: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(1,505)</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w:t>
            </w:r>
          </w:p>
        </w:tc>
        <w:tc>
          <w:tcPr>
            <w:tcW w:w="2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(loss) per share from continuing operations</w:t>
            </w:r>
          </w:p>
        </w:tc>
        <w:tc>
          <w:tcPr>
            <w:tcW w:w="7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(7.32)</w:t>
            </w:r>
          </w:p>
        </w:tc>
        <w:tc>
          <w:tcPr>
            <w:tcW w:w="3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140" w:type="dxa"/>
            <w:vAlign w:val="bottom"/>
          </w:tcPr>
          <w:p>
            <w:pPr>
              <w:spacing w:after="0"/>
              <w:rPr>
                <w:sz w:val="19"/>
                <w:szCs w:val="19"/>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40" w:type="dxa"/>
            <w:vAlign w:val="bottom"/>
          </w:tcPr>
          <w:p>
            <w:pPr>
              <w:spacing w:after="0"/>
              <w:rPr>
                <w:sz w:val="19"/>
                <w:szCs w:val="19"/>
                <w:color w:val="auto"/>
              </w:rPr>
            </w:pP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60" w:type="dxa"/>
            <w:vAlign w:val="bottom"/>
          </w:tcPr>
          <w:p>
            <w:pPr>
              <w:spacing w:after="0"/>
              <w:rPr>
                <w:sz w:val="19"/>
                <w:szCs w:val="19"/>
                <w:color w:val="auto"/>
              </w:rPr>
            </w:pPr>
          </w:p>
        </w:tc>
        <w:tc>
          <w:tcPr>
            <w:tcW w:w="2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7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4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2,432</w:t>
            </w:r>
          </w:p>
        </w:tc>
        <w:tc>
          <w:tcPr>
            <w:tcW w:w="140" w:type="dxa"/>
            <w:vAlign w:val="bottom"/>
          </w:tcPr>
          <w:p>
            <w:pPr>
              <w:spacing w:after="0"/>
              <w:rPr>
                <w:sz w:val="19"/>
                <w:szCs w:val="19"/>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40" w:type="dxa"/>
            <w:vAlign w:val="bottom"/>
          </w:tcPr>
          <w:p>
            <w:pPr>
              <w:spacing w:after="0"/>
              <w:rPr>
                <w:sz w:val="19"/>
                <w:szCs w:val="19"/>
                <w:color w:val="auto"/>
              </w:rPr>
            </w:pP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60" w:type="dxa"/>
            <w:vAlign w:val="bottom"/>
          </w:tcPr>
          <w:p>
            <w:pPr>
              <w:spacing w:after="0"/>
              <w:rPr>
                <w:sz w:val="19"/>
                <w:szCs w:val="19"/>
                <w:color w:val="auto"/>
              </w:rPr>
            </w:pPr>
          </w:p>
        </w:tc>
        <w:tc>
          <w:tcPr>
            <w:tcW w:w="2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7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56,312</w:t>
            </w:r>
          </w:p>
        </w:tc>
        <w:tc>
          <w:tcPr>
            <w:tcW w:w="140" w:type="dxa"/>
            <w:vAlign w:val="bottom"/>
          </w:tcPr>
          <w:p>
            <w:pPr>
              <w:spacing w:after="0"/>
              <w:rPr>
                <w:sz w:val="19"/>
                <w:szCs w:val="19"/>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70,507</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71,987</w:t>
            </w:r>
          </w:p>
        </w:tc>
        <w:tc>
          <w:tcPr>
            <w:tcW w:w="140" w:type="dxa"/>
            <w:vAlign w:val="bottom"/>
          </w:tcPr>
          <w:p>
            <w:pPr>
              <w:spacing w:after="0"/>
              <w:rPr>
                <w:sz w:val="19"/>
                <w:szCs w:val="19"/>
                <w:color w:val="auto"/>
              </w:rPr>
            </w:pP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77,956</w:t>
            </w:r>
          </w:p>
        </w:tc>
        <w:tc>
          <w:tcPr>
            <w:tcW w:w="160" w:type="dxa"/>
            <w:vAlign w:val="bottom"/>
          </w:tcPr>
          <w:p>
            <w:pPr>
              <w:spacing w:after="0"/>
              <w:rPr>
                <w:sz w:val="19"/>
                <w:szCs w:val="19"/>
                <w:color w:val="auto"/>
              </w:rPr>
            </w:pPr>
          </w:p>
        </w:tc>
        <w:tc>
          <w:tcPr>
            <w:tcW w:w="2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68,005</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7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14,770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4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15,294</w:t>
            </w:r>
          </w:p>
        </w:tc>
        <w:tc>
          <w:tcPr>
            <w:tcW w:w="140" w:type="dxa"/>
            <w:vAlign w:val="bottom"/>
          </w:tcPr>
          <w:p>
            <w:pPr>
              <w:spacing w:after="0"/>
              <w:rPr>
                <w:sz w:val="19"/>
                <w:szCs w:val="19"/>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18,199</w:t>
            </w:r>
          </w:p>
        </w:tc>
        <w:tc>
          <w:tcPr>
            <w:tcW w:w="140" w:type="dxa"/>
            <w:vAlign w:val="bottom"/>
          </w:tcPr>
          <w:p>
            <w:pPr>
              <w:spacing w:after="0"/>
              <w:rPr>
                <w:sz w:val="19"/>
                <w:szCs w:val="19"/>
                <w:color w:val="auto"/>
              </w:rPr>
            </w:pP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60" w:type="dxa"/>
            <w:vAlign w:val="bottom"/>
          </w:tcPr>
          <w:p>
            <w:pPr>
              <w:spacing w:after="0"/>
              <w:rPr>
                <w:sz w:val="19"/>
                <w:szCs w:val="19"/>
                <w:color w:val="auto"/>
              </w:rPr>
            </w:pPr>
          </w:p>
        </w:tc>
        <w:tc>
          <w:tcPr>
            <w:tcW w:w="2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7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23,760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36,162</w:t>
            </w:r>
          </w:p>
        </w:tc>
        <w:tc>
          <w:tcPr>
            <w:tcW w:w="4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36,842</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41,078</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35,633</w:t>
            </w:r>
          </w:p>
        </w:tc>
        <w:tc>
          <w:tcPr>
            <w:tcW w:w="120" w:type="dxa"/>
            <w:vAlign w:val="bottom"/>
            <w:shd w:val="clear" w:color="auto" w:fill="CFF0FC"/>
          </w:tcPr>
          <w:p>
            <w:pPr>
              <w:spacing w:after="0"/>
              <w:rPr>
                <w:sz w:val="19"/>
                <w:szCs w:val="19"/>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40" w:type="dxa"/>
            <w:vAlign w:val="bottom"/>
          </w:tcPr>
          <w:p>
            <w:pPr>
              <w:spacing w:after="0"/>
              <w:rPr>
                <w:sz w:val="20"/>
                <w:szCs w:val="20"/>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0"/>
                <w:szCs w:val="20"/>
                <w:color w:val="auto"/>
              </w:rPr>
            </w:pP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20"/>
                <w:szCs w:val="20"/>
                <w:color w:val="auto"/>
              </w:rPr>
            </w:pPr>
          </w:p>
        </w:tc>
        <w:tc>
          <w:tcPr>
            <w:tcW w:w="2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r>
    </w:tbl>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During 2018, Schlumberger adopted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Prior year amounts reflected in the table above have not been adjusted and continue to be reflected in accordance with Schlumberger’s historical accounting. Refer to Note 14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This section of this Form 10-K generally discusses 2019 and 2018 items and year-to-year comparisons between 2019 and 2018. Discussions of 2017 items and year-to-year comparisons between 2018 and 2017 that are not included in this Form 10-K can be found in “Management’s Discussion and Analysis of Financial Condition and Results of Operations” in Part II, Item 7 of Schlumberger’s Annual Report on Form 10-K for the fiscal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2019 Executive Overview</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Schlumberger full-year 2019 revenue of $32.9 billion was essentially flat with 2018. International revenue, however, grew in the high single-digits as anticipated.</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oil markets, sentiment was stable and positive for the first four months of 2019, with the Brent oil price moving from $55 per barrel at the beginning of the year to a high of $75 per barrel in late April. OECD crude and product stocks continued to increase through much of 2019, reversing a trend that persisted throughout the first half of 2018. Internationally, activity and investment continued to strengthen, particularly offshore.</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Activity in North America land was strong in the first half of 2019 but slowed in the second half of the year as a combination of budget exhaustion and cash flow constraints impacted our customers. Although the slowing activity in the second half of the year was consistent with the trend experienced in 2018, activity dropped earlier and steeper in the second half of 2019 as compared to the previous year.</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By midyear, concerns of a recession in the United States and indications of well supplied global oil markets pushed the oil price to its low point for the year. These concerns abated over the latter part of the year as oil demand indicators trended positively. Though trade conflicts persisted, they did not create a significant drag on oil markets for the balance of the year.</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attacks on Saudi Arabia oil infrastructure in September 2019 caused a price increase of only $7 per barrel, and the price of Brent crude retreated to pre-attack levels over the course of the following week, demonstrating that the markets were well supplied. In December 2019, OPEC+ agreed to further production cuts in 2020 to alleviate the projected oversupply.</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Global natural gas pricing was consistent with well-supplied markets during 2019. Liquified natural gas (LNG) supply capacity increased by an estimated 10% during 2019, and consequently LNG prices in Asia and Europe were less than half the prices seen in 2018.</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Domestically, US Henry Hub natural gas prices showed continued weakness during 2019 as North American gas production increased. Prices averaged $2.56 per million British thermal units (“mmbtu”) for the year, with the peak of $4.25 per mmbtu occurring in March. The price fell to its lowest point of $1.75 per mmbtu in December.</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Schlumberger financial performance in 2019 was primarily driven by the international markets. Full-year 2019 international revenue of $21.8 billion increased 7% over 2018, again outpacing North America revenue and continuing a trend which began in the third quarter of 2018. This strong international performance was the result of increased activity on the part of operators, as they continued to invest in longer-term resource development following a sustained period of underinvestment and declining production.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contrast, after two years of strong growth, North American revenue fell sharply by 10% to $10.8 billion. This decrease was largely driven by the land market weakness affecting the OneStim pressure pumping business, as customers reached their budget limits earlier in the year and remained highly disciplined on capital spend.</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Additionally, during the fourth quarter of 2019, Schlumberger completed two major milestones: the formation of the Sensia joint venture and the divestiture of the Drilling Tools business. Together these two transactions resulted in Schlumberger receiving net cash proceeds of $586 million.</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From a macro perspective, the year ended with sentiment regarding 2020 oil demand growth turning positive as uncertainty reduced following the progress made toward a US-China trade deal. The fall in the North America production growth estimate of between 400,000 to 800,000 barrels-per-day should continue to support the thesis for international investment. The recent escalation of geopolitical risk should set the floor for the oil price going forward. In the near term, Schlumberger expects the OPEC+ production cuts agreed upon in December 2019 to limit investment and activity, particularly in the Middle East and Russia, during the first half of 2020. As the year progresses, the effect of slowing North America production growth is likely to cause tightness in the market and further stimulate international operators to increase their investments in the second half of the year and beyond.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18"/>
          <w:szCs w:val="18"/>
          <w:color w:val="auto"/>
        </w:rPr>
        <w:t>Based on these factors, the expectation is for the 2020 exploration and production capex spending growth rate in the international markets to be in the mid-single-digit range. Schlumberger therefore expects its international portfolio revenue to grow at the same pace or higher, excluding the effects of the businesses transferred to the Sensia joint venture and the businesses divested in the Drilling Tools transaction. The businesses included in these transactions accounted for approximately 2% of Schlumberger’s global revenue in 2019. International revenue growth will be more heavily weighted to the second half of the year with increasing offshore activity, improving activity mix from the early deepwater growth cycle, and increasing exploration work toward the end of the year and into 2021.</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North America, Schlumberger is continuing to scale-to-fit its organization and portfolio by repurposing or exiting underperforming business units, focusing on asset-light operations, and expanding its technology access business models. Schlumberger is cautiously optimistic that the high-grading of its portfolio will promote margin expansion and the improvement of returns in the North America land market.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2019 Results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3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Fourth Quarter 2019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Third Quarter 2019</w:t>
            </w:r>
          </w:p>
        </w:tc>
      </w:tr>
      <w:tr>
        <w:trPr>
          <w:trHeight w:val="212"/>
        </w:trPr>
        <w:tc>
          <w:tcPr>
            <w:tcW w:w="3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Income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Income (Loss)</w:t>
            </w:r>
          </w:p>
        </w:tc>
        <w:tc>
          <w:tcPr>
            <w:tcW w:w="120" w:type="dxa"/>
            <w:vAlign w:val="bottom"/>
          </w:tcPr>
          <w:p>
            <w:pPr>
              <w:spacing w:after="0"/>
              <w:rPr>
                <w:sz w:val="18"/>
                <w:szCs w:val="18"/>
                <w:color w:val="auto"/>
              </w:rPr>
            </w:pPr>
          </w:p>
        </w:tc>
      </w:tr>
      <w:tr>
        <w:trPr>
          <w:trHeight w:val="226"/>
        </w:trPr>
        <w:tc>
          <w:tcPr>
            <w:tcW w:w="39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3"/>
        </w:trPr>
        <w:tc>
          <w:tcPr>
            <w:tcW w:w="39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Taxes</w:t>
            </w:r>
          </w:p>
        </w:tc>
      </w:tr>
      <w:tr>
        <w:trPr>
          <w:trHeight w:val="219"/>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9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r>
      <w:tr>
        <w:trPr>
          <w:trHeight w:val="22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FF0FC"/>
          </w:tcPr>
          <w:p>
            <w:pPr>
              <w:spacing w:after="0"/>
              <w:rPr>
                <w:sz w:val="19"/>
                <w:szCs w:val="19"/>
                <w:color w:val="auto"/>
              </w:rPr>
            </w:pPr>
          </w:p>
        </w:tc>
      </w:tr>
      <w:tr>
        <w:trPr>
          <w:trHeight w:val="22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r>
      <w:tr>
        <w:trPr>
          <w:trHeight w:val="22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(111)</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9"/>
        </w:trPr>
        <w:tc>
          <w:tcPr>
            <w:tcW w:w="39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9"/>
                <w:szCs w:val="19"/>
                <w:color w:val="auto"/>
              </w:rPr>
            </w:pPr>
          </w:p>
        </w:tc>
      </w:tr>
      <w:tr>
        <w:trPr>
          <w:trHeight w:val="22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r>
      <w:tr>
        <w:trPr>
          <w:trHeight w:val="22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r>
      <w:tr>
        <w:trPr>
          <w:trHeight w:val="22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r>
      <w:tr>
        <w:trPr>
          <w:trHeight w:val="22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&amp; credits </w:t>
            </w:r>
            <w:r>
              <w:rPr>
                <w:rFonts w:ascii="Times New Roman" w:cs="Times New Roman" w:eastAsia="Times New Roman" w:hAnsi="Times New Roman"/>
                <w:sz w:val="15"/>
                <w:szCs w:val="15"/>
                <w:color w:val="auto"/>
              </w:rPr>
              <w:t>(4)</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(12,692)</w:t>
            </w:r>
          </w:p>
        </w:tc>
      </w:tr>
      <w:tr>
        <w:trPr>
          <w:trHeight w:val="219"/>
        </w:trPr>
        <w:tc>
          <w:tcPr>
            <w:tcW w:w="3900" w:type="dxa"/>
            <w:vAlign w:val="bottom"/>
            <w:tcBorders>
              <w:top w:val="single" w:sz="8" w:color="CFF0FC"/>
              <w:bottom w:val="single" w:sz="8" w:color="CFF0FC"/>
            </w:tcBorders>
            <w:shd w:val="clear" w:color="auto" w:fill="CFF0FC"/>
          </w:tcPr>
          <w:p>
            <w:pPr>
              <w:spacing w:after="0"/>
              <w:rPr>
                <w:sz w:val="19"/>
                <w:szCs w:val="19"/>
                <w:color w:val="auto"/>
              </w:rPr>
            </w:pP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right="20" w:hanging="374"/>
        <w:spacing w:after="0" w:line="202" w:lineRule="auto"/>
        <w:tabs>
          <w:tab w:leader="none" w:pos="38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 w:lineRule="exact"/>
        <w:rPr>
          <w:rFonts w:ascii="Times New Roman" w:cs="Times New Roman" w:eastAsia="Times New Roman" w:hAnsi="Times New Roman"/>
          <w:sz w:val="26"/>
          <w:szCs w:val="26"/>
          <w:color w:val="auto"/>
          <w:vertAlign w:val="superscript"/>
        </w:rPr>
      </w:pPr>
    </w:p>
    <w:p>
      <w:pPr>
        <w:ind w:left="380" w:hanging="374"/>
        <w:spacing w:after="0"/>
        <w:tabs>
          <w:tab w:leader="none" w:pos="38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Excludes interest income included in the segments’ income (fourth quarter 2019: $2 million; third quarter 2019: $1 million).</w:t>
      </w:r>
    </w:p>
    <w:p>
      <w:pPr>
        <w:spacing w:after="0" w:line="115" w:lineRule="exact"/>
        <w:rPr>
          <w:rFonts w:ascii="Times New Roman" w:cs="Times New Roman" w:eastAsia="Times New Roman" w:hAnsi="Times New Roman"/>
          <w:sz w:val="26"/>
          <w:szCs w:val="26"/>
          <w:color w:val="auto"/>
          <w:vertAlign w:val="superscript"/>
        </w:rPr>
      </w:pPr>
    </w:p>
    <w:p>
      <w:pPr>
        <w:ind w:left="380" w:hanging="374"/>
        <w:spacing w:after="0" w:line="180" w:lineRule="auto"/>
        <w:tabs>
          <w:tab w:leader="none" w:pos="3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Excludes interest expense included in the segments’ income (fourth quarter 2019: $8 million; third quarter 2019: $9 million).</w:t>
      </w:r>
    </w:p>
    <w:p>
      <w:pPr>
        <w:spacing w:after="0" w:line="115" w:lineRule="exact"/>
        <w:rPr>
          <w:rFonts w:ascii="Times New Roman" w:cs="Times New Roman" w:eastAsia="Times New Roman" w:hAnsi="Times New Roman"/>
          <w:sz w:val="22"/>
          <w:szCs w:val="22"/>
          <w:color w:val="auto"/>
          <w:vertAlign w:val="superscript"/>
        </w:rPr>
      </w:pPr>
    </w:p>
    <w:p>
      <w:pPr>
        <w:ind w:left="380" w:hanging="374"/>
        <w:spacing w:after="0" w:line="180" w:lineRule="auto"/>
        <w:tabs>
          <w:tab w:leader="none" w:pos="3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Charges and credits are described in detail in Note 3 to the </w:t>
      </w:r>
      <w:r>
        <w:rPr>
          <w:rFonts w:ascii="Times New Roman" w:cs="Times New Roman" w:eastAsia="Times New Roman" w:hAnsi="Times New Roman"/>
          <w:sz w:val="14"/>
          <w:szCs w:val="14"/>
          <w:i w:val="1"/>
          <w:iCs w:val="1"/>
          <w:color w:val="auto"/>
        </w:rPr>
        <w:t>Consolidated Financial Statements</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Fourth quarter revenue of $8.2 billion was 4% lower sequentially. International revenue of $5.7 billion grew 2% sequentially. However, North America revenue of $2.5 billion dropped 14% sequentially due to customer budget exhaustion and cash flow constraints.</w:t>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Sequential international growth was led by the Middle East &amp; Asia area, where revenue increased 5%. Latin America revenue grew 1%, while revenue in the Europe/CIS/Africa area only declined 2% given the mild winter slowdown of activity in the Northern Hemisphere.</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fourth quarter of 2019 delivered the first sequential growth in international margin in any fourth quarter since 2014. Schlumberger is therefore confident that it has turned the corner, particularly as it has experienced sequential international margin growth in each of the last three quarters. Meanwhile in North America land, margin compression from lower activity was minimized by implementing a scale-to-fit strategy, acting decisively in reducing capacity, and restructuring operations to protect margins.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Reservoir Characterization</w:t>
      </w:r>
    </w:p>
    <w:p>
      <w:pPr>
        <w:spacing w:after="0" w:line="11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Fourth-quarter revenue of $1.6 billion decreased 1% sequentially following the end of the summer campaigns for Wireline and Testing activity in the North Sea and Russia, where the mild winter did not significantly disrupt activity.</w:t>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Reservoir Characterization pretax operating margin of 22% increased 59 basis points (“bps”) sequentially primarily driven by increased high-margin SIS digital software sales.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Fourth-quarter revenue of $2.4 billion decreased 1% sequentially primarily due to the end of the summer drilling campaign in Russia and lower drilling activity in North America land.</w:t>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Drilling pretax operating margin of 12% was flat sequentially as margin improvements from drilling projects in the Middle East were offset by the seasonally lower margins in Russia and lower drilling margins in North America land.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Fourth-quarter revenue of $2.9 billion declined 9% sequentially driven by lower activity and pricing for OneStim in North America land due to expected customer budget limitations and cash flow constraints. Schlumberger continued to right-size its hydraulic fracturing capacity by stacking more fleets in light of lower demand.</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Production pretax operating margin of 9% contracted by 32 bps sequentially due to the lower OneStim activity, partially offset by strength in international margins from higher activity.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Cameron</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Fourth-quarter revenue of $1.4 billion increased 2% sequentially from higher OneSubsea, Surface Systems, and Drilling Systems revenue primarily in the international markets. Valves &amp; Process Systems was lower sequentially due to the reduced North America land activity and as a result of contributing the Valves &amp; Process Systems measurement business to the Sensia joint venture, which closed on October 1, 2019.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Cameron pretax operating margin of 9% contracted by 359 bps sequentially, driven largely by reduced margins in the OneSubsea project portfolio.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Full-Year 2019 Results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2019</w:t>
            </w: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2018</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3"/>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6,312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(439)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(171)</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19"/>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(957)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(937)</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(571)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(537)</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&amp; credits </w:t>
            </w:r>
            <w:r>
              <w:rPr>
                <w:rFonts w:ascii="Times New Roman" w:cs="Times New Roman" w:eastAsia="Times New Roman" w:hAnsi="Times New Roman"/>
                <w:sz w:val="15"/>
                <w:szCs w:val="15"/>
                <w:color w:val="auto"/>
              </w:rPr>
              <w:t>(4)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(12,901)</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19"/>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right="20" w:hanging="374"/>
        <w:spacing w:after="0" w:line="202" w:lineRule="auto"/>
        <w:tabs>
          <w:tab w:leader="none" w:pos="380"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 w:lineRule="exact"/>
        <w:rPr>
          <w:rFonts w:ascii="Times New Roman" w:cs="Times New Roman" w:eastAsia="Times New Roman" w:hAnsi="Times New Roman"/>
          <w:sz w:val="26"/>
          <w:szCs w:val="26"/>
          <w:color w:val="auto"/>
          <w:vertAlign w:val="superscript"/>
        </w:rPr>
      </w:pPr>
    </w:p>
    <w:p>
      <w:pPr>
        <w:ind w:left="380" w:hanging="374"/>
        <w:spacing w:after="0"/>
        <w:tabs>
          <w:tab w:leader="none" w:pos="380"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Excludes interest income included in the segments’ income (2019: $8 million; 2018: $8 million).</w:t>
      </w:r>
    </w:p>
    <w:p>
      <w:pPr>
        <w:spacing w:after="0" w:line="115" w:lineRule="exact"/>
        <w:rPr>
          <w:rFonts w:ascii="Times New Roman" w:cs="Times New Roman" w:eastAsia="Times New Roman" w:hAnsi="Times New Roman"/>
          <w:sz w:val="26"/>
          <w:szCs w:val="26"/>
          <w:color w:val="auto"/>
          <w:vertAlign w:val="superscript"/>
        </w:rPr>
      </w:pPr>
    </w:p>
    <w:p>
      <w:pPr>
        <w:ind w:left="380" w:hanging="374"/>
        <w:spacing w:after="0" w:line="180"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Excludes interest expense included in the segments’ income (2019: $38 million; 2018: $38 million).</w:t>
      </w:r>
    </w:p>
    <w:p>
      <w:pPr>
        <w:spacing w:after="0" w:line="115" w:lineRule="exact"/>
        <w:rPr>
          <w:rFonts w:ascii="Times New Roman" w:cs="Times New Roman" w:eastAsia="Times New Roman" w:hAnsi="Times New Roman"/>
          <w:sz w:val="22"/>
          <w:szCs w:val="22"/>
          <w:color w:val="auto"/>
          <w:vertAlign w:val="superscript"/>
        </w:rPr>
      </w:pPr>
    </w:p>
    <w:p>
      <w:pPr>
        <w:ind w:left="380" w:hanging="374"/>
        <w:spacing w:after="0" w:line="180"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Charges and credits are described in detail in Note 3 to the </w:t>
      </w:r>
      <w:r>
        <w:rPr>
          <w:rFonts w:ascii="Times New Roman" w:cs="Times New Roman" w:eastAsia="Times New Roman" w:hAnsi="Times New Roman"/>
          <w:sz w:val="14"/>
          <w:szCs w:val="14"/>
          <w:i w:val="1"/>
          <w:iCs w:val="1"/>
          <w:color w:val="auto"/>
        </w:rPr>
        <w:t>Consolidated Financial Statements</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5" w:name="page16"/>
    <w:bookmarkEnd w:id="15"/>
    <w:p>
      <w:pPr>
        <w:jc w:val="both"/>
        <w:spacing w:after="0" w:line="260" w:lineRule="auto"/>
        <w:rPr>
          <w:sz w:val="20"/>
          <w:szCs w:val="20"/>
          <w:color w:val="auto"/>
        </w:rPr>
      </w:pPr>
      <w:r>
        <w:rPr>
          <w:rFonts w:ascii="Times New Roman" w:cs="Times New Roman" w:eastAsia="Times New Roman" w:hAnsi="Times New Roman"/>
          <w:sz w:val="18"/>
          <w:szCs w:val="18"/>
          <w:color w:val="auto"/>
        </w:rPr>
        <w:t>Full-year 2019 revenue of $32.9 billion was essentially flat year-on-year with North America revenue decreasing 10% and international revenue increasing 7%. The international results were underpinned by increased investment levels. In contrast, the North America results reflect a slowing production growth rate on land as operators maintained capital discipline and reduced drilling and hydraulic fracturing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Full-year 2019 revenue of $6.3 billion increased 2% year-on-year primarily driven by increased international activity.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decreased 79 bps to 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Full-year 2019 revenue of $9.7 billion increased 5% year-on-year primarily due to higher demand for drilling services, largely in the international markets that benefited Drilling &amp; Measurements, M-I SWACO, and Integrated Drilling Services.</w:t>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Year-on-year, pretax operating margin decreased 89 bps to 13% despite higher revenue as margins were affected by competitive pricing and higher costs associated with a number of integrated contracts internationally.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Full-year 2019 revenue of $12.0 billion decreased 3% year-on-year with most of the revenue decline attributable to lower OneStim activity in North America as customers reduced spending due to higher cost of capital, lower borrowing capacity and expectation of better returns from their shareholders.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decreased 20 bps to 8% primarily due to reduced profitability in OneStim in North America.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Cameron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Full-year 2019 revenue of $5.3 billion decreased 3% year-on-year due to lower revenue for OneSubsea and Valves &amp; Process Systems.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decreased 35 bps to 11%.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Other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&amp; other income </w:t>
      </w:r>
      <w:r>
        <w:rPr>
          <w:rFonts w:ascii="Times New Roman" w:cs="Times New Roman" w:eastAsia="Times New Roman" w:hAnsi="Times New Roman"/>
          <w:sz w:val="18"/>
          <w:szCs w:val="18"/>
          <w:color w:val="auto"/>
        </w:rPr>
        <w:t>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7820" w:type="dxa"/>
            <w:vAlign w:val="bottom"/>
            <w:tcBorders>
              <w:bottom w:val="single" w:sz="8" w:color="CFF0FC"/>
            </w:tcBorders>
          </w:tcPr>
          <w:p>
            <w:pPr>
              <w:spacing w:after="0"/>
              <w:rPr>
                <w:sz w:val="24"/>
                <w:szCs w:val="24"/>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FF0FC"/>
          </w:tcPr>
          <w:p>
            <w:pPr>
              <w:jc w:val="right"/>
              <w:ind w:right="9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Earnings of equity method investments</w:t>
            </w: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interest income in 2019 compared to 2018 is primarily attributable to lower cash and short-term investment balances.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earnings from equity income is associated with Schlumberger’s equity investments in rig-and seismic-related businesses.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Interest expense of $609 million in 2019 increased $34 million compared to 2018. This increase is primarily due to an increase in the weighted average debt balance during 2019 as compared to 2018.</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Research &amp; engineering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&amp; administrative </w:t>
      </w:r>
      <w:r>
        <w:rPr>
          <w:rFonts w:ascii="Times New Roman" w:cs="Times New Roman" w:eastAsia="Times New Roman" w:hAnsi="Times New Roman"/>
          <w:sz w:val="18"/>
          <w:szCs w:val="18"/>
          <w:color w:val="auto"/>
        </w:rPr>
        <w:t>expenses, as a percentage of</w:t>
      </w:r>
      <w:r>
        <w:rPr>
          <w:rFonts w:ascii="Times New Roman" w:cs="Times New Roman" w:eastAsia="Times New Roman" w:hAnsi="Times New Roman"/>
          <w:sz w:val="18"/>
          <w:szCs w:val="18"/>
          <w:i w:val="1"/>
          <w:iCs w:val="1"/>
          <w:color w:val="auto"/>
        </w:rPr>
        <w:t xml:space="preserve"> Revenue</w:t>
      </w:r>
      <w:r>
        <w:rPr>
          <w:rFonts w:ascii="Times New Roman" w:cs="Times New Roman" w:eastAsia="Times New Roman" w:hAnsi="Times New Roman"/>
          <w:sz w:val="18"/>
          <w:szCs w:val="18"/>
          <w:color w:val="auto"/>
        </w:rPr>
        <w:t>,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0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15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Borders>
              <w:bottom w:val="single" w:sz="8" w:color="CFF0FC"/>
            </w:tcBorders>
          </w:tcPr>
          <w:p>
            <w:pPr>
              <w:spacing w:after="0"/>
              <w:rPr>
                <w:sz w:val="20"/>
                <w:szCs w:val="20"/>
                <w:color w:val="auto"/>
              </w:rPr>
            </w:pPr>
          </w:p>
        </w:tc>
      </w:tr>
      <w:tr>
        <w:trPr>
          <w:trHeight w:val="21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Research &amp; engineering</w:t>
            </w:r>
          </w:p>
        </w:tc>
        <w:tc>
          <w:tcPr>
            <w:tcW w:w="1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&amp; administrative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418"/>
        </w:trPr>
        <w:tc>
          <w:tcPr>
            <w:tcW w:w="7700" w:type="dxa"/>
            <w:vAlign w:val="bottom"/>
          </w:tcPr>
          <w:p>
            <w:pPr>
              <w:jc w:val="right"/>
              <w:ind w:right="1812"/>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5"/>
        </w:trPr>
        <w:tc>
          <w:tcPr>
            <w:tcW w:w="77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Schlumberger effective tax rate is sensitive to the geographic mix of earnings. When the percentage of pretax earnings generated outside of North America increases, the Schlumberger effective tax rate generally decreases. Conversely, when the percentage of pretax earnings generated outside of North America decreases, the Schlumberger effective tax rate generally increases.</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Schlumberger effective tax rate was 3% in 2019 as compared to 17% in 2018. The lower effective tax rate was almost entirely due to the charges and credits described in Note 3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which primarily related to non-deductible goodwill.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Charges and Credits</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Schlumberger recorded significant charges and credits during 2019 and 2018. These charges and credits, which are summarized below, are more fully described in Note 3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following is a summary of the 2019 charges and credits, of which the $247 million gain on the formation of the Sensia joint venture is classified in </w:t>
      </w:r>
      <w:r>
        <w:rPr>
          <w:rFonts w:ascii="Times New Roman" w:cs="Times New Roman" w:eastAsia="Times New Roman" w:hAnsi="Times New Roman"/>
          <w:sz w:val="18"/>
          <w:szCs w:val="18"/>
          <w:i w:val="1"/>
          <w:iCs w:val="1"/>
          <w:color w:val="auto"/>
        </w:rPr>
        <w:t>Gain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formation of Sensia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Statement of Income (Loss)</w:t>
      </w:r>
      <w:r>
        <w:rPr>
          <w:rFonts w:ascii="Times New Roman" w:cs="Times New Roman" w:eastAsia="Times New Roman" w:hAnsi="Times New Roman"/>
          <w:sz w:val="18"/>
          <w:szCs w:val="18"/>
          <w:color w:val="auto"/>
        </w:rPr>
        <w:t>, while the $13.15 billion of charges are classified in</w:t>
      </w:r>
      <w:r>
        <w:rPr>
          <w:rFonts w:ascii="Times New Roman" w:cs="Times New Roman" w:eastAsia="Times New Roman" w:hAnsi="Times New Roman"/>
          <w:sz w:val="18"/>
          <w:szCs w:val="18"/>
          <w:i w:val="1"/>
          <w:iCs w:val="1"/>
          <w:color w:val="auto"/>
        </w:rPr>
        <w:t xml:space="preserve"> Impairments &amp; other</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4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Pretax</w:t>
            </w:r>
          </w:p>
        </w:tc>
        <w:tc>
          <w:tcPr>
            <w:tcW w:w="320" w:type="dxa"/>
            <w:vAlign w:val="bottom"/>
          </w:tcPr>
          <w:p>
            <w:pPr>
              <w:spacing w:after="0"/>
              <w:rPr>
                <w:sz w:val="24"/>
                <w:szCs w:val="24"/>
                <w:color w:val="auto"/>
              </w:rPr>
            </w:pPr>
          </w:p>
        </w:tc>
        <w:tc>
          <w:tcPr>
            <w:tcW w:w="1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Net</w:t>
            </w:r>
          </w:p>
        </w:tc>
      </w:tr>
      <w:tr>
        <w:trPr>
          <w:trHeight w:val="219"/>
        </w:trPr>
        <w:tc>
          <w:tcPr>
            <w:tcW w:w="4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Fourth quarter:</w:t>
            </w:r>
          </w:p>
        </w:tc>
        <w:tc>
          <w:tcPr>
            <w:tcW w:w="17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North America restructuring</w:t>
            </w:r>
          </w:p>
        </w:tc>
        <w:tc>
          <w:tcPr>
            <w:tcW w:w="20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restructuring</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9"/>
                <w:szCs w:val="19"/>
                <w:color w:val="auto"/>
              </w:rPr>
            </w:pPr>
          </w:p>
        </w:tc>
      </w:tr>
      <w:tr>
        <w:trPr>
          <w:trHeight w:val="22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Workforce reductions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Pension settlement accounting</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r>
      <w:tr>
        <w:trPr>
          <w:trHeight w:val="22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bonds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Gain on formation of Sensia joint venture</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26"/>
        </w:trPr>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Third quarter:</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shd w:val="clear" w:color="auto" w:fill="CFF0FC"/>
          </w:tcPr>
          <w:p>
            <w:pPr>
              <w:spacing w:after="0"/>
              <w:rPr>
                <w:sz w:val="19"/>
                <w:szCs w:val="19"/>
                <w:color w:val="auto"/>
              </w:rPr>
            </w:pPr>
          </w:p>
        </w:tc>
      </w:tr>
      <w:tr>
        <w:trPr>
          <w:trHeight w:val="22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impairment</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North America pressure pumping</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FF0FC"/>
          </w:tcPr>
          <w:p>
            <w:pPr>
              <w:spacing w:after="0"/>
              <w:rPr>
                <w:sz w:val="19"/>
                <w:szCs w:val="19"/>
                <w:color w:val="auto"/>
              </w:rPr>
            </w:pPr>
          </w:p>
        </w:tc>
      </w:tr>
      <w:tr>
        <w:trPr>
          <w:trHeight w:val="22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North America-related</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Argentina</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19"/>
                <w:szCs w:val="19"/>
                <w:color w:val="auto"/>
              </w:rPr>
            </w:pPr>
          </w:p>
        </w:tc>
      </w:tr>
      <w:tr>
        <w:trPr>
          <w:trHeight w:val="22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Equity-method investments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Asset Performance Solutions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FF0FC"/>
          </w:tcPr>
          <w:p>
            <w:pPr>
              <w:spacing w:after="0"/>
              <w:rPr>
                <w:sz w:val="19"/>
                <w:szCs w:val="19"/>
                <w:color w:val="auto"/>
              </w:rPr>
            </w:pPr>
          </w:p>
        </w:tc>
      </w:tr>
      <w:tr>
        <w:trPr>
          <w:trHeight w:val="226"/>
        </w:trPr>
        <w:tc>
          <w:tcPr>
            <w:tcW w:w="49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FF0FC"/>
            </w:tcBorders>
          </w:tcPr>
          <w:p>
            <w:pPr>
              <w:spacing w:after="0"/>
              <w:rPr>
                <w:sz w:val="19"/>
                <w:szCs w:val="19"/>
                <w:color w:val="auto"/>
              </w:rPr>
            </w:pPr>
          </w:p>
        </w:tc>
      </w:tr>
      <w:tr>
        <w:trPr>
          <w:trHeight w:val="219"/>
        </w:trPr>
        <w:tc>
          <w:tcPr>
            <w:tcW w:w="496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significant portion of the third-quarter impairment charges were recorded effective August 31, 2019. Accordingly, the 2019 results reflect a $108 million reduction in depreciation and amortization expense for the last four months of 2019. Approximately $84 million of this amount relates to the Production segment. The remaining $24 million is reflected in the “Corporate &amp; other” line item.</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following is a summary of the 2018 charges and credits, of which the $215 million gain on the sale of the marine seismic acquisition business is classified in </w:t>
      </w:r>
      <w:r>
        <w:rPr>
          <w:rFonts w:ascii="Times New Roman" w:cs="Times New Roman" w:eastAsia="Times New Roman" w:hAnsi="Times New Roman"/>
          <w:sz w:val="18"/>
          <w:szCs w:val="18"/>
          <w:i w:val="1"/>
          <w:iCs w:val="1"/>
          <w:color w:val="auto"/>
        </w:rPr>
        <w:t xml:space="preserve">Gain on sale of business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Statement of Income (Loss)</w:t>
      </w:r>
      <w:r>
        <w:rPr>
          <w:rFonts w:ascii="Times New Roman" w:cs="Times New Roman" w:eastAsia="Times New Roman" w:hAnsi="Times New Roman"/>
          <w:sz w:val="18"/>
          <w:szCs w:val="18"/>
          <w:color w:val="auto"/>
        </w:rPr>
        <w:t>, while the $356 million of charges are classified in</w:t>
      </w:r>
      <w:r>
        <w:rPr>
          <w:rFonts w:ascii="Times New Roman" w:cs="Times New Roman" w:eastAsia="Times New Roman" w:hAnsi="Times New Roman"/>
          <w:sz w:val="18"/>
          <w:szCs w:val="18"/>
          <w:i w:val="1"/>
          <w:iCs w:val="1"/>
          <w:color w:val="auto"/>
        </w:rPr>
        <w:t xml:space="preserve"> Impairments &amp; other</w:t>
      </w:r>
      <w:r>
        <w:rPr>
          <w:rFonts w:ascii="Times New Roman" w:cs="Times New Roman" w:eastAsia="Times New Roman" w:hAnsi="Times New Roman"/>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4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Pretax</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Tax</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19"/>
        </w:trPr>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marine seismic acquisition business</w:t>
            </w:r>
          </w:p>
        </w:tc>
        <w:tc>
          <w:tcPr>
            <w:tcW w:w="20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(215)</w:t>
            </w:r>
          </w:p>
        </w:tc>
        <w:tc>
          <w:tcPr>
            <w:tcW w:w="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Workforce reductions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20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80" w:type="dxa"/>
            <w:vAlign w:val="bottom"/>
            <w:vMerge w:val="restart"/>
          </w:tcPr>
          <w:p>
            <w:pPr>
              <w:jc w:val="right"/>
              <w:ind w:right="832"/>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6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6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71"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1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xml:space="preserve">Schlumberger had total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xml:space="preserve"> of $2.2 billion and $2.8 billion at December 31, 2019 and 2018, respectively. Total debt was $15.3 billion and $16.1 billion at December 31, 2019 and 2018,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components of liquidity as well as changes in liquidity follow:</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9"/>
        </w:trPr>
        <w:tc>
          <w:tcPr>
            <w:tcW w:w="7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3"/>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Components of Liquidity:</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(14,770)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(14,644)</w:t>
            </w:r>
          </w:p>
        </w:tc>
        <w:tc>
          <w:tcPr>
            <w:tcW w:w="0" w:type="dxa"/>
            <w:vAlign w:val="bottom"/>
          </w:tcPr>
          <w:p>
            <w:pPr>
              <w:spacing w:after="0"/>
              <w:rPr>
                <w:sz w:val="1"/>
                <w:szCs w:val="1"/>
                <w:color w:val="auto"/>
              </w:rPr>
            </w:pPr>
          </w:p>
        </w:tc>
      </w:tr>
      <w:tr>
        <w:trPr>
          <w:trHeight w:val="219"/>
        </w:trPr>
        <w:tc>
          <w:tcPr>
            <w:tcW w:w="7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15"/>
                <w:szCs w:val="15"/>
                <w:color w:val="auto"/>
              </w:rPr>
              <w:t>(1)</w:t>
            </w:r>
          </w:p>
        </w:tc>
        <w:tc>
          <w:tcPr>
            <w:tcW w:w="300" w:type="dxa"/>
            <w:vAlign w:val="bottom"/>
            <w:tcBorders>
              <w:top w:val="single" w:sz="8" w:color="auto"/>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(13,127)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Changes in Liquidity:</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(10,107)</w:t>
            </w: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formation of Sensia joint venture</w:t>
            </w: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WesternGeco marine seismic business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(2)</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of equity method investments, less dividends received</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funding</w:t>
            </w: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Increase in working capital and other </w:t>
            </w:r>
            <w:r>
              <w:rPr>
                <w:rFonts w:ascii="Times New Roman" w:cs="Times New Roman" w:eastAsia="Times New Roman" w:hAnsi="Times New Roman"/>
                <w:sz w:val="15"/>
                <w:szCs w:val="15"/>
                <w:color w:val="auto"/>
              </w:rPr>
              <w:t>(3)</w:t>
            </w: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5,431</w:t>
            </w:r>
          </w:p>
        </w:tc>
        <w:tc>
          <w:tcPr>
            <w:tcW w:w="2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APS investments</w:t>
            </w: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Multiclient seismic data capitalized</w:t>
            </w: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5"/>
                <w:szCs w:val="15"/>
                <w:b w:val="1"/>
                <w:bCs w:val="1"/>
                <w:color w:val="auto"/>
              </w:rPr>
              <w:t>(4)</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2,695</w:t>
            </w:r>
          </w:p>
        </w:tc>
        <w:tc>
          <w:tcPr>
            <w:tcW w:w="2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WesternGeco marine seismic business, net of cash divested</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proceeds from divestiture and formation of Sensia joint venture</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 plus debt assumed</w:t>
            </w: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Debt</w:t>
            </w: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2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(13,274)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(13,110)</w:t>
            </w:r>
          </w:p>
        </w:tc>
        <w:tc>
          <w:tcPr>
            <w:tcW w:w="0" w:type="dxa"/>
            <w:vAlign w:val="bottom"/>
          </w:tcPr>
          <w:p>
            <w:pPr>
              <w:spacing w:after="0"/>
              <w:rPr>
                <w:sz w:val="1"/>
                <w:szCs w:val="1"/>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Debt, End of period</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(13,127)</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7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7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71" w:right="239" w:bottom="1440" w:gutter="0" w:footer="0" w:header="0"/>
        </w:sectPr>
      </w:pPr>
    </w:p>
    <w:bookmarkStart w:id="18" w:name="page19"/>
    <w:bookmarkEnd w:id="18"/>
    <w:p>
      <w:pPr>
        <w:jc w:val="both"/>
        <w:ind w:left="380" w:hanging="374"/>
        <w:spacing w:after="0" w:line="214" w:lineRule="auto"/>
        <w:tabs>
          <w:tab w:leader="none" w:pos="38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Times New Roman" w:cs="Times New Roman" w:eastAsia="Times New Roman" w:hAnsi="Times New Roman"/>
          <w:sz w:val="27"/>
          <w:szCs w:val="27"/>
          <w:color w:val="auto"/>
          <w:vertAlign w:val="superscript"/>
        </w:rPr>
      </w:pPr>
    </w:p>
    <w:p>
      <w:pPr>
        <w:ind w:left="380" w:hanging="374"/>
        <w:spacing w:after="0" w:line="191" w:lineRule="auto"/>
        <w:tabs>
          <w:tab w:leader="none" w:pos="380" w:val="left"/>
        </w:tabs>
        <w:numPr>
          <w:ilvl w:val="0"/>
          <w:numId w:val="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multiclient seismic data costs and APS investments.</w:t>
      </w:r>
    </w:p>
    <w:p>
      <w:pPr>
        <w:spacing w:after="0" w:line="50" w:lineRule="exact"/>
        <w:rPr>
          <w:rFonts w:ascii="Times New Roman" w:cs="Times New Roman" w:eastAsia="Times New Roman" w:hAnsi="Times New Roman"/>
          <w:sz w:val="26"/>
          <w:szCs w:val="26"/>
          <w:color w:val="auto"/>
          <w:vertAlign w:val="superscript"/>
        </w:rPr>
      </w:pPr>
    </w:p>
    <w:p>
      <w:pPr>
        <w:ind w:left="380" w:hanging="374"/>
        <w:spacing w:after="0" w:line="180" w:lineRule="auto"/>
        <w:tabs>
          <w:tab w:leader="none" w:pos="3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Includes severance payments of approximately $128 million during 2019 and $340 million during 2018.</w:t>
      </w:r>
    </w:p>
    <w:p>
      <w:pPr>
        <w:spacing w:after="0" w:line="115" w:lineRule="exact"/>
        <w:rPr>
          <w:rFonts w:ascii="Times New Roman" w:cs="Times New Roman" w:eastAsia="Times New Roman" w:hAnsi="Times New Roman"/>
          <w:sz w:val="22"/>
          <w:szCs w:val="22"/>
          <w:color w:val="auto"/>
          <w:vertAlign w:val="superscript"/>
        </w:rPr>
      </w:pPr>
    </w:p>
    <w:p>
      <w:pPr>
        <w:jc w:val="both"/>
        <w:ind w:left="380" w:hanging="374"/>
        <w:spacing w:after="0" w:line="226" w:lineRule="auto"/>
        <w:tabs>
          <w:tab w:leader="none" w:pos="38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the ability of our business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liquidity events during 2019 and 2018 included:</w:t>
      </w:r>
    </w:p>
    <w:p>
      <w:pPr>
        <w:spacing w:after="0" w:line="244" w:lineRule="exact"/>
        <w:rPr>
          <w:sz w:val="20"/>
          <w:szCs w:val="20"/>
          <w:color w:val="auto"/>
        </w:rPr>
      </w:pPr>
    </w:p>
    <w:p>
      <w:pPr>
        <w:ind w:left="740" w:hanging="362"/>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$5.4 billion in 2019 and $5.7 billion in 2018.</w:t>
      </w:r>
    </w:p>
    <w:p>
      <w:pPr>
        <w:spacing w:after="0" w:line="124" w:lineRule="exact"/>
        <w:rPr>
          <w:rFonts w:ascii="Times New Roman" w:cs="Times New Roman" w:eastAsia="Times New Roman" w:hAnsi="Times New Roman"/>
          <w:sz w:val="18"/>
          <w:szCs w:val="18"/>
          <w:color w:val="auto"/>
        </w:rPr>
      </w:pPr>
    </w:p>
    <w:p>
      <w:pPr>
        <w:ind w:left="740" w:hanging="362"/>
        <w:spacing w:after="0" w:line="274"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2016, the Board approved a $10 billion share repurchase program for Schlumberger common stock. Schlumberger had repurchased $1.0 billion of Schlumberger common stock under this program as of December 31, 2019.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under this share repurchase program during 2019 and 2018:</w:t>
      </w:r>
    </w:p>
    <w:p>
      <w:pPr>
        <w:spacing w:after="0" w:line="304" w:lineRule="exact"/>
        <w:rPr>
          <w:sz w:val="20"/>
          <w:szCs w:val="20"/>
          <w:color w:val="auto"/>
        </w:rPr>
      </w:pPr>
    </w:p>
    <w:tbl>
      <w:tblPr>
        <w:tblLayout w:type="fixed"/>
        <w:tblInd w:w="76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0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(Stated in thousands, except per share amounts)</w:t>
            </w:r>
          </w:p>
        </w:tc>
      </w:tr>
      <w:tr>
        <w:trPr>
          <w:trHeight w:val="431"/>
        </w:trPr>
        <w:tc>
          <w:tcPr>
            <w:tcW w:w="5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center"/>
              <w:ind w:right="97"/>
              <w:spacing w:after="0"/>
              <w:rPr>
                <w:sz w:val="20"/>
                <w:szCs w:val="20"/>
                <w:color w:val="auto"/>
              </w:rPr>
            </w:pPr>
            <w:r>
              <w:rPr>
                <w:rFonts w:ascii="Times New Roman" w:cs="Times New Roman" w:eastAsia="Times New Roman" w:hAnsi="Times New Roman"/>
                <w:sz w:val="16"/>
                <w:szCs w:val="16"/>
                <w:color w:val="auto"/>
                <w:w w:val="98"/>
              </w:rPr>
              <w:t>Total Cost</w:t>
            </w:r>
          </w:p>
        </w:tc>
        <w:tc>
          <w:tcPr>
            <w:tcW w:w="2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Total Number</w:t>
            </w: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Average Price</w:t>
            </w:r>
          </w:p>
        </w:tc>
      </w:tr>
      <w:tr>
        <w:trPr>
          <w:trHeight w:val="212"/>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117"/>
              <w:spacing w:after="0"/>
              <w:rPr>
                <w:sz w:val="20"/>
                <w:szCs w:val="20"/>
                <w:color w:val="auto"/>
              </w:rPr>
            </w:pPr>
            <w:r>
              <w:rPr>
                <w:rFonts w:ascii="Times New Roman" w:cs="Times New Roman" w:eastAsia="Times New Roman" w:hAnsi="Times New Roman"/>
                <w:sz w:val="16"/>
                <w:szCs w:val="16"/>
                <w:color w:val="auto"/>
                <w:w w:val="99"/>
              </w:rPr>
              <w:t>of Shares</w:t>
            </w:r>
          </w:p>
        </w:tc>
        <w:tc>
          <w:tcPr>
            <w:tcW w:w="2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of Shares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Paid per</w:t>
            </w:r>
          </w:p>
        </w:tc>
      </w:tr>
      <w:tr>
        <w:trPr>
          <w:trHeight w:val="215"/>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7"/>
              <w:spacing w:after="0"/>
              <w:rPr>
                <w:sz w:val="20"/>
                <w:szCs w:val="20"/>
                <w:color w:val="auto"/>
              </w:rPr>
            </w:pPr>
            <w:r>
              <w:rPr>
                <w:rFonts w:ascii="Times New Roman" w:cs="Times New Roman" w:eastAsia="Times New Roman" w:hAnsi="Times New Roman"/>
                <w:sz w:val="16"/>
                <w:szCs w:val="16"/>
                <w:color w:val="auto"/>
              </w:rPr>
              <w:t>Purchased</w:t>
            </w: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Purchased</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Share</w:t>
            </w:r>
          </w:p>
        </w:tc>
      </w:tr>
      <w:tr>
        <w:trPr>
          <w:trHeight w:val="221"/>
        </w:trPr>
        <w:tc>
          <w:tcPr>
            <w:tcW w:w="5780" w:type="dxa"/>
            <w:vAlign w:val="bottom"/>
            <w:tcBorders>
              <w:top w:val="single" w:sz="8" w:color="CFF0FC"/>
            </w:tcBorders>
            <w:shd w:val="clear" w:color="auto" w:fill="CFF0FC"/>
          </w:tcPr>
          <w:p>
            <w:pPr>
              <w:jc w:val="right"/>
              <w:ind w:right="5332"/>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278,162</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6,968.3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39.92</w:t>
            </w:r>
          </w:p>
        </w:tc>
        <w:tc>
          <w:tcPr>
            <w:tcW w:w="80" w:type="dxa"/>
            <w:vAlign w:val="bottom"/>
            <w:tcBorders>
              <w:top w:val="single" w:sz="8" w:color="CFF0FC"/>
            </w:tcBorders>
            <w:shd w:val="clear" w:color="auto" w:fill="CFF0FC"/>
          </w:tcPr>
          <w:p>
            <w:pPr>
              <w:spacing w:after="0"/>
              <w:rPr>
                <w:sz w:val="19"/>
                <w:szCs w:val="19"/>
                <w:color w:val="auto"/>
              </w:rPr>
            </w:pPr>
          </w:p>
        </w:tc>
      </w:tr>
      <w:tr>
        <w:trPr>
          <w:trHeight w:val="240"/>
        </w:trPr>
        <w:tc>
          <w:tcPr>
            <w:tcW w:w="5780" w:type="dxa"/>
            <w:vAlign w:val="bottom"/>
          </w:tcPr>
          <w:p>
            <w:pPr>
              <w:jc w:val="right"/>
              <w:ind w:right="5332"/>
              <w:spacing w:after="0"/>
              <w:rPr>
                <w:sz w:val="20"/>
                <w:szCs w:val="20"/>
                <w:color w:val="auto"/>
              </w:rPr>
            </w:pPr>
            <w:r>
              <w:rPr>
                <w:rFonts w:ascii="Times New Roman" w:cs="Times New Roman" w:eastAsia="Times New Roman" w:hAnsi="Times New Roman"/>
                <w:sz w:val="18"/>
                <w:szCs w:val="18"/>
                <w:color w:val="auto"/>
                <w:w w:val="94"/>
              </w:rPr>
              <w:t>2018</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6,495.1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80" w:type="dxa"/>
            <w:vAlign w:val="bottom"/>
          </w:tcPr>
          <w:p>
            <w:pPr>
              <w:spacing w:after="0"/>
              <w:rPr>
                <w:sz w:val="20"/>
                <w:szCs w:val="20"/>
                <w:color w:val="auto"/>
              </w:rPr>
            </w:pPr>
          </w:p>
        </w:tc>
      </w:tr>
    </w:tbl>
    <w:p>
      <w:pPr>
        <w:spacing w:after="0" w:line="206" w:lineRule="exact"/>
        <w:rPr>
          <w:sz w:val="20"/>
          <w:szCs w:val="20"/>
          <w:color w:val="auto"/>
        </w:rPr>
      </w:pPr>
    </w:p>
    <w:p>
      <w:pPr>
        <w:ind w:left="740" w:hanging="362"/>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each of 2019 and 2018 were $2.8 billion.</w:t>
      </w:r>
    </w:p>
    <w:p>
      <w:pPr>
        <w:spacing w:after="0" w:line="11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$1.7 billion in 2019 and $2.2 billion in 2018. Capital expenditures during 2020 are expected to be similar to that of 2019.</w:t>
      </w:r>
    </w:p>
    <w:p>
      <w:pPr>
        <w:spacing w:after="0" w:line="111" w:lineRule="exact"/>
        <w:rPr>
          <w:rFonts w:ascii="Times New Roman" w:cs="Times New Roman" w:eastAsia="Times New Roman" w:hAnsi="Times New Roman"/>
          <w:sz w:val="18"/>
          <w:szCs w:val="18"/>
          <w:color w:val="auto"/>
        </w:rPr>
      </w:pPr>
    </w:p>
    <w:p>
      <w:pPr>
        <w:ind w:left="740" w:hanging="362"/>
        <w:spacing w:after="0" w:line="274"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2019, Schlumberger repurchased the remaining $416 million of its 3.00% Senior Notes due 2020; $126 million of its 4.50% Senior Notes due 2021; $500 million of its 4.20% Senior Notes due 2021; and $106 million of its 3.60% Senior Notes due 2022.</w:t>
      </w:r>
    </w:p>
    <w:p>
      <w:pPr>
        <w:spacing w:after="0" w:line="58" w:lineRule="exact"/>
        <w:rPr>
          <w:rFonts w:ascii="Times New Roman" w:cs="Times New Roman" w:eastAsia="Times New Roman" w:hAnsi="Times New Roman"/>
          <w:sz w:val="18"/>
          <w:szCs w:val="18"/>
          <w:color w:val="auto"/>
        </w:rPr>
      </w:pPr>
    </w:p>
    <w:p>
      <w:pPr>
        <w:jc w:val="both"/>
        <w:ind w:left="740" w:hanging="362"/>
        <w:spacing w:after="0" w:line="260"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2019, Schlumberger completed the sale of the businesses and associated assets of DRILCO, Thomas Tools and Fishing and Remedial Services and received net cash proceeds of $348 million. These businesses represented less than 1% of Schlumberger’s consolidated 2019 revenue.</w:t>
      </w:r>
    </w:p>
    <w:p>
      <w:pPr>
        <w:spacing w:after="0" w:line="70" w:lineRule="exact"/>
        <w:rPr>
          <w:rFonts w:ascii="Times New Roman" w:cs="Times New Roman" w:eastAsia="Times New Roman" w:hAnsi="Times New Roman"/>
          <w:sz w:val="18"/>
          <w:szCs w:val="18"/>
          <w:color w:val="auto"/>
        </w:rPr>
      </w:pPr>
    </w:p>
    <w:p>
      <w:pPr>
        <w:jc w:val="both"/>
        <w:ind w:left="740" w:hanging="362"/>
        <w:spacing w:after="0" w:line="260"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2019, Schlumberger and Rockwell Automation closed Sensia, their previously announced joint venture. Rockwell Automation owns 53% of the joint venture and Schlumberger owns 47%. At closing, Rockwell Automation made a $238 million cash payment, net of working capital adjustments, to Schlumberger.</w:t>
      </w:r>
    </w:p>
    <w:p>
      <w:pPr>
        <w:spacing w:after="0" w:line="70" w:lineRule="exact"/>
        <w:rPr>
          <w:rFonts w:ascii="Times New Roman" w:cs="Times New Roman" w:eastAsia="Times New Roman" w:hAnsi="Times New Roman"/>
          <w:sz w:val="18"/>
          <w:szCs w:val="18"/>
          <w:color w:val="auto"/>
        </w:rPr>
      </w:pPr>
    </w:p>
    <w:p>
      <w:pPr>
        <w:ind w:left="740" w:hanging="362"/>
        <w:spacing w:after="0" w:line="274"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2019, Schlumberger issued €500 million of 0.00% Notes due 2024, €500 million of 0.25% Notes due 2027 and €500 million of 0.50% Notes due 2031.</w:t>
      </w:r>
    </w:p>
    <w:p>
      <w:pPr>
        <w:spacing w:after="0" w:line="58" w:lineRule="exact"/>
        <w:rPr>
          <w:rFonts w:ascii="Times New Roman" w:cs="Times New Roman" w:eastAsia="Times New Roman" w:hAnsi="Times New Roman"/>
          <w:sz w:val="18"/>
          <w:szCs w:val="18"/>
          <w:color w:val="auto"/>
        </w:rPr>
      </w:pPr>
    </w:p>
    <w:p>
      <w:pPr>
        <w:ind w:left="740" w:hanging="362"/>
        <w:spacing w:after="0" w:line="274"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2019, Schlumberger repurchased $783 million of its 3.00% Senior Notes due 2020 and $321 million of its 3.625% Senior Notes due 2022.</w:t>
      </w:r>
    </w:p>
    <w:p>
      <w:pPr>
        <w:spacing w:after="0" w:line="58" w:lineRule="exact"/>
        <w:rPr>
          <w:rFonts w:ascii="Times New Roman" w:cs="Times New Roman" w:eastAsia="Times New Roman" w:hAnsi="Times New Roman"/>
          <w:sz w:val="18"/>
          <w:szCs w:val="18"/>
          <w:color w:val="auto"/>
        </w:rPr>
      </w:pPr>
    </w:p>
    <w:p>
      <w:pPr>
        <w:jc w:val="both"/>
        <w:ind w:left="740" w:hanging="362"/>
        <w:spacing w:after="0" w:line="260"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2019, Schlumberger completed a debt exchange offer, pursuant to which it issued $1.500 billion in principal of 3.90% Senior Notes due 2028 in exchange for $401 million of 3.00% Senior Notes due 2020, $234 million of 3.63% Senior Notes due 2022 and $817 million of 4.00% Senior Notes due 2025.</w:t>
      </w:r>
    </w:p>
    <w:p>
      <w:pPr>
        <w:spacing w:after="0" w:line="70" w:lineRule="exact"/>
        <w:rPr>
          <w:rFonts w:ascii="Times New Roman" w:cs="Times New Roman" w:eastAsia="Times New Roman" w:hAnsi="Times New Roman"/>
          <w:sz w:val="18"/>
          <w:szCs w:val="18"/>
          <w:color w:val="auto"/>
        </w:rPr>
      </w:pPr>
    </w:p>
    <w:p>
      <w:pPr>
        <w:ind w:left="740" w:hanging="362"/>
        <w:spacing w:after="0" w:line="274"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2019, Schlumberger issued $750 million of 3.75% Senior Notes due 2024 and $850 million of 4.30% Senior Notes due 2029.</w:t>
      </w:r>
    </w:p>
    <w:p>
      <w:pPr>
        <w:spacing w:after="0" w:line="58"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2018, Schlumberger issued €600 million of 1.00% Guaranteed Notes due 2026.</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 w:name="page20"/>
    <w:bookmarkEnd w:id="19"/>
    <w:p>
      <w:pPr>
        <w:ind w:left="740" w:hanging="362"/>
        <w:spacing w:after="0" w:line="274"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2018, Schlumberger completed the divestiture of its marine seismic acquisition business for net proceeds of $579 million (after considering $21 million of cash divested).</w:t>
      </w:r>
    </w:p>
    <w:p>
      <w:pPr>
        <w:spacing w:after="0" w:line="58" w:lineRule="exact"/>
        <w:rPr>
          <w:rFonts w:ascii="Times New Roman" w:cs="Times New Roman" w:eastAsia="Times New Roman" w:hAnsi="Times New Roman"/>
          <w:sz w:val="18"/>
          <w:szCs w:val="18"/>
          <w:color w:val="auto"/>
        </w:rPr>
      </w:pPr>
    </w:p>
    <w:p>
      <w:pPr>
        <w:ind w:left="740" w:hanging="362"/>
        <w:spacing w:after="0" w:line="237" w:lineRule="auto"/>
        <w:tabs>
          <w:tab w:leader="none" w:pos="7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During 2019 and 2018, Schlumberger made contributions of $25 million and $83 million, respectively, to its postretirement benefit plans. The US pension plans were 92% funded at December 31, 2019 and 88% funded at December 31, 2018 based on their projected benefit obligations.</w:t>
      </w:r>
    </w:p>
    <w:p>
      <w:pPr>
        <w:spacing w:after="0" w:line="88" w:lineRule="exact"/>
        <w:rPr>
          <w:rFonts w:ascii="Times New Roman" w:cs="Times New Roman" w:eastAsia="Times New Roman" w:hAnsi="Times New Roman"/>
          <w:sz w:val="21"/>
          <w:szCs w:val="21"/>
          <w:color w:val="auto"/>
        </w:rPr>
      </w:pPr>
    </w:p>
    <w:p>
      <w:pPr>
        <w:ind w:left="760"/>
        <w:spacing w:after="0" w:line="274" w:lineRule="auto"/>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Schlumberger’s international defined benefit pension plans were a combined 97% funded at both December 31, 2019 and December 31, 2018 based on their projected benefit obligations.</w:t>
      </w:r>
    </w:p>
    <w:p>
      <w:pPr>
        <w:spacing w:after="0" w:line="58"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Schlumberger expects to contribute approximately $20 million to its postretirement benefit plans in 2020, subject to market and business conditions.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2019, Schlumberger had $2.2 billion of cash and short-term investments on hand. Schlumberger also has separate committed credit facility agreements aggregating $6.5 billion with commercial banks, of which $4.3 billion was available and unused as of December 31, 2019. The $6.5 billion of committed credit facility agreements support commercial paper programs. Schlumberger believes these amounts are sufficient to meet future business requirements for at least the next 12 months.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outstanding commercial paper borrowings were $2.2 billion as of December 31, 2019 and $2.4 billion as of December 31, 2018.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of Contractual Obligations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59"/>
        </w:trPr>
        <w:tc>
          <w:tcPr>
            <w:tcW w:w="282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ind w:left="840"/>
              <w:spacing w:after="0"/>
              <w:rPr>
                <w:sz w:val="20"/>
                <w:szCs w:val="20"/>
                <w:color w:val="auto"/>
              </w:rPr>
            </w:pPr>
            <w:r>
              <w:rPr>
                <w:rFonts w:ascii="Times New Roman" w:cs="Times New Roman" w:eastAsia="Times New Roman" w:hAnsi="Times New Roman"/>
                <w:sz w:val="18"/>
                <w:szCs w:val="18"/>
                <w:i w:val="1"/>
                <w:iCs w:val="1"/>
                <w:color w:val="auto"/>
              </w:rPr>
              <w:t>(Stated in millions)</w:t>
            </w:r>
          </w:p>
        </w:tc>
      </w:tr>
      <w:tr>
        <w:trPr>
          <w:trHeight w:val="450"/>
        </w:trPr>
        <w:tc>
          <w:tcPr>
            <w:tcW w:w="2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8"/>
                <w:szCs w:val="18"/>
                <w:color w:val="auto"/>
              </w:rPr>
              <w:t>Payment Period</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9"/>
        </w:trPr>
        <w:tc>
          <w:tcPr>
            <w:tcW w:w="28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97"/>
              </w:rPr>
              <w:t>2021-2022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97"/>
              </w:rPr>
              <w:t>2023-2024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99"/>
              </w:rPr>
              <w:t>After 2024</w:t>
            </w:r>
          </w:p>
        </w:tc>
        <w:tc>
          <w:tcPr>
            <w:tcW w:w="120" w:type="dxa"/>
            <w:vAlign w:val="bottom"/>
            <w:tcBorders>
              <w:bottom w:val="single" w:sz="8" w:color="CFF0FC"/>
            </w:tcBorders>
          </w:tcPr>
          <w:p>
            <w:pPr>
              <w:spacing w:after="0"/>
              <w:rPr>
                <w:sz w:val="19"/>
                <w:szCs w:val="19"/>
                <w:color w:val="auto"/>
              </w:rPr>
            </w:pPr>
          </w:p>
        </w:tc>
      </w:tr>
      <w:tr>
        <w:trPr>
          <w:trHeight w:val="219"/>
        </w:trPr>
        <w:tc>
          <w:tcPr>
            <w:tcW w:w="4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15"/>
                <w:szCs w:val="15"/>
                <w:color w:val="auto"/>
              </w:rPr>
              <w:t>(1)</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20" w:type="dxa"/>
            <w:vAlign w:val="bottom"/>
            <w:shd w:val="clear" w:color="auto" w:fill="CFF0FC"/>
          </w:tcPr>
          <w:p>
            <w:pPr>
              <w:spacing w:after="0"/>
              <w:rPr>
                <w:sz w:val="19"/>
                <w:szCs w:val="19"/>
                <w:color w:val="auto"/>
              </w:rPr>
            </w:pPr>
          </w:p>
        </w:tc>
      </w:tr>
      <w:tr>
        <w:trPr>
          <w:trHeight w:val="22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Interest on fixed rate debt obligations </w:t>
            </w:r>
            <w:r>
              <w:rPr>
                <w:rFonts w:ascii="Times New Roman" w:cs="Times New Roman" w:eastAsia="Times New Roman" w:hAnsi="Times New Roman"/>
                <w:sz w:val="15"/>
                <w:szCs w:val="15"/>
                <w:color w:val="auto"/>
              </w:rPr>
              <w:t>(2)</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19"/>
                <w:szCs w:val="19"/>
                <w:color w:val="auto"/>
              </w:rPr>
            </w:pPr>
          </w:p>
        </w:tc>
      </w:tr>
      <w:tr>
        <w:trPr>
          <w:trHeight w:val="226"/>
        </w:trPr>
        <w:tc>
          <w:tcPr>
            <w:tcW w:w="4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FF0FC"/>
          </w:tcPr>
          <w:p>
            <w:pPr>
              <w:spacing w:after="0"/>
              <w:rPr>
                <w:sz w:val="19"/>
                <w:szCs w:val="19"/>
                <w:color w:val="auto"/>
              </w:rPr>
            </w:pPr>
          </w:p>
        </w:tc>
      </w:tr>
      <w:tr>
        <w:trPr>
          <w:trHeight w:val="226"/>
        </w:trPr>
        <w:tc>
          <w:tcPr>
            <w:tcW w:w="40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15"/>
                <w:szCs w:val="15"/>
                <w:color w:val="auto"/>
              </w:rPr>
              <w:t>(3)</w:t>
            </w:r>
          </w:p>
        </w:tc>
        <w:tc>
          <w:tcPr>
            <w:tcW w:w="1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19"/>
                <w:szCs w:val="19"/>
                <w:color w:val="auto"/>
              </w:rPr>
            </w:pPr>
          </w:p>
        </w:tc>
      </w:tr>
      <w:tr>
        <w:trPr>
          <w:trHeight w:val="219"/>
        </w:trPr>
        <w:tc>
          <w:tcPr>
            <w:tcW w:w="28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7" w:lineRule="exact"/>
        <w:rPr>
          <w:sz w:val="20"/>
          <w:szCs w:val="20"/>
          <w:color w:val="auto"/>
        </w:rPr>
      </w:pPr>
    </w:p>
    <w:p>
      <w:pPr>
        <w:ind w:left="380" w:hanging="374"/>
        <w:spacing w:after="0"/>
        <w:tabs>
          <w:tab w:leader="none" w:pos="380"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Excludes future payments for interest.</w:t>
      </w:r>
    </w:p>
    <w:p>
      <w:pPr>
        <w:spacing w:after="0" w:line="115" w:lineRule="exact"/>
        <w:rPr>
          <w:rFonts w:ascii="Times New Roman" w:cs="Times New Roman" w:eastAsia="Times New Roman" w:hAnsi="Times New Roman"/>
          <w:sz w:val="26"/>
          <w:szCs w:val="26"/>
          <w:color w:val="auto"/>
          <w:vertAlign w:val="superscript"/>
        </w:rPr>
      </w:pPr>
    </w:p>
    <w:p>
      <w:pPr>
        <w:ind w:left="380" w:hanging="374"/>
        <w:spacing w:after="0" w:line="180" w:lineRule="auto"/>
        <w:tabs>
          <w:tab w:leader="none" w:pos="3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Excludes interest on $2.4 billion of variable rate debt, which had a weighted average interest rate of 2.3% as of December 31, 2019.</w:t>
      </w:r>
    </w:p>
    <w:p>
      <w:pPr>
        <w:spacing w:after="0" w:line="115" w:lineRule="exact"/>
        <w:rPr>
          <w:rFonts w:ascii="Times New Roman" w:cs="Times New Roman" w:eastAsia="Times New Roman" w:hAnsi="Times New Roman"/>
          <w:sz w:val="22"/>
          <w:szCs w:val="22"/>
          <w:color w:val="auto"/>
          <w:vertAlign w:val="superscript"/>
        </w:rPr>
      </w:pPr>
    </w:p>
    <w:p>
      <w:pPr>
        <w:ind w:left="380" w:right="20" w:hanging="374"/>
        <w:spacing w:after="0" w:line="188" w:lineRule="auto"/>
        <w:tabs>
          <w:tab w:leader="none" w:pos="38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an estimate of contractual obligations in the ordinary course of business. Although these contractual obligations are considered enforceable and legally binding, the terms generally allow Schlumberger the option to reschedule and adjust its requirements based on business needs prior to the delivery of goods.</w:t>
      </w:r>
    </w:p>
    <w:p>
      <w:pPr>
        <w:spacing w:after="0" w:line="19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 xml:space="preserve">Refer to Note 17, </w:t>
      </w:r>
      <w:r>
        <w:rPr>
          <w:rFonts w:ascii="Times New Roman" w:cs="Times New Roman" w:eastAsia="Times New Roman" w:hAnsi="Times New Roman"/>
          <w:sz w:val="18"/>
          <w:szCs w:val="18"/>
          <w:i w:val="1"/>
          <w:iCs w:val="1"/>
          <w:color w:val="auto"/>
        </w:rPr>
        <w:t>Pension and Other Benefit Plans,</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for details regarding Schlumberger’s pension and other postretirement benefit obligations.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discussed in Note 13,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included in the Schlumberger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at December 31, 2019 is approximately $1.3 billion of liabilities associated with uncertain tax positions in the over 100 tax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1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Schlumberger has outstanding letters of credit/guarantees that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liabilities and the reported amounts of revenue and expenses. The following accounting policies involve “critical accounting estimates” because they are particularly dependent on estimates and assumptions made by Schlumberger about matters that are inherently uncertain.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Schlumberger’s customers were to deteriorate resulting in an impairment of their ability to make payments.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a large multinational company with a long history of operating in a cyclical industry, Schlumberger has extensive experience in working with its customers during difficult times to manage its accounts receivable. During weak economic environments or when there is an extended period of weakness in oil and gas prices, Schlumberger typically experiences delays in the payment of its receivables. However, except for a $469 million accounts receivable write-off during the fourth quarter of 2017 as a result of the political and economic conditions in Venezuela, Schlumberger has not had material write-offs due to uncollectible accounts receivable over the recent industry downturn. Schlumberger generates revenue in more than 120 countries. As of December 31, 2019, only three of those countries individually accounted for greater than 5% of Schlumberger’s net receivables balance, of which only one (the United States) accounted for greater than 10% of such receivables.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Intangible Assets and Long-Lived Assets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records the excess of purchase price over the fair value of the tangible and identifiable intangible assets acquired and liabilities assumed as goodwill. The goodwill relating to each of Schlumberger’s reporting units is tested for impairment annually as well as when an event, or change in circumstances, indicates an impairment may have occurred.</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or more of its reporting units is greater than its carrying amount. If, after assessing the totality of events or circumstances, Schlumberger determines it is more likely than not that the fair value of a reporting unit is greater than its carrying amount, there is no need to perform any further testing. However, if Schlumberger concludes otherwise, then it is required to perform a quantitative impairment test by calculating the fair value of the reporting unit and comparing the fair value with the carrying amount of the reporting unit. If the fair value of the reporting unit is less than its carrying value, an impairment loss is recorded based on that difference.</w:t>
      </w:r>
    </w:p>
    <w:p>
      <w:pPr>
        <w:spacing w:after="0" w:line="18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Schlumberger has the option to bypass the qualitative assessment for any reporting unit in any period and proceed directly to performing the quantitative goodwill impairment test.</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2019, Schlumberger recorded an $8.8 billion goodwill impairment charge. Refer to Note 3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for details regarding the facts and circumstances that led to this impairment and how the fair value of each reporting unit was estimated, including the significant assumptions used and other details.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Long-lived assets, including fixed assets, intangible assets and investments in APS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Schlumberger conducts business in more than 100 tax jurisdictions, a number of which have tax laws that are not fully defined and are evolving. Schlumberger’s tax filings are subject to regular audits by the tax authorities. These audits may result in assessments for additional taxes that are resolved 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that will be due upon the conclusion of these audits. Estimates of these tax liabilities are made based upon prior experience and are updated in light of changes in facts and circumstances. However, due to the uncertain and complex application of tax regulations, the ultimate resolution of audits may result in liabilities that could be materially different from these estimates. In such an event, Schlumberger will record additional tax expense or tax benefit in the period in which such resolution occurs.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for Certain Long-lived Construction-type Contracts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Schlumberger recognizes revenue for certain long-term construction-type contracts over time. These contracts involve significant design and engineering efforts in order to satisfy custom designs for customer-specific applications. Under this method, revenue is recognized as work progresses on each contract. Progress is measured by the ratio of actual costs incurred to date on the project in relation to total estimated project costs. Approximately 5% of Schlumberger’s revenue in each of 2019 and 2018, respectively, was recognized under this method.</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 of total project costs has a significant impact on both the amount of revenue recognized as well as the related profit on a project. Revenue and profits on contracts can also be significantly affected by change orders and claims. Profits are recognized based on the estimated project profit multiplied by the percentage complete. Due to the nature of these projects, adjustments to estimates of contract revenue and total contract costs are often required as work progresses. Any expected losses on a project are recorded in full in the period in which they become probable.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Multiclient Seismic Data</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Schlumberger capitalizes the costs associated with obtaining multiclient seismic data. The carrying value of the multiclient seismic data library at December 31, 2019 and 2018 was $568 million and $601 million, respectively. Such costs are charged to </w:t>
      </w:r>
      <w:r>
        <w:rPr>
          <w:rFonts w:ascii="Times New Roman" w:cs="Times New Roman" w:eastAsia="Times New Roman" w:hAnsi="Times New Roman"/>
          <w:sz w:val="18"/>
          <w:szCs w:val="18"/>
          <w:i w:val="1"/>
          <w:iCs w:val="1"/>
          <w:color w:val="auto"/>
        </w:rPr>
        <w:t>Cost of services</w:t>
      </w:r>
      <w:r>
        <w:rPr>
          <w:rFonts w:ascii="Times New Roman" w:cs="Times New Roman" w:eastAsia="Times New Roman" w:hAnsi="Times New Roman"/>
          <w:sz w:val="18"/>
          <w:szCs w:val="18"/>
          <w:color w:val="auto"/>
        </w:rPr>
        <w:t xml:space="preserve"> based on the percentage of the total costs to the estimated total revenue that Schlumberger expects to receive from the sales of such data. However, under no circumstances will an individual survey carry a net book value greater than a 4-year, straight-line amortized value.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surveys are primarily analyzed for impairment on a survey-by-survey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Postretirement Benefits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Schlumberger’s pension and postretirement benefit obligations are described in detail in Note 17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The obligations and related costs are calculated using actuarial concepts, which include critical assumptions related to the discount rate, expected rate of return on plan assets and medical cost trend rates. These assumptions are important elements of expense and/or liability measurement and are updated on an annual basis, or upon the occurrence of significant events.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discount rate that Schlumberger uses reflects the prevailing market rate of a portfolio of high-quality debt instruments with maturities matching the expected timing of payment of the related benefit obligations. The following summarizes the discount rates utilized by Schlumberger for its various pension and postretirement benefit plans:</w:t>
      </w:r>
    </w:p>
    <w:p>
      <w:pPr>
        <w:spacing w:after="0" w:line="177" w:lineRule="exact"/>
        <w:rPr>
          <w:sz w:val="20"/>
          <w:szCs w:val="20"/>
          <w:color w:val="auto"/>
        </w:rPr>
      </w:pPr>
    </w:p>
    <w:p>
      <w:pPr>
        <w:ind w:left="740" w:hanging="362"/>
        <w:spacing w:after="0" w:line="237" w:lineRule="auto"/>
        <w:tabs>
          <w:tab w:leader="none" w:pos="7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discount rate utilized to determine the liability for Schlumberger’s United States pension plans and postretirement medical plan was 3.30% at December 31, 2019 and 4.30% at December 31, 2018.</w:t>
      </w:r>
    </w:p>
    <w:p>
      <w:pPr>
        <w:spacing w:after="0" w:line="88" w:lineRule="exact"/>
        <w:rPr>
          <w:rFonts w:ascii="Times New Roman" w:cs="Times New Roman" w:eastAsia="Times New Roman" w:hAnsi="Times New Roman"/>
          <w:sz w:val="21"/>
          <w:szCs w:val="21"/>
          <w:color w:val="auto"/>
        </w:rPr>
      </w:pPr>
    </w:p>
    <w:p>
      <w:pPr>
        <w:ind w:left="740" w:hanging="362"/>
        <w:spacing w:after="0" w:line="237" w:lineRule="auto"/>
        <w:tabs>
          <w:tab w:leader="none" w:pos="7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weighted-average discount rate utilized to determine the liability for Schlumberger’s international pension plans was 3.27% at December 31, 2019 and 4.00% at December 31, 2018.</w:t>
      </w:r>
    </w:p>
    <w:p>
      <w:pPr>
        <w:spacing w:after="0" w:line="88" w:lineRule="exact"/>
        <w:rPr>
          <w:rFonts w:ascii="Times New Roman" w:cs="Times New Roman" w:eastAsia="Times New Roman" w:hAnsi="Times New Roman"/>
          <w:sz w:val="21"/>
          <w:szCs w:val="21"/>
          <w:color w:val="auto"/>
        </w:rPr>
      </w:pPr>
    </w:p>
    <w:p>
      <w:pPr>
        <w:ind w:left="740" w:hanging="362"/>
        <w:spacing w:after="0" w:line="237" w:lineRule="auto"/>
        <w:tabs>
          <w:tab w:leader="none" w:pos="7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weighted-average discount rate utilized to determine expense for Schlumberger’s United States pension plans and postretirement medical plan increased from 3.70% in 2018 to 4.30% in 2019.</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2" w:name="page23"/>
    <w:bookmarkEnd w:id="22"/>
    <w:p>
      <w:pPr>
        <w:ind w:left="740" w:hanging="362"/>
        <w:spacing w:after="0" w:line="237" w:lineRule="auto"/>
        <w:tabs>
          <w:tab w:leader="none" w:pos="74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weighted-average discount rate utilized to determine expense for Schlumberger’s international pension plans increased from 3.55% in 2018 to 4.00% in 2019.</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expected rate of return for Schlumberger’s retirement benefit plans represents the average rate of return expected to be earned on plan assets over the period that benefits included in the benefit obligation are expected to be paid, with consideration given to the distribution of investments by asset class and historical rates of return for each individual asset class. The weighted average expected rate of return on plan assets for the United States pension plans was 6.60% in 2019 and 7.25% in 2018. The weighted average expected rate of return on plan assets for the international pension plans was 7.22% in 2019 and 7.40% in 2018. A lower expected rate of return would increase pension expense.</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Schlumberger’s medical cost trend rate assumptions are developed based on historical cost data, the near-term outlook and an assessment of likely long-term trends. The overall medical cost trend rate assumption utilized to determine the 2019 postretirement medical expense and the postretirement medical liability at December 31, 2019 was 7.50%, graded to 4.5% over the next twelve years.</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illustrates the sensitivity to changes in certain assumptions, holding all other assumptions constant, for Schlumberger’s United States and international pension plans: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ind w:left="5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Effect on</w:t>
            </w:r>
          </w:p>
        </w:tc>
        <w:tc>
          <w:tcPr>
            <w:tcW w:w="0" w:type="dxa"/>
            <w:vAlign w:val="bottom"/>
          </w:tcPr>
          <w:p>
            <w:pPr>
              <w:spacing w:after="0"/>
              <w:rPr>
                <w:sz w:val="1"/>
                <w:szCs w:val="1"/>
                <w:color w:val="auto"/>
              </w:rPr>
            </w:pPr>
          </w:p>
        </w:tc>
      </w:tr>
      <w:tr>
        <w:trPr>
          <w:trHeight w:val="226"/>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Assumption</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Effect on 2019</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Dec. 31, 2019</w:t>
            </w:r>
          </w:p>
        </w:tc>
        <w:tc>
          <w:tcPr>
            <w:tcW w:w="0" w:type="dxa"/>
            <w:vAlign w:val="bottom"/>
          </w:tcPr>
          <w:p>
            <w:pPr>
              <w:spacing w:after="0"/>
              <w:rPr>
                <w:sz w:val="1"/>
                <w:szCs w:val="1"/>
                <w:color w:val="auto"/>
              </w:rPr>
            </w:pPr>
          </w:p>
        </w:tc>
      </w:tr>
      <w:tr>
        <w:trPr>
          <w:trHeight w:val="191"/>
        </w:trPr>
        <w:tc>
          <w:tcPr>
            <w:tcW w:w="7820" w:type="dxa"/>
            <w:vAlign w:val="bottom"/>
            <w:gridSpan w:val="2"/>
            <w:vMerge w:val="continue"/>
          </w:tcPr>
          <w:p>
            <w:pPr>
              <w:spacing w:after="0"/>
              <w:rPr>
                <w:sz w:val="16"/>
                <w:szCs w:val="16"/>
                <w:color w:val="auto"/>
              </w:rPr>
            </w:pPr>
          </w:p>
        </w:tc>
        <w:tc>
          <w:tcPr>
            <w:tcW w:w="188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6"/>
              </w:rPr>
              <w:t>Pretax Expense</w:t>
            </w:r>
          </w:p>
        </w:tc>
        <w:tc>
          <w:tcPr>
            <w:tcW w:w="1720" w:type="dxa"/>
            <w:vAlign w:val="bottom"/>
            <w:gridSpan w:val="2"/>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CFF0FC"/>
            </w:tcBorders>
          </w:tcPr>
          <w:p>
            <w:pPr>
              <w:spacing w:after="0" w:line="20" w:lineRule="exact"/>
              <w:rPr>
                <w:sz w:val="1"/>
                <w:szCs w:val="1"/>
                <w:color w:val="auto"/>
              </w:rPr>
            </w:pPr>
          </w:p>
        </w:tc>
        <w:tc>
          <w:tcPr>
            <w:tcW w:w="6100" w:type="dxa"/>
            <w:vAlign w:val="bottom"/>
            <w:tcBorders>
              <w:bottom w:val="single" w:sz="8" w:color="CFF0FC"/>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25 basis point decrease in discount rate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basis point increase in discount rate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25 basis point decrease in expected return on plan assets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basis point increase in expected return on plan assets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illustrates the sensitivity to changes in certain assumptions, holding all other assumptions constant, for Schlumberger’s United States postretirement medical plans: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Effect on</w:t>
            </w:r>
          </w:p>
        </w:tc>
        <w:tc>
          <w:tcPr>
            <w:tcW w:w="0" w:type="dxa"/>
            <w:vAlign w:val="bottom"/>
          </w:tcPr>
          <w:p>
            <w:pPr>
              <w:spacing w:after="0"/>
              <w:rPr>
                <w:sz w:val="1"/>
                <w:szCs w:val="1"/>
                <w:color w:val="auto"/>
              </w:rPr>
            </w:pPr>
          </w:p>
        </w:tc>
      </w:tr>
      <w:tr>
        <w:trPr>
          <w:trHeight w:val="226"/>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Assumption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7"/>
              </w:rPr>
              <w:t>Effect on 2019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Dec. 31, 2019</w:t>
            </w:r>
          </w:p>
        </w:tc>
        <w:tc>
          <w:tcPr>
            <w:tcW w:w="0" w:type="dxa"/>
            <w:vAlign w:val="bottom"/>
          </w:tcPr>
          <w:p>
            <w:pPr>
              <w:spacing w:after="0"/>
              <w:rPr>
                <w:sz w:val="1"/>
                <w:szCs w:val="1"/>
                <w:color w:val="auto"/>
              </w:rPr>
            </w:pPr>
          </w:p>
        </w:tc>
      </w:tr>
      <w:tr>
        <w:trPr>
          <w:trHeight w:val="191"/>
        </w:trPr>
        <w:tc>
          <w:tcPr>
            <w:tcW w:w="7820" w:type="dxa"/>
            <w:vAlign w:val="bottom"/>
            <w:gridSpan w:val="2"/>
            <w:vMerge w:val="continue"/>
          </w:tcPr>
          <w:p>
            <w:pPr>
              <w:spacing w:after="0"/>
              <w:rPr>
                <w:sz w:val="16"/>
                <w:szCs w:val="16"/>
                <w:color w:val="auto"/>
              </w:rPr>
            </w:pPr>
          </w:p>
        </w:tc>
        <w:tc>
          <w:tcPr>
            <w:tcW w:w="1520" w:type="dxa"/>
            <w:vAlign w:val="bottom"/>
          </w:tcPr>
          <w:p>
            <w:pPr>
              <w:jc w:val="center"/>
              <w:ind w:left="72"/>
              <w:spacing w:after="0" w:line="191" w:lineRule="exact"/>
              <w:rPr>
                <w:sz w:val="20"/>
                <w:szCs w:val="20"/>
                <w:color w:val="auto"/>
              </w:rPr>
            </w:pPr>
            <w:r>
              <w:rPr>
                <w:rFonts w:ascii="Times New Roman" w:cs="Times New Roman" w:eastAsia="Times New Roman" w:hAnsi="Times New Roman"/>
                <w:sz w:val="18"/>
                <w:szCs w:val="18"/>
                <w:color w:val="auto"/>
                <w:w w:val="96"/>
              </w:rPr>
              <w:t>Pretax Expense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CFF0FC"/>
            </w:tcBorders>
          </w:tcPr>
          <w:p>
            <w:pPr>
              <w:spacing w:after="0" w:line="20" w:lineRule="exact"/>
              <w:rPr>
                <w:sz w:val="1"/>
                <w:szCs w:val="1"/>
                <w:color w:val="auto"/>
              </w:rPr>
            </w:pPr>
          </w:p>
        </w:tc>
        <w:tc>
          <w:tcPr>
            <w:tcW w:w="610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25 basis point decrease in discount rate</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2"/>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basis point increase in discount rate</w:t>
            </w:r>
          </w:p>
        </w:tc>
        <w:tc>
          <w:tcPr>
            <w:tcW w:w="15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is subject to market risks primarily associated with changes in foreign currency exchange rates and interest rates.</w:t>
      </w: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multinational company, Schlumberger generates revenue in more than 120 countries. Schlumberger’s functional currency is primarily the US dollar. Approximately 78% of Schlumberger’s revenue in 2019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maintains a foreign-currency risk management strategy that uses derivative instruments to manage the impact of changes in foreign exchange rates on its earnings. Schlumberger enters into foreign currency forward contracts to provide a hedge against currency fluctuations on certain monetary assets and liabilities, and certain expenses denominated in currencies other than the functional currency.</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10% appreciation in the US dollar from the December 31, 2019 market rates would decrease the unrealized value of Schlumberger’s forward contracts by $8 million. Conversely, a 10% depreciation in the US dollar from the December 31, 2019 market rates would increase the unrealized value of Schlumberger’s forward contracts by $9 million. In either scenario, the gain or loss on the forward contract would be offset by the gain or loss on the underlying transaction, and therefore, would have no impact on future earnings.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both"/>
        <w:spacing w:after="0" w:line="274" w:lineRule="auto"/>
        <w:rPr>
          <w:sz w:val="20"/>
          <w:szCs w:val="20"/>
          <w:color w:val="auto"/>
        </w:rPr>
      </w:pPr>
      <w:r>
        <w:rPr>
          <w:rFonts w:ascii="Times New Roman" w:cs="Times New Roman" w:eastAsia="Times New Roman" w:hAnsi="Times New Roman"/>
          <w:sz w:val="18"/>
          <w:szCs w:val="18"/>
          <w:color w:val="auto"/>
        </w:rPr>
        <w:t>At December 31, 2019, contracts were outstanding for the US dollar equivalent of $7.7 billion in various foreign currencies, of which $3.0 billion related to hedges of debt balances denominated in currencies other than the functional currency.</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 At December 31, 2019, Schlumberger had fixed rate debt aggregating approximately $12.9 billion and variable rate debt aggregating approximately $2.4 billion, before considering the effects of cross currency swaps.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Schlumberger’s exposure to interest rate risk associated with its debt is also partially mitigated by its investment portfolio. </w:t>
      </w: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xml:space="preserve"> which totaled approximately $1.0 billion at December 31, 2019, are comprised primarily of money market funds, time deposits, certificates of deposit, commercial paper, bonds and notes, substantially all of which are denominated in US dollars. The average return on investments was 3.0% in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carrying amounts of Schlumberger’s debt at December 31, 2019 by year of maturity:</w:t>
      </w:r>
    </w:p>
    <w:p>
      <w:pPr>
        <w:spacing w:after="0" w:line="291"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4"/>
          <w:szCs w:val="14"/>
          <w:i w:val="1"/>
          <w:i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292735</wp:posOffset>
            </wp:positionV>
            <wp:extent cx="5512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243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2020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2021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Total</w:t>
            </w:r>
          </w:p>
        </w:tc>
      </w:tr>
      <w:tr>
        <w:trPr>
          <w:trHeight w:val="221"/>
        </w:trPr>
        <w:tc>
          <w:tcPr>
            <w:tcW w:w="22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Fixed rate debt</w:t>
            </w:r>
          </w:p>
        </w:tc>
        <w:tc>
          <w:tcPr>
            <w:tcW w:w="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2.20%</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3.30%</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4.20%</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2.40%</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2.65%</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3.63%</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3.65%</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4.00%</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3.75%</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0.00%</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3.70%</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4.00%</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1.00%</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0.25%</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3.90%</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4.30%</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0.50%</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7.00%</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5.95%</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5.13%</w:t>
            </w: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9"/>
                <w:szCs w:val="19"/>
                <w:color w:val="auto"/>
              </w:rPr>
            </w:pPr>
          </w:p>
        </w:tc>
      </w:tr>
      <w:tr>
        <w:trPr>
          <w:trHeight w:val="21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fixed rate debt</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00" w:type="dxa"/>
            <w:vAlign w:val="bottom"/>
          </w:tcPr>
          <w:p>
            <w:pPr>
              <w:spacing w:after="0"/>
              <w:rPr>
                <w:sz w:val="19"/>
                <w:szCs w:val="19"/>
                <w:color w:val="auto"/>
              </w:rPr>
            </w:pPr>
          </w:p>
        </w:tc>
      </w:tr>
      <w:tr>
        <w:trPr>
          <w:trHeight w:val="226"/>
        </w:trPr>
        <w:tc>
          <w:tcPr>
            <w:tcW w:w="2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Variable rate debt</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shd w:val="clear" w:color="auto" w:fill="CFF0FC"/>
          </w:tcPr>
          <w:p>
            <w:pPr>
              <w:spacing w:after="0"/>
              <w:rPr>
                <w:sz w:val="19"/>
                <w:szCs w:val="19"/>
                <w:color w:val="auto"/>
              </w:rPr>
            </w:pPr>
          </w:p>
        </w:tc>
      </w:tr>
      <w:tr>
        <w:trPr>
          <w:trHeight w:val="219"/>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10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market value of the outstanding fixed rate debt was approximately $13.4 billion as of December 31, 2019. The weighted average interest rate on the variable rate debt as of December 31, 2019 was 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does not enter into derivatives for speculative purposes.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10-K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our effective tax rate; future global economic conditions; and future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 w:name="page25"/>
    <w:bookmarkEnd w:id="24"/>
    <w:p>
      <w:pPr>
        <w:jc w:val="both"/>
        <w:spacing w:after="0" w:line="249" w:lineRule="auto"/>
        <w:rPr>
          <w:sz w:val="20"/>
          <w:szCs w:val="20"/>
          <w:color w:val="auto"/>
        </w:rPr>
      </w:pPr>
      <w:r>
        <w:rPr>
          <w:rFonts w:ascii="Times New Roman" w:cs="Times New Roman" w:eastAsia="Times New Roman" w:hAnsi="Times New Roman"/>
          <w:sz w:val="18"/>
          <w:szCs w:val="18"/>
          <w:color w:val="auto"/>
        </w:rPr>
        <w:t>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Form 10-K and other filings that we make with the SEC.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 (LOSS)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r>
              <w:rPr>
                <w:rFonts w:ascii="Times New Roman" w:cs="Times New Roman" w:eastAsia="Times New Roman" w:hAnsi="Times New Roman"/>
                <w:sz w:val="14"/>
                <w:szCs w:val="14"/>
                <w:color w:val="auto"/>
              </w:rPr>
              <w:t>)</w:t>
            </w:r>
          </w:p>
        </w:tc>
      </w:tr>
      <w:tr>
        <w:trPr>
          <w:trHeight w:val="436"/>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FF0FC"/>
            </w:tcBorders>
          </w:tcPr>
          <w:p>
            <w:pPr>
              <w:spacing w:after="0"/>
              <w:rPr>
                <w:sz w:val="24"/>
                <w:szCs w:val="24"/>
                <w:color w:val="auto"/>
              </w:rPr>
            </w:pPr>
          </w:p>
        </w:tc>
      </w:tr>
      <w:tr>
        <w:trPr>
          <w:trHeight w:val="21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15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24,358</w:t>
            </w:r>
          </w:p>
        </w:tc>
        <w:tc>
          <w:tcPr>
            <w:tcW w:w="2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240" w:type="dxa"/>
            <w:vAlign w:val="bottom"/>
          </w:tcPr>
          <w:p>
            <w:pPr>
              <w:spacing w:after="0"/>
              <w:rPr>
                <w:sz w:val="19"/>
                <w:szCs w:val="19"/>
                <w:color w:val="auto"/>
              </w:rPr>
            </w:pPr>
          </w:p>
        </w:tc>
        <w:tc>
          <w:tcPr>
            <w:tcW w:w="3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100" w:type="dxa"/>
            <w:vAlign w:val="bottom"/>
          </w:tcPr>
          <w:p>
            <w:pPr>
              <w:spacing w:after="0"/>
              <w:rPr>
                <w:sz w:val="19"/>
                <w:szCs w:val="19"/>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sales</w:t>
            </w:r>
          </w:p>
        </w:tc>
        <w:tc>
          <w:tcPr>
            <w:tcW w:w="1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8,559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shd w:val="clear" w:color="auto" w:fill="CFF0FC"/>
          </w:tcPr>
          <w:p>
            <w:pPr>
              <w:spacing w:after="0"/>
              <w:rPr>
                <w:sz w:val="19"/>
                <w:szCs w:val="19"/>
                <w:color w:val="auto"/>
              </w:rPr>
            </w:pPr>
          </w:p>
        </w:tc>
      </w:tr>
      <w:tr>
        <w:trPr>
          <w:trHeight w:val="219"/>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30,440</w:t>
            </w:r>
          </w:p>
        </w:tc>
        <w:tc>
          <w:tcPr>
            <w:tcW w:w="100" w:type="dxa"/>
            <w:vAlign w:val="bottom"/>
          </w:tcPr>
          <w:p>
            <w:pPr>
              <w:spacing w:after="0"/>
              <w:rPr>
                <w:sz w:val="19"/>
                <w:szCs w:val="19"/>
                <w:color w:val="auto"/>
              </w:rPr>
            </w:pPr>
          </w:p>
        </w:tc>
      </w:tr>
      <w:tr>
        <w:trPr>
          <w:trHeight w:val="22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Interest &amp; other income</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19"/>
                <w:szCs w:val="19"/>
                <w:color w:val="auto"/>
              </w:rPr>
            </w:pPr>
          </w:p>
        </w:tc>
      </w:t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Gain on sale of business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Gain on formation of Sensia joint venture</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6"/>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services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20,828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100" w:type="dxa"/>
            <w:vAlign w:val="bottom"/>
            <w:shd w:val="clear" w:color="auto" w:fill="CFF0FC"/>
          </w:tcPr>
          <w:p>
            <w:pPr>
              <w:spacing w:after="0"/>
              <w:rPr>
                <w:sz w:val="19"/>
                <w:szCs w:val="19"/>
                <w:color w:val="auto"/>
              </w:rPr>
            </w:pPr>
          </w:p>
        </w:tc>
      </w:tr>
      <w:tr>
        <w:trPr>
          <w:trHeight w:val="226"/>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100" w:type="dxa"/>
            <w:vAlign w:val="bottom"/>
          </w:tcPr>
          <w:p>
            <w:pPr>
              <w:spacing w:after="0"/>
              <w:rPr>
                <w:sz w:val="19"/>
                <w:szCs w:val="19"/>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&amp; engineering</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FF0FC"/>
          </w:tcPr>
          <w:p>
            <w:pPr>
              <w:spacing w:after="0"/>
              <w:rPr>
                <w:sz w:val="19"/>
                <w:szCs w:val="19"/>
                <w:color w:val="auto"/>
              </w:rPr>
            </w:pPr>
          </w:p>
        </w:tc>
      </w:tr>
      <w:tr>
        <w:trPr>
          <w:trHeight w:val="226"/>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Impairments &amp; other</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13,148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shd w:val="clear" w:color="auto" w:fill="CFF0FC"/>
          </w:tcPr>
          <w:p>
            <w:pPr>
              <w:spacing w:after="0"/>
              <w:rPr>
                <w:sz w:val="19"/>
                <w:szCs w:val="19"/>
                <w:color w:val="auto"/>
              </w:rPr>
            </w:pPr>
          </w:p>
        </w:tc>
      </w:tr>
      <w:tr>
        <w:trPr>
          <w:trHeight w:val="226"/>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Merger &amp; integration</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w:t>
            </w:r>
          </w:p>
        </w:tc>
        <w:tc>
          <w:tcPr>
            <w:tcW w:w="1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FF0FC"/>
          </w:tcPr>
          <w:p>
            <w:pPr>
              <w:spacing w:after="0"/>
              <w:rPr>
                <w:sz w:val="19"/>
                <w:szCs w:val="19"/>
                <w:color w:val="auto"/>
              </w:rPr>
            </w:pPr>
          </w:p>
        </w:tc>
      </w:tr>
      <w:tr>
        <w:trPr>
          <w:trHeight w:val="219"/>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Income (loss) before taxes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Tax expense (benefit)</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(311)</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FF0FC"/>
          </w:tcPr>
          <w:p>
            <w:pPr>
              <w:spacing w:after="0"/>
              <w:rPr>
                <w:sz w:val="19"/>
                <w:szCs w:val="19"/>
                <w:color w:val="auto"/>
              </w:rPr>
            </w:pPr>
          </w:p>
        </w:tc>
      </w:tr>
      <w:tr>
        <w:trPr>
          <w:trHeight w:val="219"/>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income (loss)</w:t>
            </w:r>
          </w:p>
        </w:tc>
        <w:tc>
          <w:tcPr>
            <w:tcW w:w="1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(10,107)</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9"/>
                <w:szCs w:val="19"/>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59"/>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Schlumberger</w:t>
            </w:r>
          </w:p>
        </w:tc>
        <w:tc>
          <w:tcPr>
            <w:tcW w:w="12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(10,137)</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FF0FC"/>
            </w:tcBorders>
          </w:tcPr>
          <w:p>
            <w:pPr>
              <w:spacing w:after="0"/>
              <w:rPr>
                <w:sz w:val="22"/>
                <w:szCs w:val="22"/>
                <w:color w:val="auto"/>
              </w:rPr>
            </w:pPr>
          </w:p>
        </w:tc>
      </w:tr>
      <w:tr>
        <w:trPr>
          <w:trHeight w:val="205"/>
        </w:trPr>
        <w:tc>
          <w:tcPr>
            <w:tcW w:w="55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6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 of Schlumberger</w:t>
            </w:r>
          </w:p>
        </w:tc>
        <w:tc>
          <w:tcPr>
            <w:tcW w:w="15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(7.32)</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23"/>
                <w:szCs w:val="23"/>
                <w:color w:val="auto"/>
              </w:rPr>
            </w:pPr>
          </w:p>
        </w:tc>
        <w:tc>
          <w:tcPr>
            <w:tcW w:w="3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05"/>
        </w:trPr>
        <w:tc>
          <w:tcPr>
            <w:tcW w:w="550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6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 of Schlumberger</w:t>
            </w:r>
          </w:p>
        </w:tc>
        <w:tc>
          <w:tcPr>
            <w:tcW w:w="15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(7.32)</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23"/>
                <w:szCs w:val="23"/>
                <w:color w:val="auto"/>
              </w:rPr>
            </w:pPr>
          </w:p>
        </w:tc>
        <w:tc>
          <w:tcPr>
            <w:tcW w:w="3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05"/>
        </w:trPr>
        <w:tc>
          <w:tcPr>
            <w:tcW w:w="550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FF0FC"/>
          </w:tcPr>
          <w:p>
            <w:pPr>
              <w:spacing w:after="0"/>
              <w:rPr>
                <w:sz w:val="19"/>
                <w:szCs w:val="19"/>
                <w:color w:val="auto"/>
              </w:rPr>
            </w:pPr>
          </w:p>
        </w:tc>
      </w:tr>
      <w:tr>
        <w:trPr>
          <w:trHeight w:val="234"/>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Assuming dilution</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20"/>
                <w:szCs w:val="20"/>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FF0FC"/>
            </w:tcBorders>
          </w:tcPr>
          <w:p>
            <w:pPr>
              <w:spacing w:after="0"/>
              <w:rPr>
                <w:sz w:val="24"/>
                <w:szCs w:val="24"/>
                <w:color w:val="auto"/>
              </w:rPr>
            </w:pPr>
          </w:p>
        </w:tc>
      </w:tr>
      <w:tr>
        <w:trPr>
          <w:trHeight w:val="21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 (loss)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FF0FC"/>
          </w:tcPr>
          <w:p>
            <w:pPr>
              <w:spacing w:after="0"/>
              <w:rPr>
                <w:sz w:val="19"/>
                <w:szCs w:val="19"/>
                <w:color w:val="auto"/>
              </w:rPr>
            </w:pPr>
          </w:p>
        </w:tc>
      </w:tr>
      <w:tr>
        <w:trPr>
          <w:trHeight w:val="226"/>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change arising during the period</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loss arising during the period</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6"/>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 hedges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gain (loss) on cash flow hedges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9"/>
                <w:szCs w:val="19"/>
                <w:color w:val="auto"/>
              </w:rPr>
            </w:pPr>
          </w:p>
        </w:tc>
      </w:tr>
      <w:tr>
        <w:trPr>
          <w:trHeight w:val="226"/>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to net income (loss) of net realized loss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plans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Actuarial gain (loss) arising during the period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r>
      <w:tr>
        <w:trPr>
          <w:trHeight w:val="226"/>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to net income (loss) of net actuarial loss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9"/>
                <w:szCs w:val="19"/>
                <w:color w:val="auto"/>
              </w:rPr>
            </w:pPr>
          </w:p>
        </w:tc>
      </w:tr>
      <w:tr>
        <w:trPr>
          <w:trHeight w:val="226"/>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to net income (loss) of net prior service (credit) cost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r>
      <w:tr>
        <w:trPr>
          <w:trHeight w:val="226"/>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taxes on pension and other postretirement benefit plans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9"/>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tc>
        <w:tc>
          <w:tcPr>
            <w:tcW w:w="8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9"/>
                <w:szCs w:val="19"/>
                <w:color w:val="auto"/>
              </w:rPr>
            </w:pPr>
          </w:p>
        </w:tc>
      </w:tr>
      <w:tr>
        <w:trPr>
          <w:trHeight w:val="226"/>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9"/>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income (loss) attributable to Schlumberger</w:t>
            </w:r>
          </w:p>
        </w:tc>
        <w:tc>
          <w:tcPr>
            <w:tcW w:w="8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Receivables less allowance for doubtful accounts (2019 - $255; 2018 - $249)</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Investments in Affiliated Companies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Fixed Assets less accumulated depreciation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Multiclient Seismic Data</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6,248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56,312</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payable</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Postretirement Benefits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Deferred Taxes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32,136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(3,631)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(4,006)</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(4,438)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9"/>
        </w:trPr>
        <w:tc>
          <w:tcPr>
            <w:tcW w:w="782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23,760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56,312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8" w:name="page29"/>
    <w:bookmarkEnd w:id="28"/>
    <w:p>
      <w:pPr>
        <w:ind w:left="3680"/>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27"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03"/>
        </w:trPr>
        <w:tc>
          <w:tcPr>
            <w:tcW w:w="5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3"/>
                <w:szCs w:val="13"/>
                <w:color w:val="auto"/>
              </w:rPr>
              <w:t>2018</w:t>
            </w: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3"/>
                <w:szCs w:val="13"/>
                <w:color w:val="auto"/>
              </w:rPr>
              <w:t>2017</w:t>
            </w:r>
          </w:p>
        </w:tc>
        <w:tc>
          <w:tcPr>
            <w:tcW w:w="100" w:type="dxa"/>
            <w:vAlign w:val="bottom"/>
            <w:tcBorders>
              <w:bottom w:val="single" w:sz="8" w:color="CFF0FC"/>
            </w:tcBorders>
          </w:tcPr>
          <w:p>
            <w:pPr>
              <w:spacing w:after="0"/>
              <w:rPr>
                <w:sz w:val="24"/>
                <w:szCs w:val="24"/>
                <w:color w:val="auto"/>
              </w:rPr>
            </w:pPr>
          </w:p>
        </w:tc>
      </w:tr>
      <w:tr>
        <w:trPr>
          <w:trHeight w:val="20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5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(10,107)</w:t>
            </w:r>
          </w:p>
        </w:tc>
        <w:tc>
          <w:tcPr>
            <w:tcW w:w="420" w:type="dxa"/>
            <w:vAlign w:val="bottom"/>
            <w:gridSpan w:val="2"/>
          </w:tcPr>
          <w:p>
            <w:pPr>
              <w:jc w:val="right"/>
              <w:ind w:right="16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(1,513)</w:t>
            </w:r>
          </w:p>
        </w:tc>
      </w:tr>
      <w:tr>
        <w:trPr>
          <w:trHeight w:val="214"/>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operating activities: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59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Impairments and other charges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00" w:type="dxa"/>
            <w:vAlign w:val="bottom"/>
          </w:tcPr>
          <w:p>
            <w:pPr>
              <w:spacing w:after="0"/>
              <w:rPr>
                <w:sz w:val="18"/>
                <w:szCs w:val="18"/>
                <w:color w:val="auto"/>
              </w:rPr>
            </w:pPr>
          </w:p>
        </w:tc>
      </w:tr>
      <w:tr>
        <w:trPr>
          <w:trHeight w:val="214"/>
        </w:trPr>
        <w:tc>
          <w:tcPr>
            <w:tcW w:w="5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Gain on formation of Sensia joint venture</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r>
      <w:tr>
        <w:trPr>
          <w:trHeight w:val="211"/>
        </w:trPr>
        <w:tc>
          <w:tcPr>
            <w:tcW w:w="59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Gain on sale of WesternGeco marine seismic acquisition business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14"/>
        </w:trPr>
        <w:tc>
          <w:tcPr>
            <w:tcW w:w="5900" w:type="dxa"/>
            <w:vAlign w:val="bottom"/>
            <w:shd w:val="clear" w:color="auto" w:fill="CFF0FC"/>
          </w:tcPr>
          <w:p>
            <w:pPr>
              <w:ind w:left="600"/>
              <w:spacing w:after="0" w:line="213" w:lineRule="exact"/>
              <w:rPr>
                <w:sz w:val="20"/>
                <w:szCs w:val="20"/>
                <w:color w:val="auto"/>
              </w:rPr>
            </w:pPr>
            <w:r>
              <w:rPr>
                <w:rFonts w:ascii="Times New Roman" w:cs="Times New Roman" w:eastAsia="Times New Roman" w:hAnsi="Times New Roman"/>
                <w:sz w:val="15"/>
                <w:szCs w:val="15"/>
                <w:color w:val="auto"/>
              </w:rPr>
              <w:t xml:space="preserve">Depreciation and amortization </w:t>
            </w:r>
            <w:r>
              <w:rPr>
                <w:rFonts w:ascii="Times New Roman" w:cs="Times New Roman" w:eastAsia="Times New Roman" w:hAnsi="Times New Roman"/>
                <w:sz w:val="24"/>
                <w:szCs w:val="24"/>
                <w:color w:val="auto"/>
                <w:vertAlign w:val="superscript"/>
              </w:rPr>
              <w:t>(1)</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3,589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3,837</w:t>
            </w:r>
          </w:p>
        </w:tc>
        <w:tc>
          <w:tcPr>
            <w:tcW w:w="100" w:type="dxa"/>
            <w:vAlign w:val="bottom"/>
            <w:shd w:val="clear" w:color="auto" w:fill="CFF0FC"/>
          </w:tcPr>
          <w:p>
            <w:pPr>
              <w:spacing w:after="0"/>
              <w:rPr>
                <w:sz w:val="18"/>
                <w:szCs w:val="18"/>
                <w:color w:val="auto"/>
              </w:rPr>
            </w:pPr>
          </w:p>
        </w:tc>
      </w:tr>
      <w:tr>
        <w:trPr>
          <w:trHeight w:val="211"/>
        </w:trPr>
        <w:tc>
          <w:tcPr>
            <w:tcW w:w="59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Deferred taxes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(260)</w:t>
            </w:r>
          </w:p>
        </w:tc>
      </w:tr>
      <w:tr>
        <w:trPr>
          <w:trHeight w:val="214"/>
        </w:trPr>
        <w:tc>
          <w:tcPr>
            <w:tcW w:w="5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FF0FC"/>
          </w:tcPr>
          <w:p>
            <w:pPr>
              <w:spacing w:after="0"/>
              <w:rPr>
                <w:sz w:val="18"/>
                <w:szCs w:val="18"/>
                <w:color w:val="auto"/>
              </w:rPr>
            </w:pPr>
          </w:p>
        </w:tc>
      </w:tr>
      <w:tr>
        <w:trPr>
          <w:trHeight w:val="211"/>
        </w:trPr>
        <w:tc>
          <w:tcPr>
            <w:tcW w:w="59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Pension and other postretirement benefits funding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w:t>
            </w:r>
          </w:p>
        </w:tc>
      </w:tr>
      <w:tr>
        <w:trPr>
          <w:trHeight w:val="214"/>
        </w:trPr>
        <w:tc>
          <w:tcPr>
            <w:tcW w:w="5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Earnings of equity method investments, less dividends received</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r>
      <w:tr>
        <w:trPr>
          <w:trHeight w:val="212"/>
        </w:trPr>
        <w:tc>
          <w:tcPr>
            <w:tcW w:w="5900" w:type="dxa"/>
            <w:vAlign w:val="bottom"/>
          </w:tcPr>
          <w:p>
            <w:pPr>
              <w:ind w:left="240"/>
              <w:spacing w:after="0" w:line="212" w:lineRule="exact"/>
              <w:rPr>
                <w:sz w:val="20"/>
                <w:szCs w:val="20"/>
                <w:color w:val="auto"/>
              </w:rPr>
            </w:pPr>
            <w:r>
              <w:rPr>
                <w:rFonts w:ascii="Times New Roman" w:cs="Times New Roman" w:eastAsia="Times New Roman" w:hAnsi="Times New Roman"/>
                <w:sz w:val="15"/>
                <w:szCs w:val="15"/>
                <w:color w:val="auto"/>
              </w:rPr>
              <w:t xml:space="preserve">Change in assets and liabilities: </w:t>
            </w:r>
            <w:r>
              <w:rPr>
                <w:rFonts w:ascii="Times New Roman" w:cs="Times New Roman" w:eastAsia="Times New Roman" w:hAnsi="Times New Roman"/>
                <w:sz w:val="24"/>
                <w:szCs w:val="24"/>
                <w:color w:val="auto"/>
                <w:vertAlign w:val="superscript"/>
              </w:rPr>
              <w:t>(2)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9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w:t>
            </w:r>
          </w:p>
        </w:tc>
      </w:tr>
      <w:tr>
        <w:trPr>
          <w:trHeight w:val="211"/>
        </w:trPr>
        <w:tc>
          <w:tcPr>
            <w:tcW w:w="59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r>
      <w:tr>
        <w:trPr>
          <w:trHeight w:val="214"/>
        </w:trPr>
        <w:tc>
          <w:tcPr>
            <w:tcW w:w="5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(Increase) decrease in other current assets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(174)</w:t>
            </w:r>
          </w:p>
        </w:tc>
      </w:tr>
      <w:tr>
        <w:trPr>
          <w:trHeight w:val="211"/>
        </w:trPr>
        <w:tc>
          <w:tcPr>
            <w:tcW w:w="59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8"/>
                <w:szCs w:val="18"/>
                <w:color w:val="auto"/>
              </w:rPr>
            </w:pPr>
          </w:p>
        </w:tc>
      </w:tr>
      <w:tr>
        <w:trPr>
          <w:trHeight w:val="214"/>
        </w:trPr>
        <w:tc>
          <w:tcPr>
            <w:tcW w:w="5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Decrease in accounts payable and accrued liabilities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(737)</w:t>
            </w:r>
          </w:p>
        </w:tc>
      </w:tr>
      <w:tr>
        <w:trPr>
          <w:trHeight w:val="211"/>
        </w:trPr>
        <w:tc>
          <w:tcPr>
            <w:tcW w:w="59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(Decrease) increase in estimated liability for taxes on income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r>
      <w:tr>
        <w:trPr>
          <w:trHeight w:val="214"/>
        </w:trPr>
        <w:tc>
          <w:tcPr>
            <w:tcW w:w="5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(Decrease) increase in other liabilities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r>
      <w:tr>
        <w:trPr>
          <w:trHeight w:val="211"/>
        </w:trPr>
        <w:tc>
          <w:tcPr>
            <w:tcW w:w="5900" w:type="dxa"/>
            <w:vAlign w:val="bottom"/>
            <w:tcBorders>
              <w:bottom w:val="single" w:sz="8" w:color="CFF0FC"/>
            </w:tcBorders>
          </w:tcPr>
          <w:p>
            <w:pPr>
              <w:ind w:left="60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FF0FC"/>
            </w:tcBorders>
          </w:tcPr>
          <w:p>
            <w:pPr>
              <w:spacing w:after="0"/>
              <w:rPr>
                <w:sz w:val="18"/>
                <w:szCs w:val="18"/>
                <w:color w:val="auto"/>
              </w:rPr>
            </w:pPr>
          </w:p>
        </w:tc>
      </w:tr>
      <w:tr>
        <w:trPr>
          <w:trHeight w:val="207"/>
        </w:trPr>
        <w:tc>
          <w:tcPr>
            <w:tcW w:w="5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5,431</w:t>
            </w: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5,663</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(1,724)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(2,160)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(2,107)</w:t>
            </w:r>
          </w:p>
        </w:tc>
      </w:tr>
      <w:tr>
        <w:trPr>
          <w:trHeight w:val="211"/>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APS investments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(781)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(1,609)</w:t>
            </w:r>
          </w:p>
        </w:tc>
      </w:tr>
      <w:tr>
        <w:trPr>
          <w:trHeight w:val="214"/>
        </w:trPr>
        <w:tc>
          <w:tcPr>
            <w:tcW w:w="5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Multiclient seismic data capitalized</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(231)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(276)</w:t>
            </w:r>
          </w:p>
        </w:tc>
      </w:tr>
      <w:tr>
        <w:trPr>
          <w:trHeight w:val="211"/>
        </w:trPr>
        <w:tc>
          <w:tcPr>
            <w:tcW w:w="5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Business acquisitions and investments, net of cash acquired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(847)</w:t>
            </w:r>
          </w:p>
        </w:tc>
      </w:tr>
      <w:tr>
        <w:trPr>
          <w:trHeight w:val="214"/>
        </w:trPr>
        <w:tc>
          <w:tcPr>
            <w:tcW w:w="59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Net proceeds from divestiture and formation of Sensia joint venture</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r>
      <w:tr>
        <w:trPr>
          <w:trHeight w:val="223"/>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WesternGeco marine seismic business, net of cash divested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15"/>
        </w:trPr>
        <w:tc>
          <w:tcPr>
            <w:tcW w:w="5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Sale of investments, net</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100" w:type="dxa"/>
            <w:vAlign w:val="bottom"/>
            <w:shd w:val="clear" w:color="auto" w:fill="CFF0FC"/>
          </w:tcPr>
          <w:p>
            <w:pPr>
              <w:spacing w:after="0"/>
              <w:rPr>
                <w:sz w:val="18"/>
                <w:szCs w:val="18"/>
                <w:color w:val="auto"/>
              </w:rPr>
            </w:pPr>
          </w:p>
        </w:tc>
      </w:tr>
      <w:tr>
        <w:trPr>
          <w:trHeight w:val="211"/>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(217)</w:t>
            </w:r>
          </w:p>
        </w:tc>
      </w:tr>
      <w:tr>
        <w:trPr>
          <w:trHeight w:val="207"/>
        </w:trPr>
        <w:tc>
          <w:tcPr>
            <w:tcW w:w="5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(2,011)</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(2,769)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(2,770)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(2,778)</w:t>
            </w:r>
          </w:p>
        </w:tc>
      </w:tr>
      <w:tr>
        <w:trPr>
          <w:trHeight w:val="211"/>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r>
      <w:tr>
        <w:trPr>
          <w:trHeight w:val="214"/>
        </w:trPr>
        <w:tc>
          <w:tcPr>
            <w:tcW w:w="5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FF0FC"/>
          </w:tcPr>
          <w:p>
            <w:pPr>
              <w:spacing w:after="0"/>
              <w:rPr>
                <w:sz w:val="18"/>
                <w:szCs w:val="18"/>
                <w:color w:val="auto"/>
              </w:rPr>
            </w:pPr>
          </w:p>
        </w:tc>
      </w:tr>
      <w:tr>
        <w:trPr>
          <w:trHeight w:val="211"/>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 repurchase program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(278)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(969)</w:t>
            </w:r>
          </w:p>
        </w:tc>
      </w:tr>
      <w:tr>
        <w:trPr>
          <w:trHeight w:val="214"/>
        </w:trPr>
        <w:tc>
          <w:tcPr>
            <w:tcW w:w="5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4,004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shd w:val="clear" w:color="auto" w:fill="CFF0FC"/>
          </w:tcPr>
          <w:p>
            <w:pPr>
              <w:spacing w:after="0"/>
              <w:rPr>
                <w:sz w:val="18"/>
                <w:szCs w:val="18"/>
                <w:color w:val="auto"/>
              </w:rPr>
            </w:pPr>
          </w:p>
        </w:tc>
      </w:tr>
      <w:tr>
        <w:trPr>
          <w:trHeight w:val="211"/>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(4,799)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(2,961)</w:t>
            </w:r>
          </w:p>
        </w:tc>
      </w:tr>
      <w:tr>
        <w:trPr>
          <w:trHeight w:val="214"/>
        </w:trPr>
        <w:tc>
          <w:tcPr>
            <w:tcW w:w="59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Net decrease in short-term borrowings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(1,022)</w:t>
            </w:r>
          </w:p>
        </w:tc>
      </w:tr>
      <w:tr>
        <w:trPr>
          <w:trHeight w:val="211"/>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r>
      <w:tr>
        <w:trPr>
          <w:trHeight w:val="207"/>
        </w:trPr>
        <w:tc>
          <w:tcPr>
            <w:tcW w:w="5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(3,718)</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before translation effect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7"/>
                <w:szCs w:val="17"/>
                <w:color w:val="auto"/>
              </w:rPr>
            </w:pPr>
          </w:p>
        </w:tc>
      </w:tr>
      <w:tr>
        <w:trPr>
          <w:trHeight w:val="215"/>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Translation effect on cash</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8"/>
                <w:szCs w:val="18"/>
                <w:color w:val="auto"/>
              </w:rPr>
            </w:pPr>
          </w:p>
        </w:tc>
      </w:tr>
      <w:tr>
        <w:trPr>
          <w:trHeight w:val="211"/>
        </w:trPr>
        <w:tc>
          <w:tcPr>
            <w:tcW w:w="5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3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1,433</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00" w:type="dxa"/>
            <w:vAlign w:val="bottom"/>
            <w:tcBorders>
              <w:bottom w:val="single" w:sz="8" w:color="CFF0FC"/>
            </w:tcBorders>
          </w:tcPr>
          <w:p>
            <w:pPr>
              <w:spacing w:after="0"/>
              <w:rPr>
                <w:sz w:val="18"/>
                <w:szCs w:val="18"/>
                <w:color w:val="auto"/>
              </w:rPr>
            </w:pPr>
          </w:p>
        </w:tc>
      </w:tr>
      <w:tr>
        <w:trPr>
          <w:trHeight w:val="20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end of period</w:t>
            </w:r>
          </w:p>
        </w:tc>
        <w:tc>
          <w:tcPr>
            <w:tcW w:w="3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7" w:lineRule="exact"/>
        <w:rPr>
          <w:sz w:val="20"/>
          <w:szCs w:val="20"/>
          <w:color w:val="auto"/>
        </w:rPr>
      </w:pPr>
    </w:p>
    <w:p>
      <w:pPr>
        <w:ind w:left="380" w:hanging="374"/>
        <w:spacing w:after="0"/>
        <w:tabs>
          <w:tab w:leader="none" w:pos="380"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multiclient seismic data costs and APS investments.</w:t>
      </w:r>
    </w:p>
    <w:p>
      <w:pPr>
        <w:spacing w:after="0" w:line="49" w:lineRule="exact"/>
        <w:rPr>
          <w:rFonts w:ascii="Times New Roman" w:cs="Times New Roman" w:eastAsia="Times New Roman" w:hAnsi="Times New Roman"/>
          <w:sz w:val="26"/>
          <w:szCs w:val="26"/>
          <w:color w:val="auto"/>
          <w:vertAlign w:val="superscript"/>
        </w:rPr>
      </w:pPr>
    </w:p>
    <w:p>
      <w:pPr>
        <w:ind w:left="380" w:hanging="374"/>
        <w:spacing w:after="0" w:line="180" w:lineRule="auto"/>
        <w:tabs>
          <w:tab w:leader="none" w:pos="3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Net of the effect of business acquisitions and divestitures.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060"/>
          </w:cols>
          <w:pgMar w:left="240" w:top="119" w:right="599" w:bottom="1440" w:gutter="0" w:footer="0" w:header="0"/>
        </w:sectPr>
      </w:pPr>
    </w:p>
    <w:bookmarkStart w:id="29" w:name="page30"/>
    <w:bookmarkEnd w:id="29"/>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2"/>
        </w:trPr>
        <w:tc>
          <w:tcPr>
            <w:tcW w:w="3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3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3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3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3"/>
          </w:tcPr>
          <w:p>
            <w:pPr>
              <w:ind w:left="140"/>
              <w:spacing w:after="0" w:line="153" w:lineRule="exact"/>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49"/>
              <w:spacing w:after="0" w:line="153"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0"/>
              <w:spacing w:after="0" w:line="153"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00"/>
              <w:spacing w:after="0" w:line="153"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60"/>
              <w:spacing w:after="0" w:line="153"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3"/>
                <w:szCs w:val="13"/>
                <w:color w:val="auto"/>
              </w:rPr>
            </w:pPr>
          </w:p>
        </w:tc>
        <w:tc>
          <w:tcPr>
            <w:tcW w:w="900" w:type="dxa"/>
            <w:vAlign w:val="bottom"/>
            <w:gridSpan w:val="2"/>
          </w:tcPr>
          <w:p>
            <w:pPr>
              <w:jc w:val="right"/>
              <w:ind w:right="460"/>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3"/>
        </w:trPr>
        <w:tc>
          <w:tcPr>
            <w:tcW w:w="3920" w:type="dxa"/>
            <w:vAlign w:val="bottom"/>
            <w:tcBorders>
              <w:top w:val="single" w:sz="8" w:color="CFF0FC"/>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Balance, January 1, 2017</w:t>
            </w:r>
          </w:p>
        </w:tc>
        <w:tc>
          <w:tcPr>
            <w:tcW w:w="7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12,801</w:t>
            </w: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(3,550)</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36,470</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(4,643)</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451</w:t>
            </w:r>
          </w:p>
        </w:tc>
        <w:tc>
          <w:tcPr>
            <w:tcW w:w="1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41,529</w:t>
            </w:r>
          </w:p>
        </w:tc>
        <w:tc>
          <w:tcPr>
            <w:tcW w:w="80" w:type="dxa"/>
            <w:vAlign w:val="bottom"/>
            <w:tcBorders>
              <w:top w:val="single" w:sz="8" w:color="CFF0FC"/>
            </w:tcBorders>
            <w:shd w:val="clear" w:color="auto" w:fill="CFF0FC"/>
          </w:tcPr>
          <w:p>
            <w:pPr>
              <w:spacing w:after="0"/>
              <w:rPr>
                <w:sz w:val="13"/>
                <w:szCs w:val="13"/>
                <w:color w:val="auto"/>
              </w:rPr>
            </w:pP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(1,505)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(1,513)</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(3)</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Changes in unrealized gain on marketable securities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(8)</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Changes in fair value of cash flow hedges</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FF0FC"/>
          </w:tcPr>
          <w:p>
            <w:pPr>
              <w:spacing w:after="0"/>
              <w:rPr>
                <w:sz w:val="13"/>
                <w:szCs w:val="13"/>
                <w:color w:val="auto"/>
              </w:rPr>
            </w:pP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3"/>
                <w:szCs w:val="13"/>
                <w:color w:val="auto"/>
              </w:rPr>
            </w:pP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FF0FC"/>
          </w:tcPr>
          <w:p>
            <w:pPr>
              <w:spacing w:after="0"/>
              <w:rPr>
                <w:sz w:val="13"/>
                <w:szCs w:val="13"/>
                <w:color w:val="auto"/>
              </w:rPr>
            </w:pP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212</w:t>
            </w:r>
          </w:p>
        </w:tc>
        <w:tc>
          <w:tcPr>
            <w:tcW w:w="80" w:type="dxa"/>
            <w:vAlign w:val="bottom"/>
            <w:shd w:val="clear" w:color="auto" w:fill="CFF0FC"/>
          </w:tcPr>
          <w:p>
            <w:pPr>
              <w:spacing w:after="0"/>
              <w:rPr>
                <w:sz w:val="13"/>
                <w:szCs w:val="13"/>
                <w:color w:val="auto"/>
              </w:rPr>
            </w:pP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Stock repurchase program</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(969)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(969)</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FF0FC"/>
          </w:tcPr>
          <w:p>
            <w:pPr>
              <w:spacing w:after="0"/>
              <w:rPr>
                <w:sz w:val="13"/>
                <w:szCs w:val="13"/>
                <w:color w:val="auto"/>
              </w:rPr>
            </w:pP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Dividends declared ($2.00 per share)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(2,775)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(2,775)</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(24)</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(20)</w:t>
            </w:r>
          </w:p>
        </w:tc>
      </w:tr>
      <w:tr>
        <w:trPr>
          <w:trHeight w:val="153"/>
        </w:trPr>
        <w:tc>
          <w:tcPr>
            <w:tcW w:w="39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Balance, December 31, 2017</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12,975</w:t>
            </w: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(4,049)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32,190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(4,274)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419</w:t>
            </w: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37,261</w:t>
            </w:r>
          </w:p>
        </w:tc>
        <w:tc>
          <w:tcPr>
            <w:tcW w:w="80" w:type="dxa"/>
            <w:vAlign w:val="bottom"/>
          </w:tcPr>
          <w:p>
            <w:pPr>
              <w:spacing w:after="0"/>
              <w:rPr>
                <w:sz w:val="13"/>
                <w:szCs w:val="13"/>
                <w:color w:val="auto"/>
              </w:rPr>
            </w:pP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2,138</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39</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2,177</w:t>
            </w:r>
          </w:p>
        </w:tc>
        <w:tc>
          <w:tcPr>
            <w:tcW w:w="80" w:type="dxa"/>
            <w:vAlign w:val="bottom"/>
            <w:shd w:val="clear" w:color="auto" w:fill="CFF0FC"/>
          </w:tcPr>
          <w:p>
            <w:pPr>
              <w:spacing w:after="0"/>
              <w:rPr>
                <w:sz w:val="13"/>
                <w:szCs w:val="13"/>
                <w:color w:val="auto"/>
              </w:rPr>
            </w:pP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(191)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(196)</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Changes in unrealized gain on marketable securities</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(11)</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Changes in fair value of cash flow hedges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(15)</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(22)</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3"/>
                <w:szCs w:val="13"/>
                <w:color w:val="auto"/>
              </w:rPr>
            </w:pP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294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3"/>
                <w:szCs w:val="13"/>
                <w:color w:val="auto"/>
              </w:rPr>
            </w:pP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Stock repurchase program</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(400)</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(400)</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3"/>
                <w:szCs w:val="13"/>
                <w:color w:val="auto"/>
              </w:rPr>
            </w:pP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Dividends declared ($2.00 per share)</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(2,770)</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(2,770)</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Stranded tax related to US pension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(109)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(44)</w:t>
            </w:r>
          </w:p>
        </w:tc>
      </w:tr>
      <w:tr>
        <w:trPr>
          <w:trHeight w:val="153"/>
        </w:trPr>
        <w:tc>
          <w:tcPr>
            <w:tcW w:w="39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Balance, December 31, 2018</w:t>
            </w:r>
          </w:p>
        </w:tc>
        <w:tc>
          <w:tcPr>
            <w:tcW w:w="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13,132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(4,006)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31,658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(4,622)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424</w:t>
            </w: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36,586</w:t>
            </w:r>
          </w:p>
        </w:tc>
        <w:tc>
          <w:tcPr>
            <w:tcW w:w="80" w:type="dxa"/>
            <w:vAlign w:val="bottom"/>
          </w:tcPr>
          <w:p>
            <w:pPr>
              <w:spacing w:after="0"/>
              <w:rPr>
                <w:sz w:val="13"/>
                <w:szCs w:val="13"/>
                <w:color w:val="auto"/>
              </w:rPr>
            </w:pP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(10,137)</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(10,107)</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3"/>
                <w:szCs w:val="13"/>
                <w:color w:val="auto"/>
              </w:rPr>
            </w:pP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Changes in fair value of cash flow hedges</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(22)</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3"/>
                <w:szCs w:val="13"/>
                <w:color w:val="auto"/>
              </w:rPr>
            </w:pP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FF0FC"/>
          </w:tcPr>
          <w:p>
            <w:pPr>
              <w:spacing w:after="0"/>
              <w:rPr>
                <w:sz w:val="13"/>
                <w:szCs w:val="13"/>
                <w:color w:val="auto"/>
              </w:rPr>
            </w:pP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445</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FF0FC"/>
          </w:tcPr>
          <w:p>
            <w:pPr>
              <w:spacing w:after="0"/>
              <w:rPr>
                <w:sz w:val="13"/>
                <w:szCs w:val="13"/>
                <w:color w:val="auto"/>
              </w:rPr>
            </w:pP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Stock repurchase program</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(278)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(278)</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405</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405</w:t>
            </w:r>
          </w:p>
        </w:tc>
        <w:tc>
          <w:tcPr>
            <w:tcW w:w="80" w:type="dxa"/>
            <w:vAlign w:val="bottom"/>
            <w:shd w:val="clear" w:color="auto" w:fill="CFF0FC"/>
          </w:tcPr>
          <w:p>
            <w:pPr>
              <w:spacing w:after="0"/>
              <w:rPr>
                <w:sz w:val="13"/>
                <w:szCs w:val="13"/>
                <w:color w:val="auto"/>
              </w:rPr>
            </w:pP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Dividends declared ($2.00 per share)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(2,770)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(2,770)</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(37)</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(62)</w:t>
            </w:r>
          </w:p>
        </w:tc>
      </w:tr>
      <w:tr>
        <w:trPr>
          <w:trHeight w:val="153"/>
        </w:trPr>
        <w:tc>
          <w:tcPr>
            <w:tcW w:w="39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Balance, December 31, 2019</w:t>
            </w:r>
          </w:p>
        </w:tc>
        <w:tc>
          <w:tcPr>
            <w:tcW w:w="7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13,078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(3,631)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18,751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(4,438)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416</w:t>
            </w:r>
          </w:p>
        </w:tc>
        <w:tc>
          <w:tcPr>
            <w:tcW w:w="1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24,176</w:t>
            </w:r>
          </w:p>
        </w:tc>
        <w:tc>
          <w:tcPr>
            <w:tcW w:w="80" w:type="dxa"/>
            <w:vAlign w:val="bottom"/>
          </w:tcPr>
          <w:p>
            <w:pPr>
              <w:spacing w:after="0"/>
              <w:rPr>
                <w:sz w:val="13"/>
                <w:szCs w:val="13"/>
                <w:color w:val="auto"/>
              </w:rPr>
            </w:pPr>
          </w:p>
        </w:tc>
      </w:tr>
      <w:tr>
        <w:trPr>
          <w:trHeight w:val="20"/>
        </w:trPr>
        <w:tc>
          <w:tcPr>
            <w:tcW w:w="3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520"/>
          </w:cols>
          <w:pgMar w:left="240" w:top="119" w:right="1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 STOCK</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62"/>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33"/>
        </w:trPr>
        <w:tc>
          <w:tcPr>
            <w:tcW w:w="6720" w:type="dxa"/>
            <w:vAlign w:val="bottom"/>
          </w:tcPr>
          <w:p>
            <w:pPr>
              <w:spacing w:after="0"/>
              <w:rPr>
                <w:sz w:val="20"/>
                <w:szCs w:val="20"/>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3"/>
              </w:rPr>
              <w:t>Issued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 Treasury</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r>
      <w:tr>
        <w:trPr>
          <w:trHeight w:val="226"/>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repurchase program</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9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4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r>
      <w:tr>
        <w:trPr>
          <w:trHeight w:val="226"/>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26"/>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repurchase program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r>
      <w:tr>
        <w:trPr>
          <w:trHeight w:val="226"/>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repurchase program</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9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44" w:lineRule="exact"/>
        <w:rPr>
          <w:sz w:val="20"/>
          <w:szCs w:val="20"/>
          <w:color w:val="auto"/>
        </w:rPr>
      </w:pPr>
    </w:p>
    <w:p>
      <w:pPr>
        <w:ind w:left="180" w:hanging="174"/>
        <w:spacing w:after="0"/>
        <w:tabs>
          <w:tab w:leader="none" w:pos="1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Description</w:t>
      </w:r>
    </w:p>
    <w:p>
      <w:pPr>
        <w:spacing w:after="0" w:line="12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Schlumberger Limited (Schlumberger N.V., incorporated in Curaçao) and its consolidated subsidiaries (collectively, “Schlumberger”) comprise the world’s leading supplier of technology for reservoir characterization, drilling, production and processing to the oil and gas industry.</w:t>
      </w:r>
    </w:p>
    <w:p>
      <w:pPr>
        <w:spacing w:after="0" w:line="163" w:lineRule="exact"/>
        <w:rPr>
          <w:sz w:val="20"/>
          <w:szCs w:val="20"/>
          <w:color w:val="auto"/>
        </w:rPr>
      </w:pPr>
    </w:p>
    <w:p>
      <w:pPr>
        <w:ind w:left="220" w:hanging="214"/>
        <w:spacing w:after="0"/>
        <w:tabs>
          <w:tab w:leader="none" w:pos="2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Accounting Policies</w:t>
      </w:r>
    </w:p>
    <w:p>
      <w:pPr>
        <w:spacing w:after="0" w:line="1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of Schlumberger have been prepared in accordance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assets and liabilities, the disclosure of contingent liabilities at the date of the financial statements and the reported amounts of revenue and expenses during the reporting period. On an ongoing basis, Schlumberger evaluates its estimates, including those related to collectibility of accounts receivable; revenue recognized for certain long-term construction-type contracts over time; recoverability of fixed assets, goodwill, intangible assets, Asset Performance Solutions investments and investments in affiliates; income taxes; multiclient seismic data; contingencies and actuarial assumptions for employee benefit plans. Schlumberger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Schlumberger adopted Accounting Standards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on January 1, 2018. This ASU amended the existing accounting standards for revenue recognition and requires companies to recognize revenue when control of the promised goods or services is transferred to a customer at an amount that reflects the consideration a company expects to receive in exchange for those goods or services. Under the transition method selected by Schlumberger, this ASU was applied only to those contracts which were not completed as of January 1, 2018. Prior period amounts have not been adjusted and continue to be reflected in accordance with Schlumberger’s historical accounting. The adoption of this ASU did not have a material impact on Schlumberger’s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recognizes revenue upon the transfer of control of promised products or services to customers at an amount that reflects the consideration it expects to receive in exchange for these products or services. The vast majority of Schlumberger’s services and product offerings are short-term in nature. The time between invoicing and when payment is due under these arrangements is generally between 30 to 60 days.</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 is occasionally generated from contractual arrangements that include multiple performance obligations. Revenue from these arrangements is allocated to each performance obligation based on its relative standalone selling price. Standalone selling prices are generally determined based on the prices charged to customers or using expected costs plus margin.</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Revenue is recognized for certain long-term construction-type contracts over time. These contracts involve significant design and engineering efforts in order to satisfy custom designs for customer-specific applications. Revenue is recognized as work progresses on each contract. Progress is measured by the ratio of actual costs incurred to date on the project in relation to total estimated project costs. The estimate of total project costs has a significant impact on both the amount of revenue recognized as well as the related profit on a project. Revenue and profits on contracts can also be significantly affected by change orders and claims. Due to the nature of these projects, adjustments to estimates of contract revenue and total contract costs may be required as work progresses. Progress billings are generally issued upon completion of certain phases of work as stipulated in the contract. Any expected losses on a project are recorded in full in the period in which they become probable.</w:t>
      </w:r>
    </w:p>
    <w:p>
      <w:pPr>
        <w:spacing w:after="0" w:line="18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Due to the nature of its businesses, Schlumberger does not have significant backlog. Total backlog was $3.0 billion at December 31, 2019, of which approximately 50% is expected to be recognized as revenue during 2020.</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are comprised primarily of money market funds, time deposits, certificates of deposit, commercial paper, bonds and notes, substantially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which are denominated in US dollars and are stated at cost plus accrued interest, which approximates fair value.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the </w:t>
      </w:r>
      <w:r>
        <w:rPr>
          <w:rFonts w:ascii="Times New Roman" w:cs="Times New Roman" w:eastAsia="Times New Roman" w:hAnsi="Times New Roman"/>
          <w:sz w:val="18"/>
          <w:szCs w:val="18"/>
          <w:i w:val="1"/>
          <w:iCs w:val="1"/>
          <w:color w:val="auto"/>
        </w:rPr>
        <w:t>Consolidated Statement of Cash Flows</w:t>
      </w:r>
      <w:r>
        <w:rPr>
          <w:rFonts w:ascii="Times New Roman" w:cs="Times New Roman" w:eastAsia="Times New Roman" w:hAnsi="Times New Roman"/>
          <w:sz w:val="18"/>
          <w:szCs w:val="18"/>
          <w:color w:val="auto"/>
        </w:rPr>
        <w:t xml:space="preserve">, Schlumberger does not consider </w:t>
      </w: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xml:space="preserve"> to be cash equivalents.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Affiliated Companies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Investments in companies in which Schlumberger does not have a controlling financial interest, but over which it has significant influence, are accounted for using the equity method. Schlumberger’s share of the after-tax earnings of equity method investees is included in </w:t>
      </w: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Investments in privately held companies in which Schlumberger does not have the ability to exercise significant influence are accounted for using the cost method.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Equity and cost method investments are classified as </w:t>
      </w:r>
      <w:r>
        <w:rPr>
          <w:rFonts w:ascii="Times New Roman" w:cs="Times New Roman" w:eastAsia="Times New Roman" w:hAnsi="Times New Roman"/>
          <w:sz w:val="18"/>
          <w:szCs w:val="18"/>
          <w:i w:val="1"/>
          <w:iCs w:val="1"/>
          <w:color w:val="auto"/>
        </w:rPr>
        <w:t>Investments in Affiliated Companies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Multiclient Seismic Data</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Schlumberger’s multiclient library consists of completed and in-process seismic surveys that are licensed on a nonexclusive basis. Schlumberger capitalizes costs directly incurred in acquiring and processing the multiclient seismic data. Such costs are charged to </w:t>
      </w:r>
      <w:r>
        <w:rPr>
          <w:rFonts w:ascii="Times New Roman" w:cs="Times New Roman" w:eastAsia="Times New Roman" w:hAnsi="Times New Roman"/>
          <w:sz w:val="18"/>
          <w:szCs w:val="18"/>
          <w:i w:val="1"/>
          <w:iCs w:val="1"/>
          <w:color w:val="auto"/>
        </w:rPr>
        <w:t>Cost of services</w:t>
      </w:r>
      <w:r>
        <w:rPr>
          <w:rFonts w:ascii="Times New Roman" w:cs="Times New Roman" w:eastAsia="Times New Roman" w:hAnsi="Times New Roman"/>
          <w:sz w:val="18"/>
          <w:szCs w:val="18"/>
          <w:color w:val="auto"/>
        </w:rPr>
        <w:t xml:space="preserve"> based on the percentage of the total costs to the estimated total revenue that Schlumberger expects to receive from the sales of such data. However, under no circumstance will an individual survey carry a net book value greater than a 4-year, straight-line amortized value.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Performance Solutions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Asset Performance Solutions (“APS”), formerly Schlumberger Production Management, projects are focused on developing and managing production on behalf of Schlumberger’s clients under long-term agreements. Schlumberger will invest its own services and products, and historically, cash in certain cases,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compensated based upon cash flow generated or on a fee-per-barrel basis. This includes certain arrangements whereby Schlumberger is only compensated based upon incremental production it helps deliver above a mutually agreed baseline. Revenue from APS arrangements, which is recognized as the related production is achieved, represented less than 5% of Schlumberger’s consolidated revenue during each of 2019, 2018 and 2017.</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Schlumberger capitalizes its cash investments in a project as well as the direct costs associated with providing services or products for which Schlumberger will be compensated when the related production is achieved. These capitalized investments are amortized to the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 xml:space="preserve"> as the related production is achieved based on the units of production method, whereby each unit produced is assigned a pro-rata portion of the unamortized costs based on estimated total production, resulting in a matching of revenue with the applicable costs. Amortization expense relating to these capitalized investments was $731 million, $568 million and $465 million in 2019, 2018 and 2017, respectively.</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unamortized portion of Schlumberger’s investments in APS projects was $3.724 billion and $4.201 billion at December 31, 2019 and 2018, respectively. These amounts are included within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Schlumberger’s </w:t>
      </w:r>
      <w:r>
        <w:rPr>
          <w:rFonts w:ascii="Times New Roman" w:cs="Times New Roman" w:eastAsia="Times New Roman" w:hAnsi="Times New Roman"/>
          <w:sz w:val="18"/>
          <w:szCs w:val="18"/>
          <w:i w:val="1"/>
          <w:iCs w:val="1"/>
          <w:color w:val="auto"/>
        </w:rPr>
        <w:t>Consolidated Balance Sheet.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Schlumberger’s assets that are exposed to concentrations of credit risk consist primarily of cash, short-term investments, receivables from clients and derivative financial instruments. Schlumberger places its cash and short-term investments with financial institutions and corporations and limits the amount of credit exposure with any one of them. Schlumberger regularly evaluates the creditworthiness of the issuers in which it invests. By using derivative financial instruments to hedge certain exposures,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generates revenue in more than 120 countries and as such, its accounts receivable are spread over many countries and customers. Accounts receivable in the United States represented 18% of Schlumberger’s accounts receivable balance at December 31, 2019. No other country accounted for greater than 10% of Schlumberger’s accounts receivable balance.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from basic to diluted earnings (loss) per share of Schlumberger for each of the last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jc w:val="center"/>
              <w:ind w:left="114"/>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409"/>
        </w:trPr>
        <w:tc>
          <w:tcPr>
            <w:tcW w:w="6780" w:type="dxa"/>
            <w:vAlign w:val="bottom"/>
          </w:tcPr>
          <w:p>
            <w:pPr>
              <w:spacing w:after="0"/>
              <w:rPr>
                <w:sz w:val="24"/>
                <w:szCs w:val="24"/>
                <w:color w:val="auto"/>
              </w:rPr>
            </w:pPr>
          </w:p>
        </w:tc>
        <w:tc>
          <w:tcPr>
            <w:tcW w:w="16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9"/>
              </w:rPr>
              <w:t>Net Income (Loss)</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5"/>
              </w:rPr>
              <w:t>Average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Attributable to</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Shares</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w w:val="99"/>
              </w:rPr>
              <w:t>Earnings (Loss) per</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Schlumberger</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Outstanding</w:t>
            </w:r>
          </w:p>
        </w:tc>
        <w:tc>
          <w:tcPr>
            <w:tcW w:w="2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Share</w:t>
            </w:r>
          </w:p>
        </w:tc>
        <w:tc>
          <w:tcPr>
            <w:tcW w:w="0" w:type="dxa"/>
            <w:vAlign w:val="bottom"/>
          </w:tcPr>
          <w:p>
            <w:pPr>
              <w:spacing w:after="0"/>
              <w:rPr>
                <w:sz w:val="1"/>
                <w:szCs w:val="1"/>
                <w:color w:val="auto"/>
              </w:rPr>
            </w:pPr>
          </w:p>
        </w:tc>
      </w:tr>
      <w:tr>
        <w:trPr>
          <w:trHeight w:val="221"/>
        </w:trPr>
        <w:tc>
          <w:tcPr>
            <w:tcW w:w="6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(10,137)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260" w:type="dxa"/>
            <w:vAlign w:val="bottom"/>
          </w:tcPr>
          <w:p>
            <w:pPr>
              <w:spacing w:after="0"/>
              <w:rPr>
                <w:sz w:val="23"/>
                <w:szCs w:val="23"/>
                <w:color w:val="auto"/>
              </w:rPr>
            </w:pPr>
          </w:p>
        </w:tc>
        <w:tc>
          <w:tcPr>
            <w:tcW w:w="280" w:type="dxa"/>
            <w:vAlign w:val="bottom"/>
          </w:tcPr>
          <w:p>
            <w:pPr>
              <w:jc w:val="center"/>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(7.32)</w:t>
            </w:r>
          </w:p>
        </w:tc>
        <w:tc>
          <w:tcPr>
            <w:tcW w:w="0" w:type="dxa"/>
            <w:vAlign w:val="bottom"/>
          </w:tcPr>
          <w:p>
            <w:pPr>
              <w:spacing w:after="0"/>
              <w:rPr>
                <w:sz w:val="1"/>
                <w:szCs w:val="1"/>
                <w:color w:val="auto"/>
              </w:rPr>
            </w:pPr>
          </w:p>
        </w:tc>
      </w:tr>
      <w:tr>
        <w:trPr>
          <w:trHeight w:val="205"/>
        </w:trPr>
        <w:tc>
          <w:tcPr>
            <w:tcW w:w="6780" w:type="dxa"/>
            <w:vAlign w:val="bottom"/>
            <w:tcBorders>
              <w:top w:val="single" w:sz="8" w:color="CFF0FC"/>
            </w:tcBorders>
            <w:shd w:val="clear" w:color="auto" w:fill="CFF0FC"/>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Assumed exercise of stock options</w:t>
            </w:r>
          </w:p>
        </w:tc>
        <w:tc>
          <w:tcPr>
            <w:tcW w:w="16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Unvested restricted stock</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(10,137)</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center"/>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(7.32)</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center"/>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Assumed exercise of stock options</w:t>
            </w:r>
          </w:p>
        </w:tc>
        <w:tc>
          <w:tcPr>
            <w:tcW w:w="16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60" w:type="dxa"/>
            <w:vAlign w:val="bottom"/>
            <w:tcBorders>
              <w:bottom w:val="single" w:sz="8" w:color="CFF0FC"/>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60" w:type="dxa"/>
            <w:vAlign w:val="bottom"/>
          </w:tcPr>
          <w:p>
            <w:pPr>
              <w:spacing w:after="0"/>
              <w:rPr>
                <w:sz w:val="23"/>
                <w:szCs w:val="23"/>
                <w:color w:val="auto"/>
              </w:rPr>
            </w:pPr>
          </w:p>
        </w:tc>
        <w:tc>
          <w:tcPr>
            <w:tcW w:w="28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5"/>
        </w:trPr>
        <w:tc>
          <w:tcPr>
            <w:tcW w:w="6780" w:type="dxa"/>
            <w:vAlign w:val="bottom"/>
            <w:tcBorders>
              <w:top w:val="single" w:sz="8" w:color="CFF0FC"/>
            </w:tcBorders>
            <w:shd w:val="clear" w:color="auto" w:fill="CFF0FC"/>
          </w:tcPr>
          <w:p>
            <w:pPr>
              <w:spacing w:after="0" w:line="206" w:lineRule="exact"/>
              <w:rPr>
                <w:sz w:val="20"/>
                <w:szCs w:val="20"/>
                <w:color w:val="auto"/>
              </w:rPr>
            </w:pPr>
            <w:r>
              <w:rPr>
                <w:rFonts w:ascii="Times New Roman" w:cs="Times New Roman" w:eastAsia="Times New Roman" w:hAnsi="Times New Roman"/>
                <w:sz w:val="18"/>
                <w:szCs w:val="18"/>
                <w:color w:val="auto"/>
              </w:rPr>
              <w:t>Assumed exercise of stock options</w:t>
            </w:r>
          </w:p>
        </w:tc>
        <w:tc>
          <w:tcPr>
            <w:tcW w:w="16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center"/>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number of outstanding employee stock options to purchase shares of Schlumberger common stock and unvested restricted stock units that were not included in the computation of diluted earnings/loss per share, because to do so would have had an anti-dilutive effect,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7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Pr>
          <w:p>
            <w:pPr>
              <w:spacing w:after="0"/>
              <w:rPr>
                <w:sz w:val="24"/>
                <w:szCs w:val="24"/>
                <w:color w:val="auto"/>
              </w:rPr>
            </w:pPr>
          </w:p>
        </w:tc>
        <w:tc>
          <w:tcPr>
            <w:tcW w:w="138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4"/>
                <w:szCs w:val="24"/>
                <w:color w:val="auto"/>
              </w:rPr>
            </w:pP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10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657"/>
        </w:trPr>
        <w:tc>
          <w:tcPr>
            <w:tcW w:w="67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67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216" w:lineRule="exact"/>
        <w:rPr>
          <w:sz w:val="20"/>
          <w:szCs w:val="20"/>
          <w:color w:val="auto"/>
        </w:rPr>
      </w:pPr>
    </w:p>
    <w:p>
      <w:pPr>
        <w:ind w:left="220" w:hanging="214"/>
        <w:spacing w:after="0"/>
        <w:tabs>
          <w:tab w:leader="none" w:pos="2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and Credits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recorded the following charges and credits during 2019, 2018 and 2017: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Schlumberger recorded the following charges and credits during 2019, all of which are classified as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w:t>
      </w:r>
      <w:r>
        <w:rPr>
          <w:rFonts w:ascii="Times New Roman" w:cs="Times New Roman" w:eastAsia="Times New Roman" w:hAnsi="Times New Roman"/>
          <w:sz w:val="18"/>
          <w:szCs w:val="18"/>
          <w:color w:val="auto"/>
        </w:rPr>
        <w:t>, except for the gain on the formation of the Sensia joint venture: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4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Pretax</w:t>
            </w:r>
          </w:p>
        </w:tc>
        <w:tc>
          <w:tcPr>
            <w:tcW w:w="320" w:type="dxa"/>
            <w:vAlign w:val="bottom"/>
          </w:tcPr>
          <w:p>
            <w:pPr>
              <w:spacing w:after="0"/>
              <w:rPr>
                <w:sz w:val="24"/>
                <w:szCs w:val="24"/>
                <w:color w:val="auto"/>
              </w:rPr>
            </w:pPr>
          </w:p>
        </w:tc>
        <w:tc>
          <w:tcPr>
            <w:tcW w:w="1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Net</w:t>
            </w:r>
          </w:p>
        </w:tc>
      </w:tr>
      <w:tr>
        <w:trPr>
          <w:trHeight w:val="219"/>
        </w:trPr>
        <w:tc>
          <w:tcPr>
            <w:tcW w:w="4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Fourth quarter:</w:t>
            </w:r>
          </w:p>
        </w:tc>
        <w:tc>
          <w:tcPr>
            <w:tcW w:w="17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North America restructuring</w:t>
            </w:r>
          </w:p>
        </w:tc>
        <w:tc>
          <w:tcPr>
            <w:tcW w:w="20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restructuring</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9"/>
                <w:szCs w:val="19"/>
                <w:color w:val="auto"/>
              </w:rPr>
            </w:pPr>
          </w:p>
        </w:tc>
      </w:tr>
      <w:tr>
        <w:trPr>
          <w:trHeight w:val="22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Workforce reductions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Pension settlement accounting</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r>
      <w:tr>
        <w:trPr>
          <w:trHeight w:val="22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bonds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Gain on formation of Sensia joint venture</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26"/>
        </w:trPr>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Third quarter:</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shd w:val="clear" w:color="auto" w:fill="CFF0FC"/>
          </w:tcPr>
          <w:p>
            <w:pPr>
              <w:spacing w:after="0"/>
              <w:rPr>
                <w:sz w:val="19"/>
                <w:szCs w:val="19"/>
                <w:color w:val="auto"/>
              </w:rPr>
            </w:pPr>
          </w:p>
        </w:tc>
      </w:tr>
      <w:tr>
        <w:trPr>
          <w:trHeight w:val="22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impairment</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North America pressure pumping</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FF0FC"/>
          </w:tcPr>
          <w:p>
            <w:pPr>
              <w:spacing w:after="0"/>
              <w:rPr>
                <w:sz w:val="19"/>
                <w:szCs w:val="19"/>
                <w:color w:val="auto"/>
              </w:rPr>
            </w:pPr>
          </w:p>
        </w:tc>
      </w:tr>
      <w:tr>
        <w:trPr>
          <w:trHeight w:val="22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North America-related</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Argentina</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19"/>
                <w:szCs w:val="19"/>
                <w:color w:val="auto"/>
              </w:rPr>
            </w:pPr>
          </w:p>
        </w:tc>
      </w:tr>
      <w:tr>
        <w:trPr>
          <w:trHeight w:val="22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Equity-method investments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r>
      <w:tr>
        <w:trPr>
          <w:trHeight w:val="226"/>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Asset Performance Solutions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FF0FC"/>
          </w:tcPr>
          <w:p>
            <w:pPr>
              <w:spacing w:after="0"/>
              <w:rPr>
                <w:sz w:val="19"/>
                <w:szCs w:val="19"/>
                <w:color w:val="auto"/>
              </w:rPr>
            </w:pPr>
          </w:p>
        </w:tc>
      </w:tr>
      <w:tr>
        <w:trPr>
          <w:trHeight w:val="226"/>
        </w:trPr>
        <w:tc>
          <w:tcPr>
            <w:tcW w:w="49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FF0FC"/>
            </w:tcBorders>
          </w:tcPr>
          <w:p>
            <w:pPr>
              <w:spacing w:after="0"/>
              <w:rPr>
                <w:sz w:val="19"/>
                <w:szCs w:val="19"/>
                <w:color w:val="auto"/>
              </w:rPr>
            </w:pPr>
          </w:p>
        </w:tc>
      </w:tr>
      <w:tr>
        <w:trPr>
          <w:trHeight w:val="219"/>
        </w:trPr>
        <w:tc>
          <w:tcPr>
            <w:tcW w:w="496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quarter of 2019:</w:t>
      </w:r>
    </w:p>
    <w:p>
      <w:pPr>
        <w:spacing w:after="0" w:line="114" w:lineRule="exact"/>
        <w:rPr>
          <w:sz w:val="20"/>
          <w:szCs w:val="20"/>
          <w:color w:val="auto"/>
        </w:rPr>
      </w:pPr>
    </w:p>
    <w:p>
      <w:pPr>
        <w:ind w:left="740" w:hanging="362"/>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recorded the following restructuring charges during the fourth quarter of 2019:</w:t>
      </w:r>
    </w:p>
    <w:p>
      <w:pPr>
        <w:spacing w:after="0" w:line="111" w:lineRule="exact"/>
        <w:rPr>
          <w:rFonts w:ascii="Times New Roman" w:cs="Times New Roman" w:eastAsia="Times New Roman" w:hAnsi="Times New Roman"/>
          <w:sz w:val="18"/>
          <w:szCs w:val="18"/>
          <w:color w:val="auto"/>
        </w:rPr>
      </w:pPr>
    </w:p>
    <w:p>
      <w:pPr>
        <w:ind w:left="1520" w:hanging="372"/>
        <w:spacing w:after="0" w:line="274" w:lineRule="auto"/>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million associated with facility closures and costs to exit certain activities in North America. These charges included $123 million relating to fixed assets; $55 million of right-of-use assets under operating leases; and $47 million of other exit costs.</w:t>
      </w:r>
    </w:p>
    <w:p>
      <w:pPr>
        <w:spacing w:after="0" w:line="58" w:lineRule="exact"/>
        <w:rPr>
          <w:rFonts w:ascii="Times New Roman" w:cs="Times New Roman" w:eastAsia="Times New Roman" w:hAnsi="Times New Roman"/>
          <w:sz w:val="18"/>
          <w:szCs w:val="18"/>
          <w:color w:val="auto"/>
        </w:rPr>
      </w:pPr>
    </w:p>
    <w:p>
      <w:pPr>
        <w:ind w:left="1520" w:hanging="372"/>
        <w:spacing w:after="0" w:line="274" w:lineRule="auto"/>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million primarily relating to restructuring certain activities outside of North America, which included $68 million associated with assets to be divested and $36 million of facility closure costs.</w:t>
      </w:r>
    </w:p>
    <w:p>
      <w:pPr>
        <w:spacing w:after="0" w:line="58" w:lineRule="exact"/>
        <w:rPr>
          <w:rFonts w:ascii="Times New Roman" w:cs="Times New Roman" w:eastAsia="Times New Roman" w:hAnsi="Times New Roman"/>
          <w:sz w:val="18"/>
          <w:szCs w:val="18"/>
          <w:color w:val="auto"/>
        </w:rPr>
      </w:pPr>
    </w:p>
    <w:p>
      <w:pPr>
        <w:ind w:left="1520" w:hanging="372"/>
        <w:spacing w:after="0"/>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million of severance associated with streamlining its operations and exiting certain activities.</w:t>
      </w:r>
    </w:p>
    <w:p>
      <w:pPr>
        <w:spacing w:after="0" w:line="124" w:lineRule="exact"/>
        <w:rPr>
          <w:rFonts w:ascii="Times New Roman" w:cs="Times New Roman" w:eastAsia="Times New Roman" w:hAnsi="Times New Roman"/>
          <w:sz w:val="18"/>
          <w:szCs w:val="18"/>
          <w:color w:val="auto"/>
        </w:rPr>
      </w:pPr>
    </w:p>
    <w:p>
      <w:pPr>
        <w:jc w:val="both"/>
        <w:ind w:left="740" w:hanging="362"/>
        <w:spacing w:after="0" w:line="253"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of Schlumberger’s defined benefit pension plans offered former Schlumberger employees, who had not yet commenced receiving their pension benefits, an opportunity to receive a lump sum payout of their vested pension benefit. Schlumberger’s pension plans paid $257 million from pension plan assets to those who accepted this offer, thereby reducing its pension benefit obligations. These transactions had no cash impact on Schlumberger, but did result in a non-cash pension settlement charge of $37 million in the fourth quarter of 2019. This settlement charge represented the immediate recognition of the related deferred actuarial losses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740" w:hanging="362"/>
        <w:spacing w:after="0" w:line="277"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fourth quarter of 2019, Schlumberger repurchased certain Senior Notes (see Note 9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which resulted in a $22 million charge.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p>
      <w:pPr>
        <w:jc w:val="both"/>
        <w:ind w:left="740" w:hanging="362"/>
        <w:spacing w:after="0" w:line="251"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1, 2019, Schlumberger and Rockwell completed the formation of Sensia, a joint venture that is the oil and gas industry’s first digitally enabled integrated automation solutions provider. Rockwell Automation owns 53% of the joint venture and Schlumberger owns 47%. In connection with this transaction, Schlumberger received a cash payment of $238 million. Schlumberger will account for its investment under the equity method of accounting. During the fourth quarter of 2019, Schlumberger recorded a $247 million gain as a result of the deconsolidation of certain of its businesses in connection with the formation of the joint venture. This gain, which is equal to the sum of the $238 million of cash proceeds received and the fair value of Schlumberger’s retained noncontrolling investment in the businesses it contributed less the carrying amount of the assets and liabilities of such businesses at the time of the closing, is classified as </w:t>
      </w:r>
      <w:r>
        <w:rPr>
          <w:rFonts w:ascii="Times New Roman" w:cs="Times New Roman" w:eastAsia="Times New Roman" w:hAnsi="Times New Roman"/>
          <w:sz w:val="18"/>
          <w:szCs w:val="18"/>
          <w:i w:val="1"/>
          <w:iCs w:val="1"/>
          <w:color w:val="auto"/>
        </w:rPr>
        <w:t>Gain on formation of Sensia</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of 2019:</w:t>
      </w:r>
    </w:p>
    <w:p>
      <w:pPr>
        <w:sectPr>
          <w:pgSz w:w="11900" w:h="16838" w:orient="portrait"/>
          <w:cols w:equalWidth="0" w:num="1">
            <w:col w:w="11420"/>
          </w:cols>
          <w:pgMar w:left="240" w:top="121" w:right="239" w:bottom="1440" w:gutter="0" w:footer="0" w:header="0"/>
        </w:sectPr>
      </w:pP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August 2019, Schlumberger’s market capitalization deteriorated significantly compared to the end of the second quarter of 2019. Schlumberger’s stock price reached a low not seen since 2005. Additionally, the Philadelphia Oil Services Sector Index, which is comprised of companies in the oil services sector, reached an 18-year low.</w:t>
      </w:r>
    </w:p>
    <w:p>
      <w:pPr>
        <w:spacing w:after="0" w:line="177" w:lineRule="exact"/>
        <w:rPr>
          <w:sz w:val="20"/>
          <w:szCs w:val="20"/>
          <w:color w:val="auto"/>
        </w:rPr>
      </w:pPr>
    </w:p>
    <w:p>
      <w:pPr>
        <w:sectPr>
          <w:pgSz w:w="11900" w:h="16838" w:orient="portrait"/>
          <w:cols w:equalWidth="0" w:num="2">
            <w:col w:w="440" w:space="300"/>
            <w:col w:w="10680"/>
          </w:cols>
          <w:pgMar w:left="240" w:top="121" w:right="239" w:bottom="1440" w:gutter="0" w:footer="0" w:header="0"/>
          <w:type w:val="continuous"/>
        </w:sectPr>
      </w:pPr>
    </w:p>
    <w:p>
      <w:pPr>
        <w:ind w:left="760"/>
        <w:spacing w:after="0" w:line="274" w:lineRule="auto"/>
        <w:rPr>
          <w:sz w:val="20"/>
          <w:szCs w:val="20"/>
          <w:color w:val="auto"/>
        </w:rPr>
      </w:pPr>
      <w:r>
        <w:rPr>
          <w:rFonts w:ascii="Times New Roman" w:cs="Times New Roman" w:eastAsia="Times New Roman" w:hAnsi="Times New Roman"/>
          <w:sz w:val="18"/>
          <w:szCs w:val="18"/>
          <w:color w:val="auto"/>
        </w:rPr>
        <w:t>As a result of these facts, Schlumberger determined that it was more likely than not that the fair value of certain of its reporting units were less than their carrying value. Therefore, Schlumberger performed an interim goodwill impairment test as of August 31, 2019.</w:t>
      </w:r>
    </w:p>
    <w:p>
      <w:pPr>
        <w:spacing w:after="0" w:line="165"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As of August 31, 2019, Schlumberger had 17 reporting units with goodwill balances aggregating $25.0 billion. Schlumberger determined that the fair value of seven of its reporting units, representing approximately $13.8 billion of the goodwill, was substantially in excess of their carrying value. Schlumberger performed a detailed quantitative impairment assessment of the remaining 10 reporting units, which represented $11.2 billion of goodwill. As a result of this assessment, Schlumberger concluded that the goodwill associated with nine of the 10 reporting units was impaired, resulting in an $8.8 billion goodwill impairment charge. This charge primarily relates to Schlumberger’s Drilling and Cameron segments.</w:t>
      </w:r>
    </w:p>
    <w:p>
      <w:pPr>
        <w:spacing w:after="0" w:line="183" w:lineRule="exact"/>
        <w:rPr>
          <w:sz w:val="20"/>
          <w:szCs w:val="20"/>
          <w:color w:val="auto"/>
        </w:rPr>
      </w:pPr>
    </w:p>
    <w:p>
      <w:pPr>
        <w:jc w:val="both"/>
        <w:ind w:left="760"/>
        <w:spacing w:after="0" w:line="260" w:lineRule="auto"/>
        <w:rPr>
          <w:sz w:val="20"/>
          <w:szCs w:val="20"/>
          <w:color w:val="auto"/>
        </w:rPr>
      </w:pPr>
      <w:r>
        <w:rPr>
          <w:rFonts w:ascii="Times New Roman" w:cs="Times New Roman" w:eastAsia="Times New Roman" w:hAnsi="Times New Roman"/>
          <w:sz w:val="18"/>
          <w:szCs w:val="18"/>
          <w:color w:val="auto"/>
        </w:rPr>
        <w:t>Following the $8.8 billion goodwill impairment charge relating to these nine reporting units, only three had a remaining goodwill balance. These three reporting units had goodwill balances which ranged between $0.4 billion and $0.6 billion and aggregated to $1.5 billion as of August 31, 2019. The tenth reporting unit, which was determined not to be impaired, had $0.9 billion of goodwill.</w:t>
      </w:r>
    </w:p>
    <w:p>
      <w:pPr>
        <w:spacing w:after="0" w:line="177"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Schlumberger primarily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183"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 However, given the inherent uncertainty in determining the assumptions underlying a discounted cash flow analysis, actual results may differ from those used in Schlumberger’s valuations which could result in additional impairment charges in the future.</w:t>
      </w:r>
    </w:p>
    <w:p>
      <w:pPr>
        <w:sectPr>
          <w:pgSz w:w="11900" w:h="16838" w:orient="portrait"/>
          <w:cols w:equalWidth="0" w:num="1">
            <w:col w:w="11420"/>
          </w:cols>
          <w:pgMar w:left="240" w:top="121" w:right="239" w:bottom="1440" w:gutter="0" w:footer="0" w:header="0"/>
          <w:type w:val="continuous"/>
        </w:sectPr>
      </w:pPr>
    </w:p>
    <w:p>
      <w:pPr>
        <w:spacing w:after="0" w:line="183" w:lineRule="exact"/>
        <w:rPr>
          <w:sz w:val="20"/>
          <w:szCs w:val="20"/>
          <w:color w:val="auto"/>
        </w:rPr>
      </w:pPr>
    </w:p>
    <w:p>
      <w:pPr>
        <w:jc w:val="both"/>
        <w:ind w:left="760"/>
        <w:spacing w:after="0" w:line="271" w:lineRule="auto"/>
        <w:rPr>
          <w:sz w:val="20"/>
          <w:szCs w:val="20"/>
          <w:color w:val="auto"/>
        </w:rPr>
      </w:pPr>
      <w:r>
        <w:rPr>
          <w:rFonts w:ascii="Times New Roman" w:cs="Times New Roman" w:eastAsia="Times New Roman" w:hAnsi="Times New Roman"/>
          <w:sz w:val="17"/>
          <w:szCs w:val="17"/>
          <w:color w:val="auto"/>
        </w:rPr>
        <w:t>The discount rates utilized to value Schlumberger’s reporting units were between 12.5% and 14.0%, depending on the risks and uncertainty inherent in the respective reporting unit. Assuming all other assumptions and inputs used in each of the respective discounted cash flow analysis were held constant, a 50 basis point increase in the discount rate assumption would have increased the goodwill impairment charge by approximately $0.3 billion. Conversely, assuming all other assumptions and inputs used in each of the respective discounted cash flow analysis were held constant, a 50 basis point decrease in the discount rate assumption would have decreased the goodwill impairment charge by approximately $0.4 billion.</w:t>
      </w:r>
    </w:p>
    <w:p>
      <w:pPr>
        <w:spacing w:after="0" w:line="64" w:lineRule="exact"/>
        <w:rPr>
          <w:sz w:val="20"/>
          <w:szCs w:val="20"/>
          <w:color w:val="auto"/>
        </w:rPr>
      </w:pPr>
    </w:p>
    <w:p>
      <w:pPr>
        <w:jc w:val="both"/>
        <w:ind w:left="740" w:hanging="362"/>
        <w:spacing w:after="0" w:line="282" w:lineRule="auto"/>
        <w:tabs>
          <w:tab w:leader="none" w:pos="7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negative market indicators described above combined with deteriorating market conditions in North America, as well as the results of the previously mentioned fair value determinations of certain of Schlumberger’s reporting units and the appointment of a new Chief Executive Officer (as described below), were all triggering events that indicated that certain of Schlumberger’s long-lived tangible and intangible assets may be impaired.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p>
      <w:pPr>
        <w:jc w:val="both"/>
        <w:ind w:left="760"/>
        <w:spacing w:after="0" w:line="260" w:lineRule="auto"/>
        <w:rPr>
          <w:sz w:val="20"/>
          <w:szCs w:val="20"/>
          <w:color w:val="auto"/>
        </w:rPr>
      </w:pPr>
      <w:r>
        <w:rPr>
          <w:rFonts w:ascii="Times New Roman" w:cs="Times New Roman" w:eastAsia="Times New Roman" w:hAnsi="Times New Roman"/>
          <w:sz w:val="18"/>
          <w:szCs w:val="18"/>
          <w:color w:val="auto"/>
        </w:rPr>
        <w:t>Recoverability testing, which was performed as of August 31, 2019, indicated that long-lived assets associated with certain asset groups were impaired. The estimated fair value of these asset groups was determined to be below their carrying value. As a result, Schlumberger recorded the following impairment and related charges:</w:t>
      </w:r>
    </w:p>
    <w:p>
      <w:pPr>
        <w:spacing w:after="0" w:line="71" w:lineRule="exact"/>
        <w:rPr>
          <w:sz w:val="20"/>
          <w:szCs w:val="20"/>
          <w:color w:val="auto"/>
        </w:rPr>
      </w:pPr>
    </w:p>
    <w:p>
      <w:pPr>
        <w:ind w:left="1520" w:hanging="372"/>
        <w:spacing w:after="0" w:line="274" w:lineRule="auto"/>
        <w:tabs>
          <w:tab w:leader="none" w:pos="15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$1.085 billion of intangible assets, of which $842 million relates to Schlumberger’s 2010 acquisition of Smith International, Inc. The remaining $243 million primarily relates to other acquisitions in North America.</w:t>
      </w:r>
    </w:p>
    <w:p>
      <w:pPr>
        <w:spacing w:after="0" w:line="58" w:lineRule="exact"/>
        <w:rPr>
          <w:rFonts w:ascii="Times New Roman" w:cs="Times New Roman" w:eastAsia="Times New Roman" w:hAnsi="Times New Roman"/>
          <w:sz w:val="18"/>
          <w:szCs w:val="18"/>
          <w:color w:val="auto"/>
        </w:rPr>
      </w:pPr>
    </w:p>
    <w:p>
      <w:pPr>
        <w:jc w:val="both"/>
        <w:ind w:left="1520" w:hanging="372"/>
        <w:spacing w:after="0" w:line="260" w:lineRule="auto"/>
        <w:tabs>
          <w:tab w:leader="none" w:pos="15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$1.575 billion of charges relating to Schlumberger’s pressure pumping business in North America. This amount consists of $1.324 billion of pressure pumping equipment and related assets; $98 million of right-of-use assets under operating leases; $121 million relating to a supply contract; $19 million of inventory; and $13 million of severance.</w:t>
      </w:r>
    </w:p>
    <w:p>
      <w:pPr>
        <w:spacing w:after="0" w:line="70" w:lineRule="exact"/>
        <w:rPr>
          <w:rFonts w:ascii="Times New Roman" w:cs="Times New Roman" w:eastAsia="Times New Roman" w:hAnsi="Times New Roman"/>
          <w:sz w:val="18"/>
          <w:szCs w:val="18"/>
          <w:color w:val="auto"/>
        </w:rPr>
      </w:pPr>
    </w:p>
    <w:p>
      <w:pPr>
        <w:ind w:left="1520" w:right="20" w:hanging="372"/>
        <w:spacing w:after="0" w:line="274" w:lineRule="auto"/>
        <w:tabs>
          <w:tab w:leader="none" w:pos="15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million of charges primarily relating to other businesses in North America, consisting of $230 million of fixed asset impairments, $70 million of inventory write-downs and $10 million of severance.</w:t>
      </w:r>
    </w:p>
    <w:p>
      <w:pPr>
        <w:spacing w:after="0" w:line="71" w:lineRule="exact"/>
        <w:rPr>
          <w:rFonts w:ascii="Times New Roman" w:cs="Times New Roman" w:eastAsia="Times New Roman" w:hAnsi="Times New Roman"/>
          <w:sz w:val="18"/>
          <w:szCs w:val="18"/>
          <w:color w:val="auto"/>
        </w:rPr>
      </w:pPr>
    </w:p>
    <w:p>
      <w:pPr>
        <w:ind w:left="740" w:hanging="362"/>
        <w:spacing w:after="0" w:line="274"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ongoing economic challenges in Argentina, Schlumberger recorded $127 million of charges during the third quarter of 2019. This consists of $72 million of asset impairments, a $26 million devaluation charge and $29 million of severance.</w:t>
      </w:r>
    </w:p>
    <w:p>
      <w:pPr>
        <w:spacing w:after="0" w:line="71"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also recorded the following impairment and restructuring charges during the third quarter of 2019:</w:t>
      </w:r>
    </w:p>
    <w:p>
      <w:pPr>
        <w:spacing w:after="0" w:line="111" w:lineRule="exact"/>
        <w:rPr>
          <w:rFonts w:ascii="Times New Roman" w:cs="Times New Roman" w:eastAsia="Times New Roman" w:hAnsi="Times New Roman"/>
          <w:sz w:val="18"/>
          <w:szCs w:val="18"/>
          <w:color w:val="auto"/>
        </w:rPr>
      </w:pPr>
    </w:p>
    <w:p>
      <w:pPr>
        <w:ind w:left="1520" w:hanging="372"/>
        <w:spacing w:after="0"/>
        <w:tabs>
          <w:tab w:leader="none" w:pos="15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million relating to certain equity method investments that were determined to be other-than-temporarily impaired.</w:t>
      </w:r>
    </w:p>
    <w:p>
      <w:pPr>
        <w:spacing w:after="0" w:line="111" w:lineRule="exact"/>
        <w:rPr>
          <w:rFonts w:ascii="Times New Roman" w:cs="Times New Roman" w:eastAsia="Times New Roman" w:hAnsi="Times New Roman"/>
          <w:sz w:val="18"/>
          <w:szCs w:val="18"/>
          <w:color w:val="auto"/>
        </w:rPr>
      </w:pPr>
    </w:p>
    <w:p>
      <w:pPr>
        <w:ind w:left="1520" w:hanging="372"/>
        <w:spacing w:after="0"/>
        <w:tabs>
          <w:tab w:leader="none" w:pos="15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 million impairment relating to the carrying value of certain smaller APS projects.</w:t>
      </w:r>
    </w:p>
    <w:p>
      <w:pPr>
        <w:spacing w:after="0" w:line="111" w:lineRule="exact"/>
        <w:rPr>
          <w:rFonts w:ascii="Times New Roman" w:cs="Times New Roman" w:eastAsia="Times New Roman" w:hAnsi="Times New Roman"/>
          <w:sz w:val="18"/>
          <w:szCs w:val="18"/>
          <w:color w:val="auto"/>
        </w:rPr>
      </w:pPr>
    </w:p>
    <w:p>
      <w:pPr>
        <w:jc w:val="both"/>
        <w:ind w:left="1520" w:hanging="372"/>
        <w:spacing w:after="0" w:line="260" w:lineRule="auto"/>
        <w:tabs>
          <w:tab w:leader="none" w:pos="15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$242 million of restructuring charges consisting of: $62 million of severance; $57 million relating to the acceleration of stock-based compensation expense associated with certain individuals; $49 million of business divestiture costs; $29 million relating to the repurchase of certain Senior Notes (see Note 9 -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$45 million of other provisions.</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certain of the assets impaired during 2019 was estimated based on the present value of projected future cash flows that the underlying assets are expected to generate. Such estimates included unobservable inputs that required significant judgment.</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third quarter of 2019, Schlumberger’s Board of Directors announced the appointment of a new Chief Executive Officer. As the new Chief Executive Officer further develops and implements his strategy, it may result in additional restructuring charges in future periods. Furthermore, Schlumberger may be required to record additional impairment charges if industry conditions deteriorate.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2018, Schlumberger recorded the following charges and credits: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Pretax</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Tax</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w:t>
            </w:r>
          </w:p>
        </w:tc>
      </w:tr>
      <w:tr>
        <w:trPr>
          <w:trHeight w:val="219"/>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marine seismic acquisition business</w:t>
            </w:r>
          </w:p>
        </w:tc>
        <w:tc>
          <w:tcPr>
            <w:tcW w:w="15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(215)</w:t>
            </w:r>
          </w:p>
        </w:tc>
        <w:tc>
          <w:tcPr>
            <w:tcW w:w="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Workforce reductions</w:t>
            </w:r>
          </w:p>
        </w:tc>
        <w:tc>
          <w:tcPr>
            <w:tcW w:w="1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r>
      <w:tr>
        <w:trPr>
          <w:trHeight w:val="22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15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19"/>
                <w:szCs w:val="19"/>
                <w:color w:val="auto"/>
              </w:rPr>
            </w:pPr>
          </w:p>
        </w:tc>
      </w:tr>
      <w:tr>
        <w:trPr>
          <w:trHeight w:val="219"/>
        </w:trPr>
        <w:tc>
          <w:tcPr>
            <w:tcW w:w="5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left="740" w:hanging="362"/>
        <w:spacing w:after="0" w:line="260"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fourth quarter of 2018, Schlumberger completed the divestiture of its marine seismic acquisition business to Shearwater GeoServices (“Shearwater”) for $600 million of cash and a 15% equity interest in Shearwater. As a result of this transaction, Schlumberger recognized a $215 million gain. This gain is classified in </w:t>
      </w:r>
      <w:r>
        <w:rPr>
          <w:rFonts w:ascii="Times New Roman" w:cs="Times New Roman" w:eastAsia="Times New Roman" w:hAnsi="Times New Roman"/>
          <w:sz w:val="18"/>
          <w:szCs w:val="18"/>
          <w:i w:val="1"/>
          <w:iCs w:val="1"/>
          <w:color w:val="auto"/>
        </w:rPr>
        <w:t>Gain on sale of business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 (Loss).</w:t>
      </w:r>
    </w:p>
    <w:p>
      <w:pPr>
        <w:spacing w:after="0" w:line="70" w:lineRule="exact"/>
        <w:rPr>
          <w:rFonts w:ascii="Times New Roman" w:cs="Times New Roman" w:eastAsia="Times New Roman" w:hAnsi="Times New Roman"/>
          <w:sz w:val="18"/>
          <w:szCs w:val="18"/>
          <w:color w:val="auto"/>
        </w:rPr>
      </w:pPr>
    </w:p>
    <w:p>
      <w:pPr>
        <w:ind w:left="740" w:right="20" w:hanging="362"/>
        <w:spacing w:after="0" w:line="274"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fourth quarter of 2018, Schlumberger recorded $172 million of charges to fully impair certain long-lived assets. This amount is classified in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w:t>
      </w:r>
    </w:p>
    <w:p>
      <w:pPr>
        <w:spacing w:after="0" w:line="58" w:lineRule="exact"/>
        <w:rPr>
          <w:rFonts w:ascii="Times New Roman" w:cs="Times New Roman" w:eastAsia="Times New Roman" w:hAnsi="Times New Roman"/>
          <w:sz w:val="18"/>
          <w:szCs w:val="18"/>
          <w:color w:val="auto"/>
        </w:rPr>
      </w:pPr>
    </w:p>
    <w:p>
      <w:pPr>
        <w:ind w:left="740" w:hanging="362"/>
        <w:spacing w:after="0" w:line="274"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second quarter of 2018, Schlumberger recorded a $184 million charge associated with workforce reductions, primarily to further streamline its support cost structure. This charge is classified in </w:t>
      </w:r>
      <w:r>
        <w:rPr>
          <w:rFonts w:ascii="Times New Roman" w:cs="Times New Roman" w:eastAsia="Times New Roman" w:hAnsi="Times New Roman"/>
          <w:sz w:val="18"/>
          <w:szCs w:val="18"/>
          <w:i w:val="1"/>
          <w:iCs w:val="1"/>
          <w:color w:val="auto"/>
        </w:rPr>
        <w:t>Impairment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2017</w:t>
      </w:r>
    </w:p>
    <w:p>
      <w:pPr>
        <w:spacing w:after="0" w:line="112" w:lineRule="exact"/>
        <w:rPr>
          <w:sz w:val="20"/>
          <w:szCs w:val="20"/>
          <w:color w:val="auto"/>
        </w:rPr>
      </w:pPr>
    </w:p>
    <w:p>
      <w:pPr>
        <w:ind w:left="380" w:right="20"/>
        <w:spacing w:after="0" w:line="277" w:lineRule="auto"/>
        <w:rPr>
          <w:sz w:val="20"/>
          <w:szCs w:val="20"/>
          <w:color w:val="auto"/>
        </w:rPr>
      </w:pPr>
      <w:r>
        <w:rPr>
          <w:rFonts w:ascii="Times New Roman" w:cs="Times New Roman" w:eastAsia="Times New Roman" w:hAnsi="Times New Roman"/>
          <w:sz w:val="18"/>
          <w:szCs w:val="18"/>
          <w:color w:val="auto"/>
        </w:rPr>
        <w:t xml:space="preserve">Schlumberger recorded the following charges and credits during 2017, of which $3.211 billion were classified as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$245 million were classified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and $308 million were classified as </w:t>
      </w:r>
      <w:r>
        <w:rPr>
          <w:rFonts w:ascii="Times New Roman" w:cs="Times New Roman" w:eastAsia="Times New Roman" w:hAnsi="Times New Roman"/>
          <w:sz w:val="18"/>
          <w:szCs w:val="18"/>
          <w:i w:val="1"/>
          <w:iCs w:val="1"/>
          <w:color w:val="auto"/>
        </w:rPr>
        <w:t>Merger &amp; integration</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1"/>
        </w:trPr>
        <w:tc>
          <w:tcPr>
            <w:tcW w:w="5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5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Pretax</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Pr>
          <w:p>
            <w:pPr>
              <w:spacing w:after="0"/>
              <w:rPr>
                <w:sz w:val="20"/>
                <w:szCs w:val="20"/>
                <w:color w:val="auto"/>
              </w:rPr>
            </w:pP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Impairment &amp; other</w:t>
            </w: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WesternGeco seismic restructuring charges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50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Venezuela investment write-down</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Promissory note fair value adjustment and other</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Workforce reductions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Multiclient seismic data impairment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sales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loss on long-term construction project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Merger &amp; integration</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Merger and integration-related costs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US tax reform charge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r>
      <w:tr>
        <w:trPr>
          <w:trHeight w:val="219"/>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740" w:hanging="362"/>
        <w:spacing w:after="0" w:line="253"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2017, Schlumberger decided to cease all future marine seismic acquisition activities, after satisfying its remaining contractual commitments. This decision resulted in a charge of $1.025 billion consisting of the following: $786 million write-down of the vessels to their estimated fair value; $78 million impairment of intangible assets; $59 million write-down of inventory, and $102 million of other related restructuring costs. The fair value of the vessels was determined based on unobservable inputs that required significant judgments. Schlumberger also recorded a $90 million impairment charge relating to its land seismic business.</w:t>
      </w:r>
    </w:p>
    <w:p>
      <w:pPr>
        <w:spacing w:after="0" w:line="77" w:lineRule="exact"/>
        <w:rPr>
          <w:rFonts w:ascii="Times New Roman" w:cs="Times New Roman" w:eastAsia="Times New Roman" w:hAnsi="Times New Roman"/>
          <w:sz w:val="18"/>
          <w:szCs w:val="18"/>
          <w:color w:val="auto"/>
        </w:rPr>
      </w:pPr>
    </w:p>
    <w:p>
      <w:pPr>
        <w:jc w:val="both"/>
        <w:ind w:left="740" w:hanging="362"/>
        <w:spacing w:after="0" w:line="260"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unfavorable near-term outlook for exploration spending, Schlumberger determined in the fourth quarter of 2017 that the carrying value of certain multiclient seismic data, primarily related to the US Gulf of Mexico, was impaired, resulting in a $246 million charge that was estimated based on the projected present value of future cash flows these surveys are expected to generate.</w:t>
      </w:r>
    </w:p>
    <w:p>
      <w:pPr>
        <w:spacing w:after="0" w:line="70" w:lineRule="exact"/>
        <w:rPr>
          <w:rFonts w:ascii="Times New Roman" w:cs="Times New Roman" w:eastAsia="Times New Roman" w:hAnsi="Times New Roman"/>
          <w:sz w:val="18"/>
          <w:szCs w:val="18"/>
          <w:color w:val="auto"/>
        </w:rPr>
      </w:pPr>
    </w:p>
    <w:p>
      <w:pPr>
        <w:jc w:val="both"/>
        <w:ind w:left="740" w:hanging="362"/>
        <w:spacing w:after="0" w:line="255"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2017, Schlumberger determined that it was appropriate to write-down its investment in Venezuela, given the recent economic and political developments in the country which have created significant uncertainties regarding recoverability. As a result, Schlumberger recorded a charge of $938 million, reflecting $469 million of accounts receivable, a $105 million other-than-temporary impairment charge relating to certain promissory notes, $285 million of fixed assets and $79 million of other assets in the country.</w:t>
      </w:r>
    </w:p>
    <w:p>
      <w:pPr>
        <w:spacing w:after="0" w:line="76" w:lineRule="exact"/>
        <w:rPr>
          <w:rFonts w:ascii="Times New Roman" w:cs="Times New Roman" w:eastAsia="Times New Roman" w:hAnsi="Times New Roman"/>
          <w:sz w:val="18"/>
          <w:szCs w:val="18"/>
          <w:color w:val="auto"/>
        </w:rPr>
      </w:pPr>
    </w:p>
    <w:p>
      <w:pPr>
        <w:ind w:left="740" w:hanging="362"/>
        <w:spacing w:after="0" w:line="274"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2017, Schlumberger recorded a $245 million charge related to an estimated loss on a long-term surface facility construction project.</w:t>
      </w:r>
    </w:p>
    <w:p>
      <w:pPr>
        <w:spacing w:after="0" w:line="58" w:lineRule="exact"/>
        <w:rPr>
          <w:rFonts w:ascii="Times New Roman" w:cs="Times New Roman" w:eastAsia="Times New Roman" w:hAnsi="Times New Roman"/>
          <w:sz w:val="18"/>
          <w:szCs w:val="18"/>
          <w:color w:val="auto"/>
        </w:rPr>
      </w:pPr>
    </w:p>
    <w:p>
      <w:pPr>
        <w:ind w:left="740" w:hanging="362"/>
        <w:spacing w:after="0"/>
        <w:tabs>
          <w:tab w:leader="none" w:pos="7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Schlumberger recorded $156 million of other restructuring charges during the fourth quarter of 2017, primarily relating to facility and other exit costs.</w:t>
      </w:r>
    </w:p>
    <w:p>
      <w:pPr>
        <w:spacing w:after="0" w:line="123" w:lineRule="exact"/>
        <w:rPr>
          <w:rFonts w:ascii="Times New Roman" w:cs="Times New Roman" w:eastAsia="Times New Roman" w:hAnsi="Times New Roman"/>
          <w:sz w:val="17"/>
          <w:szCs w:val="17"/>
          <w:color w:val="auto"/>
        </w:rPr>
      </w:pPr>
    </w:p>
    <w:p>
      <w:pPr>
        <w:ind w:left="740" w:hanging="362"/>
        <w:spacing w:after="0" w:line="274"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2017, Schlumberger recorded a $247 million charge associated with workforce reductions primarily to further streamline its support cost structure.</w:t>
      </w:r>
    </w:p>
    <w:p>
      <w:pPr>
        <w:spacing w:after="0" w:line="58" w:lineRule="exact"/>
        <w:rPr>
          <w:rFonts w:ascii="Times New Roman" w:cs="Times New Roman" w:eastAsia="Times New Roman" w:hAnsi="Times New Roman"/>
          <w:sz w:val="18"/>
          <w:szCs w:val="18"/>
          <w:color w:val="auto"/>
        </w:rPr>
      </w:pPr>
    </w:p>
    <w:p>
      <w:pPr>
        <w:jc w:val="both"/>
        <w:ind w:left="740" w:hanging="362"/>
        <w:spacing w:after="0" w:line="249"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22, 2017, the US enacted the Tax Cuts and Jobs Act (the “Act”). The Act, which is also commonly referred to as “US tax reform,” significantly changes US corporate income tax laws by, among other things, reducing the US corporate income tax rate to 21% starting in 2018 and creating a territorial tax system with a one-time mandatory tax on previously deferred foreign earnings of US subsidiaries. As a result, Schlumberger recorded a net charge of $76 million during the fourth quarter of 2017. This amount, which is included in </w:t>
      </w:r>
      <w:r>
        <w:rPr>
          <w:rFonts w:ascii="Times New Roman" w:cs="Times New Roman" w:eastAsia="Times New Roman" w:hAnsi="Times New Roman"/>
          <w:sz w:val="18"/>
          <w:szCs w:val="18"/>
          <w:i w:val="1"/>
          <w:iCs w:val="1"/>
          <w:color w:val="auto"/>
        </w:rPr>
        <w:t>Tax expense (benefit)</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of Income (Loss)</w:t>
      </w:r>
      <w:r>
        <w:rPr>
          <w:rFonts w:ascii="Times New Roman" w:cs="Times New Roman" w:eastAsia="Times New Roman" w:hAnsi="Times New Roman"/>
          <w:sz w:val="18"/>
          <w:szCs w:val="18"/>
          <w:color w:val="auto"/>
        </w:rPr>
        <w:t>, consists of two components: (i) a $410 million charge relating to the one-time mandatory tax on previously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earnings of certain non-US subsidiaries that are owned either wholly or partially by a US subsidiary of Schlumberger, and (ii) a $334 million credit resulting from the remeasurement of Schlumberger’s net deferred tax liabilities in the US based on the new lower corporate income tax rate. Although the $76 million net charge represented what Schlumberger believed was a reasonable estimate of the impact of the income tax effects of the Act on Schlumberger’s </w:t>
      </w:r>
      <w:r>
        <w:rPr>
          <w:rFonts w:ascii="Times New Roman" w:cs="Times New Roman" w:eastAsia="Times New Roman" w:hAnsi="Times New Roman"/>
          <w:sz w:val="18"/>
          <w:szCs w:val="18"/>
          <w:i w:val="1"/>
          <w:iCs w:val="1"/>
          <w:color w:val="auto"/>
        </w:rPr>
        <w:t>Consolidated Financial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38" w:name="page39"/>
    <w:bookmarkEnd w:id="38"/>
    <w:p>
      <w:pPr>
        <w:jc w:val="both"/>
        <w:ind w:left="740"/>
        <w:spacing w:after="0" w:line="260" w:lineRule="auto"/>
        <w:rPr>
          <w:sz w:val="20"/>
          <w:szCs w:val="20"/>
          <w:color w:val="auto"/>
        </w:rPr>
      </w:pPr>
      <w:r>
        <w:rPr>
          <w:rFonts w:ascii="Times New Roman" w:cs="Times New Roman" w:eastAsia="Times New Roman" w:hAnsi="Times New Roman"/>
          <w:sz w:val="18"/>
          <w:szCs w:val="18"/>
          <w:color w:val="auto"/>
        </w:rPr>
        <w:t>as of December 31, 2017, it was considered provisional. During 2018, Schlumberger finalized its accounting for this matter and concluded that no material adjustments were required. After considering the impact of foreign tax credits and tax losses, the resulting cash tax payable as a result of the one-time mandatory tax on previously deferred foreign earnings of Schlumberger’s US subsidiary was not significant.</w:t>
      </w:r>
    </w:p>
    <w:p>
      <w:pPr>
        <w:spacing w:after="0" w:line="71" w:lineRule="exact"/>
        <w:rPr>
          <w:sz w:val="20"/>
          <w:szCs w:val="20"/>
          <w:color w:val="auto"/>
        </w:rPr>
      </w:pPr>
    </w:p>
    <w:p>
      <w:pPr>
        <w:jc w:val="both"/>
        <w:ind w:left="740" w:hanging="362"/>
        <w:spacing w:after="0" w:line="251" w:lineRule="auto"/>
        <w:tabs>
          <w:tab w:leader="none" w:pos="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2017, Schlumberger entered into a financing agreement with its primary customer in Venezuela. This agreement resulted in the exchange of $700 million of outstanding accounts receivable for promissory notes with a three-year term that bear interest at the rate of 6.50% per annum. Schlumberger recorded these notes at their estimated fair value on the date of the exchange, which resulted in a charge of $460 million. Following the $105 million other-than-temporary impairment charge described above, the new cost basis of these promissory notes was $135 million, which approximated their fair value at December 31, 2017. Schlumberger sold these promissory notes during the fourth quarter of 2018, which resulted in an immaterial loss.</w:t>
      </w:r>
    </w:p>
    <w:p>
      <w:pPr>
        <w:spacing w:after="0" w:line="81" w:lineRule="exact"/>
        <w:rPr>
          <w:rFonts w:ascii="Times New Roman" w:cs="Times New Roman" w:eastAsia="Times New Roman" w:hAnsi="Times New Roman"/>
          <w:sz w:val="18"/>
          <w:szCs w:val="18"/>
          <w:color w:val="auto"/>
        </w:rPr>
      </w:pPr>
    </w:p>
    <w:p>
      <w:pPr>
        <w:ind w:left="740" w:right="40" w:hanging="362"/>
        <w:spacing w:after="0" w:line="305" w:lineRule="auto"/>
        <w:tabs>
          <w:tab w:leader="none" w:pos="74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second quarter of 2017, Schlumberger entered into discussions with a customer relating to certain of its outstanding accounts receivable. As a result of these discussions, Schlumberger recorded a charge of $50 million to adjust these receivables to their estimated net realizable value.</w:t>
      </w:r>
    </w:p>
    <w:p>
      <w:pPr>
        <w:spacing w:after="0" w:line="34" w:lineRule="exact"/>
        <w:rPr>
          <w:rFonts w:ascii="Times New Roman" w:cs="Times New Roman" w:eastAsia="Times New Roman" w:hAnsi="Times New Roman"/>
          <w:sz w:val="17"/>
          <w:szCs w:val="17"/>
          <w:color w:val="auto"/>
        </w:rPr>
      </w:pPr>
    </w:p>
    <w:p>
      <w:pPr>
        <w:ind w:left="740" w:hanging="362"/>
        <w:spacing w:after="0" w:line="274" w:lineRule="auto"/>
        <w:tabs>
          <w:tab w:leader="none" w:pos="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recorded $308 million of charges during 2017 relating to employee benefits, facility closures and other merger and integration-related costs, primarily in connection with Schlumberger’s 2016 acquisition of Cameron International Corporation.</w:t>
      </w:r>
    </w:p>
    <w:p>
      <w:pPr>
        <w:spacing w:after="0" w:line="162" w:lineRule="exact"/>
        <w:rPr>
          <w:rFonts w:ascii="Times New Roman" w:cs="Times New Roman" w:eastAsia="Times New Roman" w:hAnsi="Times New Roman"/>
          <w:sz w:val="18"/>
          <w:szCs w:val="18"/>
          <w:color w:val="auto"/>
        </w:rPr>
      </w:pPr>
    </w:p>
    <w:p>
      <w:pPr>
        <w:ind w:left="220" w:hanging="214"/>
        <w:spacing w:after="0"/>
        <w:tabs>
          <w:tab w:leader="none" w:pos="2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which are stated at the lower of average cost or net realizable value,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18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670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Fixed Assets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78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assets consist of the following:</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18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670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300" w:type="dxa"/>
            <w:vAlign w:val="bottom"/>
            <w:gridSpan w:val="2"/>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&amp; improvements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9,270</w:t>
            </w:r>
          </w:p>
        </w:tc>
        <w:tc>
          <w:tcPr>
            <w:tcW w:w="300" w:type="dxa"/>
            <w:vAlign w:val="bottom"/>
            <w:gridSpan w:val="2"/>
          </w:tcPr>
          <w:p>
            <w:pPr>
              <w:spacing w:after="0"/>
              <w:rPr>
                <w:sz w:val="19"/>
                <w:szCs w:val="19"/>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estimated useful lives of Buildings &amp; improvements are primarily 25 to 30 years. The estimated useful lives of Machinery &amp; equipment are primarily 5 to 10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which is recorded on a straight-line basis, was $2.0 billion, $2.1 billion and $2.3 billion in 2019, 2018 and 2017, respectively.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220" w:hanging="214"/>
        <w:spacing w:after="0"/>
        <w:tabs>
          <w:tab w:leader="none" w:pos="2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Multiclient Seismic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multiclient seismic data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180" w:type="dxa"/>
            <w:vAlign w:val="bottom"/>
            <w:tcBorders>
              <w:bottom w:val="single" w:sz="8" w:color="CFF0FC"/>
            </w:tcBorders>
          </w:tcPr>
          <w:p>
            <w:pPr>
              <w:spacing w:after="0"/>
              <w:rPr>
                <w:sz w:val="24"/>
                <w:szCs w:val="24"/>
                <w:color w:val="auto"/>
              </w:rPr>
            </w:pPr>
          </w:p>
        </w:tc>
        <w:tc>
          <w:tcPr>
            <w:tcW w:w="700" w:type="dxa"/>
            <w:vAlign w:val="bottom"/>
            <w:tcBorders>
              <w:bottom w:val="single" w:sz="8" w:color="CFF0FC"/>
            </w:tcBorders>
          </w:tcPr>
          <w:p>
            <w:pPr>
              <w:spacing w:after="0"/>
              <w:rPr>
                <w:sz w:val="24"/>
                <w:szCs w:val="24"/>
                <w:color w:val="auto"/>
              </w:rPr>
            </w:pPr>
          </w:p>
        </w:tc>
        <w:tc>
          <w:tcPr>
            <w:tcW w:w="600" w:type="dxa"/>
            <w:vAlign w:val="bottom"/>
            <w:tcBorders>
              <w:bottom w:val="single" w:sz="8" w:color="CFF0FC"/>
            </w:tcBorders>
          </w:tcPr>
          <w:p>
            <w:pPr>
              <w:spacing w:after="0"/>
              <w:rPr>
                <w:sz w:val="24"/>
                <w:szCs w:val="24"/>
                <w:color w:val="auto"/>
              </w:rPr>
            </w:pPr>
          </w:p>
        </w:tc>
        <w:tc>
          <w:tcPr>
            <w:tcW w:w="194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7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60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Capitalized in period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Charged to expense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Goodwill</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34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5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were as follows: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Reservoir</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Characterization</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Drilling</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Production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Cameron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9"/>
        </w:trPr>
        <w:tc>
          <w:tcPr>
            <w:tcW w:w="342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4,697</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25,118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divestiture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(175)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6"/>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Impact of changes in exchange rates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74"/>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9"/>
        </w:trPr>
        <w:tc>
          <w:tcPr>
            <w:tcW w:w="342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4,678</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74"/>
              <w:spacing w:after="0"/>
              <w:rPr>
                <w:sz w:val="20"/>
                <w:szCs w:val="20"/>
                <w:color w:val="auto"/>
              </w:rPr>
            </w:pPr>
            <w:r>
              <w:rPr>
                <w:rFonts w:ascii="Times New Roman" w:cs="Times New Roman" w:eastAsia="Times New Roman" w:hAnsi="Times New Roman"/>
                <w:sz w:val="18"/>
                <w:szCs w:val="18"/>
                <w:color w:val="auto"/>
              </w:rPr>
              <w:t>(705)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(5,001)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(8,828)</w:t>
            </w:r>
          </w:p>
        </w:tc>
        <w:tc>
          <w:tcPr>
            <w:tcW w:w="0" w:type="dxa"/>
            <w:vAlign w:val="bottom"/>
          </w:tcPr>
          <w:p>
            <w:pPr>
              <w:spacing w:after="0"/>
              <w:rPr>
                <w:sz w:val="1"/>
                <w:szCs w:val="1"/>
                <w:color w:val="auto"/>
              </w:rPr>
            </w:pPr>
          </w:p>
        </w:tc>
      </w:tr>
      <w:tr>
        <w:trPr>
          <w:trHeight w:val="226"/>
        </w:trPr>
        <w:tc>
          <w:tcPr>
            <w:tcW w:w="34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changes in exchange rates and other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9"/>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34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49"/>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5"/>
              </w:rPr>
              <w:t>Net Book</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w w:val="99"/>
              </w:rPr>
              <w:t>Gross</w:t>
            </w:r>
          </w:p>
        </w:tc>
        <w:tc>
          <w:tcPr>
            <w:tcW w:w="20" w:type="dxa"/>
            <w:vAlign w:val="bottom"/>
          </w:tcPr>
          <w:p>
            <w:pPr>
              <w:spacing w:after="0"/>
              <w:rPr>
                <w:sz w:val="19"/>
                <w:szCs w:val="19"/>
                <w:color w:val="auto"/>
              </w:rPr>
            </w:pPr>
          </w:p>
        </w:tc>
        <w:tc>
          <w:tcPr>
            <w:tcW w:w="132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color w:val="auto"/>
                <w:w w:val="97"/>
              </w:rPr>
              <w:t>Accumulated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Net Book</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Book Value</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w w:val="94"/>
              </w:rPr>
              <w:t>Book Value</w:t>
            </w:r>
          </w:p>
        </w:tc>
        <w:tc>
          <w:tcPr>
            <w:tcW w:w="20" w:type="dxa"/>
            <w:vAlign w:val="bottom"/>
          </w:tcPr>
          <w:p>
            <w:pPr>
              <w:spacing w:after="0"/>
              <w:rPr>
                <w:sz w:val="20"/>
                <w:szCs w:val="20"/>
                <w:color w:val="auto"/>
              </w:rPr>
            </w:pPr>
          </w:p>
        </w:tc>
        <w:tc>
          <w:tcPr>
            <w:tcW w:w="132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color w:val="auto"/>
                <w:w w:val="97"/>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19"/>
        </w:trPr>
        <w:tc>
          <w:tcPr>
            <w:tcW w:w="342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3,779</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2,911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Technology/Technical Know-How</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2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9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9,676</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2,587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7,089</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Customer relationships are generally amortized over periods ranging from 18 to 28 years, technology/technical know-how are generally amortized over periods ranging from 10 to 18 years, and tradenames are generally amortized over periods ranging from 15 to 30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$618 million in 2019, $673 million in 2018 and $663 million in 2017.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carrying value of intangible assets at December 31, 2019, amortization expense for the subsequent five years is estimated to be as follows: 2020: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 million, 2021: $521 million, 2022: $497 million, 2023: $476 million and 2024: $472 million.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0" w:name="page41"/>
    <w:bookmarkEnd w:id="40"/>
    <w:p>
      <w:pPr>
        <w:ind w:left="180" w:hanging="174"/>
        <w:spacing w:after="0"/>
        <w:tabs>
          <w:tab w:leader="none" w:pos="1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Long-term Debt and Debt Facility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consists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480" w:type="dxa"/>
            <w:vAlign w:val="bottom"/>
            <w:tcBorders>
              <w:bottom w:val="single" w:sz="8" w:color="CFF0FC"/>
            </w:tcBorders>
          </w:tcPr>
          <w:p>
            <w:pPr>
              <w:spacing w:after="0"/>
              <w:rPr>
                <w:sz w:val="24"/>
                <w:szCs w:val="24"/>
                <w:color w:val="auto"/>
              </w:rPr>
            </w:pPr>
          </w:p>
        </w:tc>
        <w:tc>
          <w:tcPr>
            <w:tcW w:w="7340" w:type="dxa"/>
            <w:vAlign w:val="bottom"/>
            <w:tcBorders>
              <w:bottom w:val="single" w:sz="8" w:color="CFF0F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FF0FC"/>
            </w:tcBorders>
          </w:tcPr>
          <w:p>
            <w:pPr>
              <w:spacing w:after="0"/>
              <w:rPr>
                <w:sz w:val="24"/>
                <w:szCs w:val="24"/>
                <w:color w:val="auto"/>
              </w:rPr>
            </w:pPr>
          </w:p>
        </w:tc>
      </w:tr>
      <w:tr>
        <w:trPr>
          <w:trHeight w:val="219"/>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3.30%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1040" w:type="dxa"/>
            <w:vAlign w:val="bottom"/>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3.65%</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3.90%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2.40%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4.00%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 Senior Notes due 2029</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3.75%</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2024</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1.00%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Notes due 2026</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4.20%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2.65%</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0.00%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0.25%</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2027</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0.50%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2031</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3.63%</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7.00%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2038</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5.95%</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2041</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5.13%</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2043</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4.00%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2023</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3.70%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3.00%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2020</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2.20%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2020</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4.50%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2021</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3.60%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2022</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 borrowings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3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FF0FC"/>
          </w:tcPr>
          <w:p>
            <w:pPr>
              <w:spacing w:after="0"/>
              <w:rPr>
                <w:sz w:val="19"/>
                <w:szCs w:val="19"/>
                <w:color w:val="auto"/>
              </w:rPr>
            </w:pPr>
          </w:p>
        </w:tc>
      </w:tr>
      <w:tr>
        <w:trPr>
          <w:trHeight w:val="219"/>
        </w:trPr>
        <w:tc>
          <w:tcPr>
            <w:tcW w:w="48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04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14,770</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2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During the fourth quarter of 2019, Schlumberger repurchased the remaining $416 million of its 3.00% Senior Notes due 2020; $126 million of its 4.50% Senior Notes due 2021; $500 million of its 4.20% Senior Notes due 2021; and $106 million of its 3.60% Senior Notes due 2022. Schlumberger paid a premium of $28 million in connection with these repurchases. This premium, net of related credits, was classified as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(Loss)</w:t>
      </w:r>
      <w:r>
        <w:rPr>
          <w:rFonts w:ascii="Times New Roman" w:cs="Times New Roman" w:eastAsia="Times New Roman" w:hAnsi="Times New Roman"/>
          <w:sz w:val="18"/>
          <w:szCs w:val="18"/>
          <w:color w:val="auto"/>
        </w:rPr>
        <w:t>. (See Note 3 -</w:t>
      </w:r>
      <w:r>
        <w:rPr>
          <w:rFonts w:ascii="Times New Roman" w:cs="Times New Roman" w:eastAsia="Times New Roman" w:hAnsi="Times New Roman"/>
          <w:sz w:val="18"/>
          <w:szCs w:val="18"/>
          <w:i w:val="1"/>
          <w:iCs w:val="1"/>
          <w:color w:val="auto"/>
        </w:rPr>
        <w:t xml:space="preserve"> Charges and Credits</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third quarter of 2019, Schlumberger issued €500 million of 0.00% Notes due 2024, €500 million of 0.25% Notes due 2027 and €500 million of 0.50% Notes due 2031.</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During the third quarter of 2019, Schlumberger repurchased $783 million of its 3.00% Senior Notes due 2020 and $321 million of its 3.625% Senior Notes due 2022. Schlumberger paid a premium of $29 million in connection with these repurchases. This premium was classified as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 (See Note 3 -</w:t>
      </w:r>
      <w:r>
        <w:rPr>
          <w:rFonts w:ascii="Times New Roman" w:cs="Times New Roman" w:eastAsia="Times New Roman" w:hAnsi="Times New Roman"/>
          <w:sz w:val="18"/>
          <w:szCs w:val="18"/>
          <w:i w:val="1"/>
          <w:iCs w:val="1"/>
          <w:color w:val="auto"/>
        </w:rPr>
        <w:t xml:space="preserve"> Charges and Credits.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second quarter of 2019, Schlumberger completed a debt exchange offer, pursuant to which it issued $1.500 billion in principal of 3.90% Senior Notes due 2028 (the “New Notes”) in exchange for $401 million of 3.00% Senior Notes due 2020, $234 million of 3.63% Senior Notes due 2022 and $817 million of 4.00% Senior Notes due 2025. In connection with the exchange of principal, Schlumberger paid a premium of $48 million, substantially all of which was in the form of New Notes. This premium is being amortized as additional interest expense over the term of the New Notes.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2019 Schlumberger issued $750 million of 3.75% Senior Notes due 2024 and $850 million of 4.30% Senior Notes due 2029.</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2018, Schlumberger issued €600 million of 1.00% Guaranteed Notes due 2026.</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2019, Schlumberger had separate committed credit facility agreements aggregating $6.5 billion with commercial banks, of which $4.3 billion was available and unused. These committed facilities support commercial paper programs in the United States and Europe, and $1.0 billion matures in February 2020, $2.0 billion matures in February 2023, $2.0 billion matures in February 2024 and $1.5 billion matures in July 2024 . Interest rates and other terms of borrowing under these lines of credit vary from country to country.</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Commercial paper borrowings are classified as long-term debt to the extent they are backed up by available and unused committed credit facilities maturing in more than one year and to the extent it is Schlumberger’s intent to maintain these obligations for longer than one year. Borrowings under the commercial paper programs at December 31, 2019 were $2.2 billion, all of which was classified 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w:t>
      </w:r>
      <w:r>
        <w:rPr>
          <w:rFonts w:ascii="Times New Roman" w:cs="Times New Roman" w:eastAsia="Times New Roman" w:hAnsi="Times New Roman"/>
          <w:sz w:val="18"/>
          <w:szCs w:val="18"/>
          <w:color w:val="auto"/>
        </w:rPr>
        <w:t xml:space="preserve"> Sheet. At December 31, 2018, borrowings under the commercial paper programs were $2.4 billion, all of which was classified 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on variable rate debt as of December 31, 2019 was 2.3%.</w:t>
      </w:r>
    </w:p>
    <w:p>
      <w:pPr>
        <w:spacing w:after="0" w:line="2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as of December 31, 2019 is due as follows: $2.3 billion in 2021, $1.9 billion in 2022, $1.9 billion in 2023, $3.2 billion in 2024, $0.9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$0.7 billion in 2026 and $3.9 billion thereafter.</w:t>
      </w:r>
    </w:p>
    <w:p>
      <w:pPr>
        <w:spacing w:after="0" w:line="15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fair value of Schlumberger’s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at December 31, 2019 and December 31, 2018 was $15.3 billion and $14.6 billion, respectively, and was estimated based on quoted market prices.</w:t>
      </w:r>
    </w:p>
    <w:p>
      <w:pPr>
        <w:spacing w:after="0" w:line="16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Schlumberger Limited fully and unconditionally guarantees the securities issued by certain of its subsidiaries, including securities issued by Schlumberger Investment SA, a wholly-owned finance subsidiary of Schlumberger.</w:t>
      </w:r>
    </w:p>
    <w:p>
      <w:pPr>
        <w:spacing w:after="0" w:line="163" w:lineRule="exact"/>
        <w:rPr>
          <w:sz w:val="20"/>
          <w:szCs w:val="20"/>
          <w:color w:val="auto"/>
        </w:rPr>
      </w:pPr>
    </w:p>
    <w:p>
      <w:pPr>
        <w:ind w:left="280" w:hanging="274"/>
        <w:spacing w:after="0"/>
        <w:tabs>
          <w:tab w:leader="none" w:pos="2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11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Schlumberger is exposed to market risks related to fluctuations in interest rates and foreign currency exchange rates. To mitigate these risks, Schlumberger utilizes derivative instruments. Schlumberger does not enter into derivative transactions for speculative purposes.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to mitigate the exposure to changes in interest rates.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2019, Schlumberger had fixed rate debt aggregating $12.9 billion and variable rate debt aggregating $2.4 billion.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multinational company, Schlumberger conducts its business in over 120 countries. Schlumberger’s functional currency is primarily the US dollar. Approximately 78% of Schlumberger’s revenues in 2019 were denominated in US dollars.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Balance Sheet </w:t>
      </w:r>
      <w:r>
        <w:rPr>
          <w:rFonts w:ascii="Times New Roman" w:cs="Times New Roman" w:eastAsia="Times New Roman" w:hAnsi="Times New Roman"/>
          <w:sz w:val="18"/>
          <w:szCs w:val="18"/>
          <w:color w:val="auto"/>
        </w:rPr>
        <w:t>and in</w:t>
      </w:r>
      <w:r>
        <w:rPr>
          <w:rFonts w:ascii="Times New Roman" w:cs="Times New Roman" w:eastAsia="Times New Roman" w:hAnsi="Times New Roman"/>
          <w:sz w:val="18"/>
          <w:szCs w:val="18"/>
          <w:i w:val="1"/>
          <w:iCs w:val="1"/>
          <w:color w:val="auto"/>
        </w:rPr>
        <w:t xml:space="preserve"> Accumulated Other Comprehensive Loss. </w:t>
      </w:r>
      <w:r>
        <w:rPr>
          <w:rFonts w:ascii="Times New Roman" w:cs="Times New Roman" w:eastAsia="Times New Roman" w:hAnsi="Times New Roman"/>
          <w:sz w:val="18"/>
          <w:szCs w:val="18"/>
          <w:color w:val="auto"/>
        </w:rPr>
        <w:t>Amounts recorded in</w:t>
      </w:r>
      <w:r>
        <w:rPr>
          <w:rFonts w:ascii="Times New Roman" w:cs="Times New Roman" w:eastAsia="Times New Roman" w:hAnsi="Times New Roman"/>
          <w:sz w:val="18"/>
          <w:szCs w:val="18"/>
          <w:i w:val="1"/>
          <w:iCs w:val="1"/>
          <w:color w:val="auto"/>
        </w:rPr>
        <w:t xml:space="preserve"> Accumulated Other Comprehensive Loss </w:t>
      </w:r>
      <w:r>
        <w:rPr>
          <w:rFonts w:ascii="Times New Roman" w:cs="Times New Roman" w:eastAsia="Times New Roman" w:hAnsi="Times New Roman"/>
          <w:sz w:val="18"/>
          <w:szCs w:val="18"/>
          <w:color w:val="auto"/>
        </w:rPr>
        <w:t>are reclassified into earnings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or periods that the hedged item is recognized in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Schlumberger is also exposed to risks on future cash flows relating to certain of its fixed rate debt denominated in currencies other than the functional currency.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uses cross-currency swaps to provide a hedge against these cash flow risks.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8"/>
          <w:szCs w:val="18"/>
          <w:color w:val="auto"/>
        </w:rPr>
        <w:t>During 2017, a Canadian-dollar functional currency subsidiary of Schlumberger issued $1.1 billion of US-dollar denominated debt. Schlumberger entered into cross-currency swaps for an aggregate notional amount of $1.1 billion in order to hedge changes in the fair value of its $0.5 billion of 2.20% Senior Notes due 2020 and its $0.6 billion of 2.65% Senior Notes due 2022. These cross-currency swaps effectively convert the US-dollar denominated notes to Canadian-dollar denominated debt with fixed annual interest rates of 1.97% and 2.52%, respectively.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of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Notes due 2031. These cross-currency swaps effectively converted the Euro-denominated notes to US-dollar denominated debt with fixed annual interest rates of 2.29%, 2.51% and 2.76%, respectively.</w:t>
      </w:r>
    </w:p>
    <w:p>
      <w:pPr>
        <w:spacing w:after="0" w:line="18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 xml:space="preserve">At December 31, 2019, Schlumberger recognized a cumulative net $34 million loss in </w:t>
      </w:r>
      <w:r>
        <w:rPr>
          <w:rFonts w:ascii="Times New Roman" w:cs="Times New Roman" w:eastAsia="Times New Roman" w:hAnsi="Times New Roman"/>
          <w:sz w:val="17"/>
          <w:szCs w:val="17"/>
          <w:i w:val="1"/>
          <w:iCs w:val="1"/>
          <w:color w:val="auto"/>
        </w:rPr>
        <w:t>Accumulated Other Comprehensive Loss</w:t>
      </w:r>
      <w:r>
        <w:rPr>
          <w:rFonts w:ascii="Times New Roman" w:cs="Times New Roman" w:eastAsia="Times New Roman" w:hAnsi="Times New Roman"/>
          <w:sz w:val="17"/>
          <w:szCs w:val="17"/>
          <w:color w:val="auto"/>
        </w:rPr>
        <w:t xml:space="preserve"> relating to revaluation of foreign currency forward contracts designated as cash flow hedges, the majority of which is expected to be reclassified into earnings within the next 12 months.</w:t>
      </w:r>
    </w:p>
    <w:p>
      <w:pPr>
        <w:spacing w:after="0" w:line="1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Schlumberger is exposed to changes in the fair value of assets and liabilities denominated in currencies other than the functional currency. While Schlumberger uses foreign currency forward contracts to economically hedge this exposure as it relates to certain currencies, these contracts are not designated as hedges for accounting purposes. Instead, the fair value of the contracts is recorded on the </w:t>
      </w:r>
      <w:r>
        <w:rPr>
          <w:rFonts w:ascii="Times New Roman" w:cs="Times New Roman" w:eastAsia="Times New Roman" w:hAnsi="Times New Roman"/>
          <w:sz w:val="17"/>
          <w:szCs w:val="17"/>
          <w:i w:val="1"/>
          <w:iCs w:val="1"/>
          <w:color w:val="auto"/>
        </w:rPr>
        <w:t>Consolidated Balance Sheet</w:t>
      </w:r>
      <w:r>
        <w:rPr>
          <w:rFonts w:ascii="Times New Roman" w:cs="Times New Roman" w:eastAsia="Times New Roman" w:hAnsi="Times New Roman"/>
          <w:sz w:val="17"/>
          <w:szCs w:val="17"/>
          <w:color w:val="auto"/>
        </w:rPr>
        <w:t xml:space="preserve"> and changes in the fair value are recognized in the </w:t>
      </w:r>
      <w:r>
        <w:rPr>
          <w:rFonts w:ascii="Times New Roman" w:cs="Times New Roman" w:eastAsia="Times New Roman" w:hAnsi="Times New Roman"/>
          <w:sz w:val="17"/>
          <w:szCs w:val="17"/>
          <w:i w:val="1"/>
          <w:iCs w:val="1"/>
          <w:color w:val="auto"/>
        </w:rPr>
        <w:t xml:space="preserve">Consolidated Statement of Income (Loss), </w:t>
      </w:r>
      <w:r>
        <w:rPr>
          <w:rFonts w:ascii="Times New Roman" w:cs="Times New Roman" w:eastAsia="Times New Roman" w:hAnsi="Times New Roman"/>
          <w:sz w:val="17"/>
          <w:szCs w:val="17"/>
          <w:color w:val="auto"/>
        </w:rPr>
        <w:t>as are changes in the fair value of the hedged item. Transaction gains of $2 million in 2019, transaction gains of $1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million in 2018 and transaction losses of $17 million in 2017 were recognized in the </w:t>
      </w:r>
      <w:r>
        <w:rPr>
          <w:rFonts w:ascii="Times New Roman" w:cs="Times New Roman" w:eastAsia="Times New Roman" w:hAnsi="Times New Roman"/>
          <w:sz w:val="17"/>
          <w:szCs w:val="17"/>
          <w:i w:val="1"/>
          <w:iCs w:val="1"/>
          <w:color w:val="auto"/>
        </w:rPr>
        <w:t>Consolidated Statement of Income (Loss)</w:t>
      </w:r>
      <w:r>
        <w:rPr>
          <w:rFonts w:ascii="Times New Roman" w:cs="Times New Roman" w:eastAsia="Times New Roman" w:hAnsi="Times New Roman"/>
          <w:sz w:val="17"/>
          <w:szCs w:val="17"/>
          <w:color w:val="auto"/>
        </w:rPr>
        <w:t xml:space="preserve"> net of related hedging activities.</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At December 31, 2019, contracts were outstanding for the US dollar equivalent of $7.7 billion in various foreign currencies, of which $3.0 billion relates to hedges of debt denominated in currencies other than the functional currency.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outstanding derivatives was not material at December 31, 2019 and 2018.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effect of derivative instruments designated as hedges and those not designated as hedges on the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 xml:space="preserve"> was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4600" w:type="dxa"/>
            <w:vAlign w:val="bottom"/>
          </w:tcPr>
          <w:p>
            <w:pPr>
              <w:spacing w:after="0"/>
              <w:rPr>
                <w:sz w:val="24"/>
                <w:szCs w:val="24"/>
                <w:color w:val="auto"/>
              </w:rPr>
            </w:pPr>
          </w:p>
        </w:tc>
        <w:tc>
          <w:tcPr>
            <w:tcW w:w="352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Gain (Loss) Recognized in Income (Loss)</w:t>
            </w: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Statement</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Income (Loss) Classification</w:t>
            </w:r>
          </w:p>
        </w:tc>
        <w:tc>
          <w:tcPr>
            <w:tcW w:w="0" w:type="dxa"/>
            <w:vAlign w:val="bottom"/>
          </w:tcPr>
          <w:p>
            <w:pPr>
              <w:spacing w:after="0"/>
              <w:rPr>
                <w:sz w:val="1"/>
                <w:szCs w:val="1"/>
                <w:color w:val="auto"/>
              </w:rPr>
            </w:pPr>
          </w:p>
        </w:tc>
      </w:tr>
      <w:tr>
        <w:trPr>
          <w:trHeight w:val="220"/>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8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7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Cross currency swap</w:t>
            </w:r>
          </w:p>
        </w:tc>
        <w:tc>
          <w:tcPr>
            <w:tcW w:w="800" w:type="dxa"/>
            <w:vAlign w:val="bottom"/>
          </w:tcPr>
          <w:p>
            <w:pPr>
              <w:jc w:val="right"/>
              <w:ind w:right="63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3"/>
                <w:szCs w:val="23"/>
                <w:color w:val="auto"/>
              </w:rPr>
            </w:pPr>
          </w:p>
        </w:tc>
        <w:tc>
          <w:tcPr>
            <w:tcW w:w="800" w:type="dxa"/>
            <w:vAlign w:val="bottom"/>
          </w:tcPr>
          <w:p>
            <w:pPr>
              <w:jc w:val="right"/>
              <w:ind w:right="63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3"/>
                <w:szCs w:val="23"/>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0" w:type="dxa"/>
            <w:vAlign w:val="bottom"/>
          </w:tcPr>
          <w:p>
            <w:pPr>
              <w:spacing w:after="0"/>
              <w:rPr>
                <w:sz w:val="1"/>
                <w:szCs w:val="1"/>
                <w:color w:val="auto"/>
              </w:rPr>
            </w:pPr>
          </w:p>
        </w:tc>
      </w:tr>
      <w:tr>
        <w:trPr>
          <w:trHeight w:val="205"/>
        </w:trPr>
        <w:tc>
          <w:tcPr>
            <w:tcW w:w="46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7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Cross currency swap</w:t>
            </w:r>
          </w:p>
        </w:tc>
        <w:tc>
          <w:tcPr>
            <w:tcW w:w="80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w:t>
            </w:r>
          </w:p>
        </w:tc>
        <w:tc>
          <w:tcPr>
            <w:tcW w:w="80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0" w:type="dxa"/>
            <w:vAlign w:val="bottom"/>
          </w:tcPr>
          <w:p>
            <w:pPr>
              <w:spacing w:after="0"/>
              <w:rPr>
                <w:sz w:val="1"/>
                <w:szCs w:val="1"/>
                <w:color w:val="auto"/>
              </w:rPr>
            </w:pPr>
          </w:p>
        </w:tc>
      </w:tr>
      <w:tr>
        <w:trPr>
          <w:trHeight w:val="22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w:t>
            </w:r>
          </w:p>
        </w:tc>
        <w:tc>
          <w:tcPr>
            <w:tcW w:w="8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(45)</w:t>
            </w:r>
          </w:p>
        </w:tc>
        <w:tc>
          <w:tcPr>
            <w:tcW w:w="24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0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w:t>
            </w:r>
          </w:p>
        </w:tc>
        <w:tc>
          <w:tcPr>
            <w:tcW w:w="80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260" w:hanging="254"/>
        <w:spacing w:after="0"/>
        <w:tabs>
          <w:tab w:leader="none" w:pos="2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Schlumberger is authorized to issue 4,500,000,000 shares of common stock, par value $0.01 per share, of which 1,384,515,345 and 1,382,964,324 shares were outstanding on December 31, 2019 and 2018, respectively. Holders of common stock are entitled to one vote for each share of stock held. Schlumberger is also authorized to issue 200,000,000 shares of preferred stock, par value $0.01 per share, which may be issued in series with terms and conditions determined by the Schlumberger Board of Directors. No shares of preferred stock have been issued.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color w:val="auto"/>
        </w:rPr>
        <w:t>consists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9"/>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Pension and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0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Marketable</w:t>
            </w:r>
          </w:p>
        </w:tc>
        <w:tc>
          <w:tcPr>
            <w:tcW w:w="18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80" w:type="dxa"/>
            <w:vAlign w:val="bottom"/>
          </w:tcPr>
          <w:p>
            <w:pPr>
              <w:spacing w:after="0"/>
              <w:rPr>
                <w:sz w:val="19"/>
                <w:szCs w:val="19"/>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Postretirement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3"/>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0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Benefit Plans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07"/>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r>
      <w:tr>
        <w:trPr>
          <w:trHeight w:val="207"/>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1"/>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20"/>
                <w:szCs w:val="20"/>
                <w:color w:val="auto"/>
              </w:rPr>
            </w:pPr>
          </w:p>
        </w:tc>
      </w:tr>
      <w:tr>
        <w:trPr>
          <w:trHeight w:val="226"/>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9"/>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20" w:type="dxa"/>
            <w:vAlign w:val="bottom"/>
            <w:tcBorders>
              <w:top w:val="single" w:sz="8" w:color="CFF0FC"/>
            </w:tcBorders>
            <w:shd w:val="clear" w:color="auto" w:fill="CFF0FC"/>
          </w:tcPr>
          <w:p>
            <w:pPr>
              <w:spacing w:after="0"/>
              <w:rPr>
                <w:sz w:val="19"/>
                <w:szCs w:val="19"/>
                <w:color w:val="auto"/>
              </w:rPr>
            </w:pPr>
          </w:p>
        </w:tc>
      </w:tr>
      <w:tr>
        <w:trPr>
          <w:trHeight w:val="207"/>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Reclassification to </w:t>
            </w:r>
            <w:r>
              <w:rPr>
                <w:rFonts w:ascii="Times New Roman" w:cs="Times New Roman" w:eastAsia="Times New Roman" w:hAnsi="Times New Roman"/>
                <w:sz w:val="18"/>
                <w:szCs w:val="18"/>
                <w:i w:val="1"/>
                <w:iCs w:val="1"/>
                <w:color w:val="auto"/>
              </w:rPr>
              <w:t>Retained Earnings</w:t>
            </w:r>
            <w:r>
              <w:rPr>
                <w:rFonts w:ascii="Times New Roman" w:cs="Times New Roman" w:eastAsia="Times New Roman" w:hAnsi="Times New Roman"/>
                <w:sz w:val="18"/>
                <w:szCs w:val="18"/>
                <w:color w:val="auto"/>
              </w:rPr>
              <w:t xml:space="preserve"> of stranded</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effects resulting from US tax reform</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26"/>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r>
      <w:tr>
        <w:trPr>
          <w:trHeight w:val="207"/>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9"/>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20" w:type="dxa"/>
            <w:vAlign w:val="bottom"/>
          </w:tcPr>
          <w:p>
            <w:pPr>
              <w:spacing w:after="0"/>
              <w:rPr>
                <w:sz w:val="19"/>
                <w:szCs w:val="19"/>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FF0FC"/>
          </w:tcPr>
          <w:p>
            <w:pPr>
              <w:spacing w:after="0"/>
              <w:rPr>
                <w:sz w:val="19"/>
                <w:szCs w:val="19"/>
                <w:color w:val="auto"/>
              </w:rPr>
            </w:pPr>
          </w:p>
        </w:tc>
      </w:tr>
      <w:tr>
        <w:trPr>
          <w:trHeight w:val="207"/>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1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2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Other comprehensive income was $184 million in 2019 and $369 million in 2017.  Other comprehensive loss was $239 million in 2018.</w:t>
      </w:r>
    </w:p>
    <w:p>
      <w:pPr>
        <w:spacing w:after="0" w:line="216" w:lineRule="exact"/>
        <w:rPr>
          <w:sz w:val="20"/>
          <w:szCs w:val="20"/>
          <w:color w:val="auto"/>
        </w:rPr>
      </w:pPr>
    </w:p>
    <w:p>
      <w:pPr>
        <w:ind w:left="280" w:hanging="274"/>
        <w:spacing w:after="0"/>
        <w:tabs>
          <w:tab w:leader="none" w:pos="2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Stock-based Compensation Plans</w:t>
      </w:r>
    </w:p>
    <w:p>
      <w:pPr>
        <w:spacing w:after="0" w:line="1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Schlumberger has three types of stock-based compensation programs: (i) stock options, (ii) a restricted stock, restricted stock unit and performance share unit program (collectively referred to as “restricted stock”), and (iii) a discounted stock purchase plan (“DSPP”).</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6"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7"/>
          <w:szCs w:val="17"/>
          <w:color w:val="auto"/>
        </w:rPr>
        <w:t>Key employees are granted stock options under Schlumberger stock option plans. For all stock options granted, the exercise price equals the average of the high and low sales prices of Schlumberger stock on the date of grant; the maximum term is 10 years, and the options generally vest in increments over five years.</w:t>
      </w:r>
    </w:p>
    <w:p>
      <w:pPr>
        <w:spacing w:after="0" w:line="14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60" w:type="dxa"/>
            <w:vAlign w:val="bottom"/>
            <w:tcBorders>
              <w:bottom w:val="single" w:sz="8" w:color="CFF0FC"/>
            </w:tcBorders>
          </w:tcPr>
          <w:p>
            <w:pPr>
              <w:spacing w:after="0"/>
              <w:rPr>
                <w:sz w:val="20"/>
                <w:szCs w:val="20"/>
                <w:color w:val="auto"/>
              </w:rPr>
            </w:pPr>
          </w:p>
        </w:tc>
        <w:tc>
          <w:tcPr>
            <w:tcW w:w="240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CFF0FC"/>
            </w:tcBorders>
          </w:tcPr>
          <w:p>
            <w:pPr>
              <w:spacing w:after="0"/>
              <w:rPr>
                <w:sz w:val="20"/>
                <w:szCs w:val="20"/>
                <w:color w:val="auto"/>
              </w:rPr>
            </w:pPr>
          </w:p>
        </w:tc>
      </w:tr>
      <w:tr>
        <w:trPr>
          <w:trHeight w:val="21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2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w:t>
            </w:r>
          </w:p>
        </w:tc>
        <w:tc>
          <w:tcPr>
            <w:tcW w:w="9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2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2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r>
      <w:tr>
        <w:trPr>
          <w:trHeight w:val="22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fair value per share</w:t>
            </w:r>
          </w:p>
        </w:tc>
        <w:tc>
          <w:tcPr>
            <w:tcW w:w="3340" w:type="dxa"/>
            <w:vAlign w:val="bottom"/>
            <w:gridSpan w:val="2"/>
            <w:shd w:val="clear" w:color="auto" w:fill="CFF0FC"/>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6.21</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80" w:type="dxa"/>
            <w:vAlign w:val="bottom"/>
            <w:shd w:val="clear" w:color="auto" w:fill="CFF0FC"/>
          </w:tcPr>
          <w:p>
            <w:pPr>
              <w:spacing w:after="0"/>
              <w:rPr>
                <w:sz w:val="19"/>
                <w:szCs w:val="19"/>
                <w:color w:val="auto"/>
              </w:rPr>
            </w:pPr>
          </w:p>
        </w:tc>
      </w:tr>
      <w:tr>
        <w:trPr>
          <w:trHeight w:val="638"/>
        </w:trPr>
        <w:tc>
          <w:tcPr>
            <w:tcW w:w="4160" w:type="dxa"/>
            <w:vAlign w:val="bottom"/>
          </w:tcPr>
          <w:p>
            <w:pPr>
              <w:spacing w:after="0"/>
              <w:rPr>
                <w:sz w:val="24"/>
                <w:szCs w:val="24"/>
                <w:color w:val="auto"/>
              </w:rPr>
            </w:pPr>
          </w:p>
        </w:tc>
        <w:tc>
          <w:tcPr>
            <w:tcW w:w="240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5"/>
        </w:trPr>
        <w:tc>
          <w:tcPr>
            <w:tcW w:w="41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options outstanding and options exercisable as of December 31, 2019:</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(Shares stated in thousands)</w:t>
            </w:r>
          </w:p>
        </w:tc>
      </w:tr>
      <w:tr>
        <w:trPr>
          <w:trHeight w:val="449"/>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3"/>
          </w:tcPr>
          <w:p>
            <w:pPr>
              <w:jc w:val="right"/>
              <w:ind w:right="57"/>
              <w:spacing w:after="0"/>
              <w:rPr>
                <w:sz w:val="20"/>
                <w:szCs w:val="20"/>
                <w:color w:val="auto"/>
              </w:rPr>
            </w:pPr>
            <w:r>
              <w:rPr>
                <w:rFonts w:ascii="Times New Roman" w:cs="Times New Roman" w:eastAsia="Times New Roman" w:hAnsi="Times New Roman"/>
                <w:sz w:val="18"/>
                <w:szCs w:val="18"/>
                <w:color w:val="auto"/>
              </w:rPr>
              <w:t>Options Outstanding</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214"/>
        </w:trPr>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6"/>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Average</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Remaining</w:t>
            </w:r>
          </w:p>
        </w:tc>
        <w:tc>
          <w:tcPr>
            <w:tcW w:w="16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Weighted-</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4"/>
              </w:rPr>
              <w:t>Weighted-</w:t>
            </w:r>
          </w:p>
        </w:tc>
      </w:tr>
      <w:tr>
        <w:trPr>
          <w:trHeight w:val="226"/>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Options</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Contractual Life</w:t>
            </w:r>
          </w:p>
        </w:tc>
        <w:tc>
          <w:tcPr>
            <w:tcW w:w="16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Average</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191"/>
        </w:trPr>
        <w:tc>
          <w:tcPr>
            <w:tcW w:w="39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Exercise prices range</w:t>
            </w:r>
          </w:p>
        </w:tc>
        <w:tc>
          <w:tcPr>
            <w:tcW w:w="124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Outstanding</w:t>
            </w:r>
          </w:p>
        </w:tc>
        <w:tc>
          <w:tcPr>
            <w:tcW w:w="168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6"/>
              </w:rPr>
              <w:t>(in years)</w:t>
            </w:r>
          </w:p>
        </w:tc>
        <w:tc>
          <w:tcPr>
            <w:tcW w:w="160" w:type="dxa"/>
            <w:vAlign w:val="bottom"/>
          </w:tcPr>
          <w:p>
            <w:pPr>
              <w:spacing w:after="0"/>
              <w:rPr>
                <w:sz w:val="16"/>
                <w:szCs w:val="16"/>
                <w:color w:val="auto"/>
              </w:rPr>
            </w:pPr>
          </w:p>
        </w:tc>
        <w:tc>
          <w:tcPr>
            <w:tcW w:w="154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w w:val="98"/>
              </w:rPr>
              <w:t>Exercise Price</w:t>
            </w:r>
          </w:p>
        </w:tc>
        <w:tc>
          <w:tcPr>
            <w:tcW w:w="1000" w:type="dxa"/>
            <w:vAlign w:val="bottom"/>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Exercisable</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6"/>
              </w:rPr>
              <w:t>Exercise Price</w:t>
            </w:r>
          </w:p>
        </w:tc>
      </w:tr>
      <w:tr>
        <w:trPr>
          <w:trHeight w:val="20"/>
        </w:trPr>
        <w:tc>
          <w:tcPr>
            <w:tcW w:w="520" w:type="dxa"/>
            <w:vAlign w:val="bottom"/>
            <w:tcBorders>
              <w:top w:val="single" w:sz="8" w:color="auto"/>
              <w:bottom w:val="single" w:sz="8" w:color="CFF0FC"/>
            </w:tcBorders>
          </w:tcPr>
          <w:p>
            <w:pPr>
              <w:spacing w:after="0" w:line="20" w:lineRule="exact"/>
              <w:rPr>
                <w:sz w:val="1"/>
                <w:szCs w:val="1"/>
                <w:color w:val="auto"/>
              </w:rPr>
            </w:pPr>
          </w:p>
        </w:tc>
        <w:tc>
          <w:tcPr>
            <w:tcW w:w="1000" w:type="dxa"/>
            <w:vAlign w:val="bottom"/>
            <w:tcBorders>
              <w:top w:val="single" w:sz="8" w:color="auto"/>
              <w:bottom w:val="single" w:sz="8" w:color="CFF0FC"/>
            </w:tcBorders>
          </w:tcPr>
          <w:p>
            <w:pPr>
              <w:spacing w:after="0" w:line="20" w:lineRule="exact"/>
              <w:rPr>
                <w:sz w:val="1"/>
                <w:szCs w:val="1"/>
                <w:color w:val="auto"/>
              </w:rPr>
            </w:pPr>
          </w:p>
        </w:tc>
        <w:tc>
          <w:tcPr>
            <w:tcW w:w="242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19"/>
        </w:trPr>
        <w:tc>
          <w:tcPr>
            <w:tcW w:w="1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$41.47 - $69.98</w:t>
            </w:r>
          </w:p>
        </w:tc>
        <w:tc>
          <w:tcPr>
            <w:tcW w:w="2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24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80" w:type="dxa"/>
            <w:vAlign w:val="bottom"/>
            <w:shd w:val="clear" w:color="auto" w:fill="CFF0FC"/>
          </w:tcPr>
          <w:p>
            <w:pPr>
              <w:spacing w:after="0"/>
              <w:rPr>
                <w:sz w:val="19"/>
                <w:szCs w:val="19"/>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$70.92</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$76.74</w:t>
            </w:r>
          </w:p>
        </w:tc>
        <w:tc>
          <w:tcPr>
            <w:tcW w:w="2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380" w:type="dxa"/>
            <w:vAlign w:val="bottom"/>
            <w:gridSpan w:val="3"/>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80" w:type="dxa"/>
            <w:vAlign w:val="bottom"/>
          </w:tcPr>
          <w:p>
            <w:pPr>
              <w:spacing w:after="0"/>
              <w:rPr>
                <w:sz w:val="19"/>
                <w:szCs w:val="19"/>
                <w:color w:val="auto"/>
              </w:rPr>
            </w:pPr>
          </w:p>
        </w:tc>
      </w:tr>
      <w:tr>
        <w:trPr>
          <w:trHeight w:val="226"/>
        </w:trPr>
        <w:tc>
          <w:tcPr>
            <w:tcW w:w="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$77.10</w:t>
            </w:r>
          </w:p>
        </w:tc>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$83.15</w:t>
            </w:r>
          </w:p>
        </w:tc>
        <w:tc>
          <w:tcPr>
            <w:tcW w:w="2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380" w:type="dxa"/>
            <w:vAlign w:val="bottom"/>
            <w:gridSpan w:val="3"/>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80" w:type="dxa"/>
            <w:vAlign w:val="bottom"/>
            <w:shd w:val="clear" w:color="auto" w:fill="CFF0FC"/>
          </w:tcPr>
          <w:p>
            <w:pPr>
              <w:spacing w:after="0"/>
              <w:rPr>
                <w:sz w:val="19"/>
                <w:szCs w:val="19"/>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$84.22</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$88.77</w:t>
            </w:r>
          </w:p>
        </w:tc>
        <w:tc>
          <w:tcPr>
            <w:tcW w:w="2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380" w:type="dxa"/>
            <w:vAlign w:val="bottom"/>
            <w:gridSpan w:val="3"/>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80" w:type="dxa"/>
            <w:vAlign w:val="bottom"/>
          </w:tcPr>
          <w:p>
            <w:pPr>
              <w:spacing w:after="0"/>
              <w:rPr>
                <w:sz w:val="19"/>
                <w:szCs w:val="19"/>
                <w:color w:val="auto"/>
              </w:rPr>
            </w:pPr>
          </w:p>
        </w:tc>
      </w:tr>
      <w:tr>
        <w:trPr>
          <w:trHeight w:val="226"/>
        </w:trPr>
        <w:tc>
          <w:tcPr>
            <w:tcW w:w="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$91.28</w:t>
            </w:r>
          </w:p>
        </w:tc>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$114.83</w:t>
            </w:r>
          </w:p>
        </w:tc>
        <w:tc>
          <w:tcPr>
            <w:tcW w:w="2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380" w:type="dxa"/>
            <w:vAlign w:val="bottom"/>
            <w:gridSpan w:val="3"/>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80" w:type="dxa"/>
            <w:vAlign w:val="bottom"/>
            <w:shd w:val="clear" w:color="auto" w:fill="CFF0FC"/>
          </w:tcPr>
          <w:p>
            <w:pPr>
              <w:spacing w:after="0"/>
              <w:rPr>
                <w:sz w:val="19"/>
                <w:szCs w:val="19"/>
                <w:color w:val="auto"/>
              </w:rPr>
            </w:pPr>
          </w:p>
        </w:tc>
      </w:tr>
      <w:tr>
        <w:trPr>
          <w:trHeight w:val="219"/>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46,269</w:t>
            </w:r>
          </w:p>
        </w:tc>
        <w:tc>
          <w:tcPr>
            <w:tcW w:w="2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33,603</w:t>
            </w:r>
          </w:p>
        </w:tc>
        <w:tc>
          <w:tcPr>
            <w:tcW w:w="240" w:type="dxa"/>
            <w:vAlign w:val="bottom"/>
            <w:gridSpan w:val="2"/>
          </w:tcPr>
          <w:p>
            <w:pPr>
              <w:spacing w:after="0"/>
              <w:rPr>
                <w:sz w:val="19"/>
                <w:szCs w:val="19"/>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contractual life of stock options exercisable as of December 31, 2019 was 3.47 years.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years ended December 31, 2019, 2018 and 2017:</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(Shares stated in thousands)</w:t>
            </w:r>
          </w:p>
        </w:tc>
      </w:tr>
      <w:tr>
        <w:trPr>
          <w:trHeight w:val="449"/>
        </w:trPr>
        <w:tc>
          <w:tcPr>
            <w:tcW w:w="4740" w:type="dxa"/>
            <w:vAlign w:val="bottom"/>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r>
      <w:tr>
        <w:trPr>
          <w:trHeight w:val="226"/>
        </w:trPr>
        <w:tc>
          <w:tcPr>
            <w:tcW w:w="4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5"/>
              </w:rPr>
              <w:t>Average</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26"/>
        </w:trPr>
        <w:tc>
          <w:tcPr>
            <w:tcW w:w="4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Exercise</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Exercise</w:t>
            </w:r>
          </w:p>
        </w:tc>
      </w:tr>
      <w:tr>
        <w:trPr>
          <w:trHeight w:val="233"/>
        </w:trPr>
        <w:tc>
          <w:tcPr>
            <w:tcW w:w="47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Price</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Price</w:t>
            </w:r>
          </w:p>
        </w:tc>
      </w:tr>
      <w:tr>
        <w:trPr>
          <w:trHeight w:val="219"/>
        </w:trPr>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43,529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79.36</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38.50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74.69</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20" w:type="dxa"/>
            <w:vAlign w:val="bottom"/>
          </w:tcPr>
          <w:p>
            <w:pPr>
              <w:spacing w:after="0"/>
              <w:rPr>
                <w:sz w:val="19"/>
                <w:szCs w:val="19"/>
                <w:color w:val="auto"/>
              </w:rPr>
            </w:pPr>
          </w:p>
        </w:tc>
      </w:tr>
      <w:tr>
        <w:trPr>
          <w:trHeight w:val="219"/>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year-end</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46,269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43,529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outstanding and stock options exercisable as of December 31, 2019 had no intrinsic value.</w:t>
      </w:r>
    </w:p>
    <w:p>
      <w:pPr>
        <w:spacing w:after="0" w:line="21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2019, 2018 and 2017 was $4 million, $15 million and $26 million,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 grants performance share units to -its executives officers. The number of shares earned is determined at the end of each performance period based on Schlumberger’s achievement of certain predefined targets as defined in the underlying performance share unit agreement. In the event Schlumberger exceeds the predefined target, shares for up to the maximum of 250% of the target award may be awarded. In the event Schlumberger falls below the predefined target, a reduced number of shares may be awarded. If Schlumberger falls below the threshold award performance level, no shares will be awarded. As of December 31, 2019, 3.6 million performance share units were outstanding assuming the achievement of 100% of target.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restricted stock awards generally vest at the end of three years.</w:t>
      </w:r>
    </w:p>
    <w:p>
      <w:pPr>
        <w:spacing w:after="0" w:line="21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Restricted stock awards generally do not pay dividends or have voting rights prior to vesting. Accordingly, the fair value of a restricted stock award is the quoted market price of Schlumberger’s stock on the date of grant less the present value of the expected dividends not received prior to vesting.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restricted stock transactions: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(Shares stated in thousands)</w:t>
            </w:r>
          </w:p>
        </w:tc>
      </w:tr>
      <w:tr>
        <w:trPr>
          <w:trHeight w:val="449"/>
        </w:trPr>
        <w:tc>
          <w:tcPr>
            <w:tcW w:w="4440" w:type="dxa"/>
            <w:vAlign w:val="bottom"/>
          </w:tcPr>
          <w:p>
            <w:pPr>
              <w:spacing w:after="0"/>
              <w:rPr>
                <w:sz w:val="24"/>
                <w:szCs w:val="24"/>
                <w:color w:val="auto"/>
              </w:rPr>
            </w:pPr>
          </w:p>
        </w:tc>
        <w:tc>
          <w:tcPr>
            <w:tcW w:w="2220" w:type="dxa"/>
            <w:vAlign w:val="bottom"/>
            <w:tcBorders>
              <w:bottom w:val="single" w:sz="8" w:color="auto"/>
            </w:tcBorders>
            <w:gridSpan w:val="5"/>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4"/>
                <w:szCs w:val="24"/>
                <w:color w:val="auto"/>
              </w:rPr>
            </w:pPr>
          </w:p>
        </w:tc>
        <w:tc>
          <w:tcPr>
            <w:tcW w:w="2160" w:type="dxa"/>
            <w:vAlign w:val="bottom"/>
            <w:tcBorders>
              <w:bottom w:val="single" w:sz="8" w:color="auto"/>
            </w:tcBorders>
            <w:gridSpan w:val="5"/>
          </w:tcPr>
          <w:p>
            <w:pPr>
              <w:jc w:val="right"/>
              <w:ind w:right="812"/>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24"/>
                <w:szCs w:val="24"/>
                <w:color w:val="auto"/>
              </w:rPr>
            </w:pPr>
          </w:p>
        </w:tc>
      </w:tr>
      <w:tr>
        <w:trPr>
          <w:trHeight w:val="212"/>
        </w:trPr>
        <w:tc>
          <w:tcPr>
            <w:tcW w:w="4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4"/>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4"/>
              </w:rPr>
              <w:t>Weighted-</w:t>
            </w:r>
          </w:p>
        </w:tc>
        <w:tc>
          <w:tcPr>
            <w:tcW w:w="80" w:type="dxa"/>
            <w:vAlign w:val="bottom"/>
          </w:tcPr>
          <w:p>
            <w:pPr>
              <w:spacing w:after="0"/>
              <w:rPr>
                <w:sz w:val="18"/>
                <w:szCs w:val="18"/>
                <w:color w:val="auto"/>
              </w:rPr>
            </w:pPr>
          </w:p>
        </w:tc>
      </w:tr>
      <w:tr>
        <w:trPr>
          <w:trHeight w:val="226"/>
        </w:trPr>
        <w:tc>
          <w:tcPr>
            <w:tcW w:w="4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26"/>
        </w:trPr>
        <w:tc>
          <w:tcPr>
            <w:tcW w:w="44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Restricted</w:t>
            </w:r>
          </w:p>
        </w:tc>
        <w:tc>
          <w:tcPr>
            <w:tcW w:w="10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Grant Date</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Restricted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33"/>
        </w:trPr>
        <w:tc>
          <w:tcPr>
            <w:tcW w:w="44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Fair Value</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4"/>
              </w:rPr>
              <w:t>Fair Value</w:t>
            </w:r>
          </w:p>
        </w:tc>
      </w:tr>
      <w:tr>
        <w:trPr>
          <w:trHeight w:val="219"/>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6,951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70.13</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80" w:type="dxa"/>
            <w:vAlign w:val="bottom"/>
            <w:tcBorders>
              <w:top w:val="single" w:sz="8" w:color="CFF0FC"/>
            </w:tcBorders>
            <w:shd w:val="clear" w:color="auto" w:fill="CFF0FC"/>
          </w:tcPr>
          <w:p>
            <w:pPr>
              <w:spacing w:after="0"/>
              <w:rPr>
                <w:sz w:val="19"/>
                <w:szCs w:val="19"/>
                <w:color w:val="auto"/>
              </w:rPr>
            </w:pPr>
          </w:p>
        </w:tc>
      </w:tr>
      <w:tr>
        <w:trPr>
          <w:trHeight w:val="22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7,888</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80" w:type="dxa"/>
            <w:vAlign w:val="bottom"/>
          </w:tcPr>
          <w:p>
            <w:pPr>
              <w:spacing w:after="0"/>
              <w:rPr>
                <w:sz w:val="19"/>
                <w:szCs w:val="19"/>
                <w:color w:val="auto"/>
              </w:rPr>
            </w:pPr>
          </w:p>
        </w:tc>
      </w:tr>
      <w:tr>
        <w:trPr>
          <w:trHeight w:val="22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(2,722)</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72.09</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80" w:type="dxa"/>
            <w:vAlign w:val="bottom"/>
            <w:shd w:val="clear" w:color="auto" w:fill="CFF0FC"/>
          </w:tcPr>
          <w:p>
            <w:pPr>
              <w:spacing w:after="0"/>
              <w:rPr>
                <w:sz w:val="19"/>
                <w:szCs w:val="19"/>
                <w:color w:val="auto"/>
              </w:rPr>
            </w:pPr>
          </w:p>
        </w:tc>
      </w:tr>
      <w:tr>
        <w:trPr>
          <w:trHeight w:val="22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57.41</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80" w:type="dxa"/>
            <w:vAlign w:val="bottom"/>
          </w:tcPr>
          <w:p>
            <w:pPr>
              <w:spacing w:after="0"/>
              <w:rPr>
                <w:sz w:val="19"/>
                <w:szCs w:val="19"/>
                <w:color w:val="auto"/>
              </w:rPr>
            </w:pPr>
          </w:p>
        </w:tc>
      </w:tr>
      <w:tr>
        <w:trPr>
          <w:trHeight w:val="219"/>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year-end</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Discounted Stock Purchase Plan</w:t>
      </w:r>
    </w:p>
    <w:p>
      <w:pPr>
        <w:spacing w:after="0" w:line="11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spacing w:after="0" w:line="16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fair value of the employees’ purchase rights under the DSPP was estimated using the Black-Scholes model with the following assumptions and resulting weighted-average fair value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4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1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2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5.81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3"/>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4"/>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Stock-based Compensation Expense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stock-based compensation expense recognized in income: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6"/>
        </w:trPr>
        <w:tc>
          <w:tcPr>
            <w:tcW w:w="6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5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6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99</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r>
      <w:tr>
        <w:trPr>
          <w:trHeight w:val="22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DSPP</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r>
      <w:tr>
        <w:trPr>
          <w:trHeight w:val="219"/>
        </w:trPr>
        <w:tc>
          <w:tcPr>
            <w:tcW w:w="6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405</w:t>
            </w:r>
          </w:p>
        </w:tc>
        <w:tc>
          <w:tcPr>
            <w:tcW w:w="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At December 31, 2019, there was $324 million of total unrecognized compensation cost related to nonvested stock-based compensation arrangements, of which $191 million is expected to be recognized in 2020, $100 million in 2021, $27 million in 2022, $6 million in 2023.</w:t>
      </w:r>
    </w:p>
    <w:p>
      <w:pPr>
        <w:spacing w:after="0" w:line="16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As of December 31, 2019, approximately 35 million shares of Schlumberger common stock were available for future grants under Schlumberger’s stock-based compensation programs.</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46" w:name="page47"/>
    <w:bookmarkEnd w:id="46"/>
    <w:p>
      <w:pPr>
        <w:ind w:left="320" w:hanging="314"/>
        <w:spacing w:after="0"/>
        <w:tabs>
          <w:tab w:leader="none" w:pos="3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operates in more than 100 tax jurisdictions, where statutory tax rates generally vary from 0% to 35%.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Income (loss) before taxes </w:t>
      </w:r>
      <w:r>
        <w:rPr>
          <w:rFonts w:ascii="Times New Roman" w:cs="Times New Roman" w:eastAsia="Times New Roman" w:hAnsi="Times New Roman"/>
          <w:sz w:val="18"/>
          <w:szCs w:val="18"/>
          <w:color w:val="auto"/>
        </w:rPr>
        <w:t>subject to United States and non-United States income taxes was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28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FF0FC"/>
            </w:tcBorders>
          </w:tcPr>
          <w:p>
            <w:pPr>
              <w:spacing w:after="0"/>
              <w:rPr>
                <w:sz w:val="24"/>
                <w:szCs w:val="24"/>
                <w:color w:val="auto"/>
              </w:rPr>
            </w:pPr>
          </w:p>
        </w:tc>
      </w:tr>
      <w:tr>
        <w:trPr>
          <w:trHeight w:val="21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(8,991)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FF0FC"/>
          </w:tcPr>
          <w:p>
            <w:pPr>
              <w:spacing w:after="0"/>
              <w:rPr>
                <w:sz w:val="19"/>
                <w:szCs w:val="19"/>
                <w:color w:val="auto"/>
              </w:rPr>
            </w:pPr>
          </w:p>
        </w:tc>
      </w:tr>
      <w:tr>
        <w:trPr>
          <w:trHeight w:val="22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Outside United States</w:t>
            </w:r>
          </w:p>
        </w:tc>
        <w:tc>
          <w:tcPr>
            <w:tcW w:w="9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(1,427)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r>
      <w:tr>
        <w:trPr>
          <w:trHeight w:val="219"/>
        </w:trPr>
        <w:tc>
          <w:tcPr>
            <w:tcW w:w="62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(10,418)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Schlumberger recorded net pretax charges of $12.901 billion in 2019 ($8.769 billion in the US and $4.132 billion outside the US); $141 million in 2018 ($102 million in the US and $39 million outside the US); and $3.764 billion in 2017 ($533 million in the US and $3.231 billion outside the US). These charges and credits are included in the table above and are more fully described in Note 3 – </w:t>
      </w:r>
      <w:r>
        <w:rPr>
          <w:rFonts w:ascii="Times New Roman" w:cs="Times New Roman" w:eastAsia="Times New Roman" w:hAnsi="Times New Roman"/>
          <w:sz w:val="18"/>
          <w:szCs w:val="18"/>
          <w:i w:val="1"/>
          <w:iCs w:val="1"/>
          <w:color w:val="auto"/>
        </w:rPr>
        <w:t>Charges and Credits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deferred tax assets (liabilities)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7820" w:type="dxa"/>
            <w:vAlign w:val="bottom"/>
            <w:tcBorders>
              <w:bottom w:val="single" w:sz="8" w:color="CFF0F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1040" w:type="dxa"/>
            <w:vAlign w:val="bottom"/>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(1,833)</w:t>
            </w:r>
          </w:p>
        </w:tc>
        <w:tc>
          <w:tcPr>
            <w:tcW w:w="3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(2,110)</w:t>
            </w: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non-US subsidiaries</w:t>
            </w: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(220)</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Foreign tax credits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19"/>
                <w:szCs w:val="19"/>
                <w:color w:val="auto"/>
              </w:rPr>
            </w:pPr>
          </w:p>
        </w:tc>
        <w:tc>
          <w:tcPr>
            <w:tcW w:w="104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above deferred tax balances at December 31, 2019 and 2018 were net of valuation allowances relating to net operating losses in certain countries of $82 million and $87 million, respectively.</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generally does not provide for taxes related to its undistributed earnings because such earnings either would not be taxable when remitted or they are considered to be indefinitely reinvested. Taxes that would be incurred if the undistributed earnings of other Schlumberger subsidiaries were distributed to their ultimate parent company would not be material.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Tax expense (benefit)</w:t>
      </w:r>
      <w:r>
        <w:rPr>
          <w:rFonts w:ascii="Times New Roman" w:cs="Times New Roman" w:eastAsia="Times New Roman" w:hAnsi="Times New Roman"/>
          <w:sz w:val="18"/>
          <w:szCs w:val="18"/>
          <w:color w:val="auto"/>
        </w:rPr>
        <w:t xml:space="preserve">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3"/>
        </w:trPr>
        <w:tc>
          <w:tcPr>
            <w:tcW w:w="3580" w:type="dxa"/>
            <w:vAlign w:val="bottom"/>
            <w:tcBorders>
              <w:bottom w:val="single" w:sz="8" w:color="CFF0FC"/>
            </w:tcBorders>
          </w:tcPr>
          <w:p>
            <w:pPr>
              <w:spacing w:after="0"/>
              <w:rPr>
                <w:sz w:val="24"/>
                <w:szCs w:val="24"/>
                <w:color w:val="auto"/>
              </w:rPr>
            </w:pPr>
          </w:p>
        </w:tc>
        <w:tc>
          <w:tcPr>
            <w:tcW w:w="27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States-Federal</w:t>
            </w:r>
          </w:p>
        </w:tc>
        <w:tc>
          <w:tcPr>
            <w:tcW w:w="302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9"/>
                <w:szCs w:val="19"/>
                <w:color w:val="auto"/>
              </w:rPr>
            </w:pPr>
          </w:p>
        </w:tc>
        <w:tc>
          <w:tcPr>
            <w:tcW w:w="36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States-State</w:t>
            </w:r>
          </w:p>
        </w:tc>
        <w:tc>
          <w:tcPr>
            <w:tcW w:w="2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Outside United States</w:t>
            </w:r>
          </w:p>
        </w:tc>
        <w:tc>
          <w:tcPr>
            <w:tcW w:w="27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States-Federal</w:t>
            </w:r>
          </w:p>
        </w:tc>
        <w:tc>
          <w:tcPr>
            <w:tcW w:w="30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(660)</w:t>
            </w: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3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States-State</w:t>
            </w: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w:t>
            </w: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Outside United States</w:t>
            </w:r>
          </w:p>
        </w:tc>
        <w:tc>
          <w:tcPr>
            <w:tcW w:w="2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(257)</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Borders>
              <w:top w:val="single" w:sz="8" w:color="CFF0FC"/>
            </w:tcBorders>
            <w:shd w:val="clear" w:color="auto" w:fill="CFF0FC"/>
          </w:tcPr>
          <w:p>
            <w:pPr>
              <w:spacing w:after="0"/>
              <w:rPr>
                <w:sz w:val="19"/>
                <w:szCs w:val="19"/>
                <w:color w:val="auto"/>
              </w:rPr>
            </w:pPr>
          </w:p>
        </w:tc>
        <w:tc>
          <w:tcPr>
            <w:tcW w:w="27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(1,011)</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700" w:type="dxa"/>
            <w:vAlign w:val="bottom"/>
            <w:vMerge w:val="restart"/>
          </w:tcPr>
          <w:p>
            <w:pPr>
              <w:jc w:val="right"/>
              <w:ind w:right="392"/>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35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5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A reconciliation of the United States statutory federal tax rate to the consolidated effective tax rate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8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FF0FC"/>
            </w:tcBorders>
          </w:tcPr>
          <w:p>
            <w:pPr>
              <w:spacing w:after="0"/>
              <w:rPr>
                <w:sz w:val="20"/>
                <w:szCs w:val="20"/>
                <w:color w:val="auto"/>
              </w:rPr>
            </w:pPr>
          </w:p>
        </w:tc>
      </w:tr>
      <w:tr>
        <w:trPr>
          <w:trHeight w:val="21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2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income taxed at different rates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19"/>
                <w:szCs w:val="19"/>
                <w:color w:val="auto"/>
              </w:rPr>
            </w:pPr>
          </w:p>
        </w:tc>
      </w:tr>
      <w:tr>
        <w:trPr>
          <w:trHeight w:val="22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Charges and credits (See Note 3)</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7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(93)</w:t>
            </w:r>
          </w:p>
        </w:tc>
      </w:tr>
      <w:tr>
        <w:trPr>
          <w:trHeight w:val="22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Enactment of US tax reform (See Note 3)</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(6)</w:t>
            </w:r>
          </w:p>
        </w:tc>
      </w:tr>
      <w:tr>
        <w:trPr>
          <w:trHeight w:val="226"/>
        </w:trPr>
        <w:tc>
          <w:tcPr>
            <w:tcW w:w="6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tcPr>
          <w:p>
            <w:pPr>
              <w:spacing w:after="0"/>
              <w:rPr>
                <w:sz w:val="19"/>
                <w:szCs w:val="19"/>
                <w:color w:val="auto"/>
              </w:rPr>
            </w:pPr>
          </w:p>
        </w:tc>
      </w:tr>
      <w:tr>
        <w:trPr>
          <w:trHeight w:val="219"/>
        </w:trPr>
        <w:tc>
          <w:tcPr>
            <w:tcW w:w="60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8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number of the jurisdictions in which Schlumberger operates have tax laws that are not fully defined and are evolving. Schlumberger’s tax filings are subject to regular audit by the tax authorities. These audits may result in assessments for additional taxes that are resolved with the tax authorities or, potentially, through the courts. Tax liabilities are recorded based on estimates of additional taxes that will be due upon the conclusion of these audits. Due to the uncertain and complex application of tax regulations, the ultimate resolution of audits may result in liabilities which could be materially different from these estimates.</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reconciliation of the beginning and ending amount of liabilities associated with uncertain tax positions for the years ended December 31, 2019, 2018 and 2017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70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4"/>
                <w:szCs w:val="24"/>
                <w:color w:val="auto"/>
              </w:rPr>
            </w:pPr>
          </w:p>
        </w:tc>
      </w:tr>
      <w:tr>
        <w:trPr>
          <w:trHeight w:val="219"/>
        </w:trPr>
        <w:tc>
          <w:tcPr>
            <w:tcW w:w="5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r>
      <w:tr>
        <w:trPr>
          <w:trHeight w:val="22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9"/>
                <w:szCs w:val="19"/>
                <w:color w:val="auto"/>
              </w:rPr>
            </w:pPr>
          </w:p>
        </w:tc>
      </w:tr>
      <w:tr>
        <w:trPr>
          <w:trHeight w:val="22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Impact of changes in exchange rates</w:t>
            </w: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r>
      <w:tr>
        <w:trPr>
          <w:trHeight w:val="22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1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(50)</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2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(176)</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r>
      <w:tr>
        <w:trPr>
          <w:trHeight w:val="22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Reductions due to the lapse of the applicable statute of limitations</w:t>
            </w:r>
          </w:p>
        </w:tc>
        <w:tc>
          <w:tcPr>
            <w:tcW w:w="1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(59)</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9"/>
        </w:trPr>
        <w:tc>
          <w:tcPr>
            <w:tcW w:w="5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amounts above exclude accrued interest and penalties of $188 million, $205 million and $195 million at December 31, 2019, 2018 and 2017, respectively. Schlumberger classifies interest and penalties relating to uncertain tax positions within </w:t>
      </w:r>
      <w:r>
        <w:rPr>
          <w:rFonts w:ascii="Times New Roman" w:cs="Times New Roman" w:eastAsia="Times New Roman" w:hAnsi="Times New Roman"/>
          <w:sz w:val="18"/>
          <w:szCs w:val="18"/>
          <w:i w:val="1"/>
          <w:iCs w:val="1"/>
          <w:color w:val="auto"/>
        </w:rPr>
        <w:t>Tax expense (benefit)</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(Loss)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4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2012 - 2019</w:t>
            </w: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Ecuador</w:t>
            </w:r>
          </w:p>
        </w:tc>
        <w:tc>
          <w:tcPr>
            <w:tcW w:w="4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2016 - 2019</w:t>
            </w: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Mexico</w:t>
            </w:r>
          </w:p>
        </w:tc>
        <w:tc>
          <w:tcPr>
            <w:tcW w:w="4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2012 - 2019</w:t>
            </w: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c>
          <w:tcPr>
            <w:tcW w:w="4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2014 - 2019</w:t>
            </w: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Russia</w:t>
            </w:r>
          </w:p>
        </w:tc>
        <w:tc>
          <w:tcPr>
            <w:tcW w:w="4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2016 - 2019</w:t>
            </w: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4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2015 - 2019</w:t>
            </w: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2017 - 2019</w:t>
            </w:r>
          </w:p>
        </w:tc>
      </w:tr>
      <w:tr>
        <w:trPr>
          <w:trHeight w:val="2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2017 - 2019</w:t>
            </w:r>
          </w:p>
        </w:tc>
      </w:tr>
    </w:tbl>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certain of the jurisdictions noted above, Schlumberger operates through more than one legal entity, each of which may have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8" w:name="page49"/>
    <w:bookmarkEnd w:id="48"/>
    <w:p>
      <w:pPr>
        <w:ind w:left="280" w:hanging="274"/>
        <w:spacing w:after="0"/>
        <w:tabs>
          <w:tab w:leader="none" w:pos="2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 and Lease Commitments</w:t>
      </w:r>
    </w:p>
    <w:p>
      <w:pPr>
        <w:spacing w:after="0" w:line="11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 xml:space="preserve">During the fourth quarter of 2018, Schlumberger adopted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effective January 1, 2018. This ASU requires lessees to recognize an operating lease asset and a lease liability on the balance sheet, with the exception of short-term leases.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Under the transition method selected by Schlumberger, leases existing at, or entered into after, January 1, 2018 were required to be recognized and measured. Prior period amounts have not been adjusted and continue to be reflected in accordance with Schlumberger’s historical accounting. The adoption of this standard resulted in the recording of operating lease assets and operating lease liabilities of approximately of $1.3 billion as of January 1, 2018, with no related impact on Schlumberger’s </w:t>
      </w:r>
      <w:r>
        <w:rPr>
          <w:rFonts w:ascii="Times New Roman" w:cs="Times New Roman" w:eastAsia="Times New Roman" w:hAnsi="Times New Roman"/>
          <w:sz w:val="18"/>
          <w:szCs w:val="18"/>
          <w:i w:val="1"/>
          <w:iCs w:val="1"/>
          <w:color w:val="auto"/>
        </w:rPr>
        <w:t>Consolidated Statement of Equity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 Short-term leases have not been recorded on the balance sheet.</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Schlumberger elected the package of practical expedients permitted under the transition guidance within the new standard which, among other things, allows companies to carry forward their historical lease classification.</w:t>
      </w:r>
    </w:p>
    <w:p>
      <w:pPr>
        <w:spacing w:after="0" w:line="16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Schlumberger’s leasing activities primarily consist of operating leases for administrative offices, manufacturing facilities, research centers, service centers, sales offices and certain equipment. Total operating lease expense, which approximates cash paid and includes short-term leases, was $1.7 billion in each of 2019 and 2018, and $1.4 billion in 2017.</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2019 were as follows:</w:t>
      </w:r>
    </w:p>
    <w:p>
      <w:pPr>
        <w:spacing w:after="0" w:line="225"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i w:val="1"/>
          <w:iCs w:val="1"/>
          <w:color w:val="auto"/>
        </w:rPr>
        <w:t>(Stated in millions)</w:t>
      </w:r>
    </w:p>
    <w:p>
      <w:pPr>
        <w:sectPr>
          <w:pgSz w:w="11900" w:h="16838" w:orient="portrait"/>
          <w:cols w:equalWidth="0" w:num="1">
            <w:col w:w="11420"/>
          </w:cols>
          <w:pgMar w:left="240" w:top="159" w:right="2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5798820" cy="143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8820" cy="1435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5798820" cy="143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8820" cy="1435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5798820" cy="143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8820" cy="1435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5798820" cy="151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8820" cy="15176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payments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5798820" cy="160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8820" cy="16002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recognized in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5798820" cy="143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8820" cy="14351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accrued liabilities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5798820" cy="160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882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301" w:hanging="1301"/>
        <w:spacing w:after="0"/>
        <w:tabs>
          <w:tab w:leader="none" w:pos="13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510</w:t>
      </w:r>
    </w:p>
    <w:p>
      <w:pPr>
        <w:spacing w:after="0" w:line="24" w:lineRule="exact"/>
        <w:rPr>
          <w:rFonts w:ascii="Times New Roman" w:cs="Times New Roman" w:eastAsia="Times New Roman" w:hAnsi="Times New Roman"/>
          <w:sz w:val="18"/>
          <w:szCs w:val="18"/>
          <w:color w:val="auto"/>
        </w:rPr>
      </w:pPr>
    </w:p>
    <w:p>
      <w:pPr>
        <w:ind w:left="13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w:t>
      </w:r>
    </w:p>
    <w:p>
      <w:pPr>
        <w:spacing w:after="0" w:line="18" w:lineRule="exact"/>
        <w:rPr>
          <w:rFonts w:ascii="Times New Roman" w:cs="Times New Roman" w:eastAsia="Times New Roman" w:hAnsi="Times New Roman"/>
          <w:sz w:val="18"/>
          <w:szCs w:val="18"/>
          <w:color w:val="auto"/>
        </w:rPr>
      </w:pPr>
    </w:p>
    <w:p>
      <w:pPr>
        <w:ind w:left="13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w:t>
      </w:r>
    </w:p>
    <w:p>
      <w:pPr>
        <w:spacing w:after="0" w:line="18" w:lineRule="exact"/>
        <w:rPr>
          <w:rFonts w:ascii="Times New Roman" w:cs="Times New Roman" w:eastAsia="Times New Roman" w:hAnsi="Times New Roman"/>
          <w:sz w:val="18"/>
          <w:szCs w:val="18"/>
          <w:color w:val="auto"/>
        </w:rPr>
      </w:pPr>
    </w:p>
    <w:p>
      <w:pPr>
        <w:ind w:left="13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w:t>
      </w:r>
    </w:p>
    <w:p>
      <w:pPr>
        <w:spacing w:after="0" w:line="18" w:lineRule="exact"/>
        <w:rPr>
          <w:rFonts w:ascii="Times New Roman" w:cs="Times New Roman" w:eastAsia="Times New Roman" w:hAnsi="Times New Roman"/>
          <w:sz w:val="18"/>
          <w:szCs w:val="18"/>
          <w:color w:val="auto"/>
        </w:rPr>
      </w:pPr>
    </w:p>
    <w:p>
      <w:pPr>
        <w:ind w:left="13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w:t>
      </w:r>
    </w:p>
    <w:p>
      <w:pPr>
        <w:spacing w:after="0" w:line="18" w:lineRule="exact"/>
        <w:rPr>
          <w:rFonts w:ascii="Times New Roman" w:cs="Times New Roman" w:eastAsia="Times New Roman" w:hAnsi="Times New Roman"/>
          <w:sz w:val="18"/>
          <w:szCs w:val="18"/>
          <w:color w:val="auto"/>
        </w:rPr>
      </w:pPr>
    </w:p>
    <w:p>
      <w:pPr>
        <w:ind w:left="13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w:t>
      </w:r>
    </w:p>
    <w:p>
      <w:pPr>
        <w:spacing w:after="0" w:line="26" w:lineRule="exact"/>
        <w:rPr>
          <w:sz w:val="20"/>
          <w:szCs w:val="20"/>
          <w:color w:val="auto"/>
        </w:rPr>
      </w:pPr>
    </w:p>
    <w:p>
      <w:pPr>
        <w:ind w:left="1161" w:hanging="1161"/>
        <w:spacing w:after="0"/>
        <w:tabs>
          <w:tab w:leader="none" w:pos="11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1,582</w:t>
      </w:r>
    </w:p>
    <w:p>
      <w:pPr>
        <w:spacing w:after="0" w:line="24" w:lineRule="exact"/>
        <w:rPr>
          <w:rFonts w:ascii="Times New Roman" w:cs="Times New Roman" w:eastAsia="Times New Roman" w:hAnsi="Times New Roman"/>
          <w:sz w:val="18"/>
          <w:szCs w:val="18"/>
          <w:color w:val="auto"/>
        </w:rPr>
      </w:pPr>
    </w:p>
    <w:p>
      <w:pPr>
        <w:ind w:left="12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w:t>
      </w:r>
    </w:p>
    <w:p>
      <w:pPr>
        <w:spacing w:after="0" w:line="26" w:lineRule="exact"/>
        <w:rPr>
          <w:sz w:val="20"/>
          <w:szCs w:val="20"/>
          <w:color w:val="auto"/>
        </w:rPr>
      </w:pPr>
    </w:p>
    <w:p>
      <w:pPr>
        <w:ind w:left="1181" w:hanging="1181"/>
        <w:spacing w:after="0"/>
        <w:tabs>
          <w:tab w:leader="none" w:pos="11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033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64" w:lineRule="exact"/>
        <w:rPr>
          <w:sz w:val="20"/>
          <w:szCs w:val="20"/>
          <w:color w:val="auto"/>
        </w:rPr>
      </w:pPr>
    </w:p>
    <w:p>
      <w:pPr>
        <w:ind w:left="1301" w:hanging="1301"/>
        <w:spacing w:after="0"/>
        <w:tabs>
          <w:tab w:leader="none" w:pos="130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494</w:t>
      </w:r>
    </w:p>
    <w:p>
      <w:pPr>
        <w:spacing w:after="0" w:line="24" w:lineRule="exact"/>
        <w:rPr>
          <w:rFonts w:ascii="Times New Roman" w:cs="Times New Roman" w:eastAsia="Times New Roman" w:hAnsi="Times New Roman"/>
          <w:sz w:val="18"/>
          <w:szCs w:val="18"/>
          <w:color w:val="auto"/>
        </w:rPr>
      </w:pPr>
    </w:p>
    <w:p>
      <w:pPr>
        <w:ind w:left="13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917</w:t>
      </w:r>
    </w:p>
    <w:p>
      <w:pPr>
        <w:spacing w:after="0" w:line="26" w:lineRule="exact"/>
        <w:rPr>
          <w:sz w:val="20"/>
          <w:szCs w:val="20"/>
          <w:color w:val="auto"/>
        </w:rPr>
      </w:pPr>
    </w:p>
    <w:p>
      <w:pPr>
        <w:ind w:left="1181" w:hanging="1181"/>
        <w:spacing w:after="0"/>
        <w:tabs>
          <w:tab w:leader="none" w:pos="11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033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59" w:space="720"/>
            <w:col w:w="3941"/>
          </w:cols>
          <w:pgMar w:left="240" w:top="159" w:right="239" w:bottom="1440" w:gutter="0" w:footer="0" w:header="0"/>
          <w:type w:val="continuous"/>
        </w:sectPr>
      </w:pP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Operating lease assets of $1.3 billion and $1.8 billion as of December 31, 2019 and 2018, respectively, were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Operating lease liabilities as of December 31, 2018 were $1.8 billion, of which $0.6 billion was classified in</w:t>
      </w:r>
      <w:r>
        <w:rPr>
          <w:rFonts w:ascii="Times New Roman" w:cs="Times New Roman" w:eastAsia="Times New Roman" w:hAnsi="Times New Roman"/>
          <w:sz w:val="18"/>
          <w:szCs w:val="18"/>
          <w:i w:val="1"/>
          <w:iCs w:val="1"/>
          <w:color w:val="auto"/>
        </w:rPr>
        <w:t xml:space="preserve"> Accounts payable and accrued liabilities </w:t>
      </w:r>
      <w:r>
        <w:rPr>
          <w:rFonts w:ascii="Times New Roman" w:cs="Times New Roman" w:eastAsia="Times New Roman" w:hAnsi="Times New Roman"/>
          <w:sz w:val="18"/>
          <w:szCs w:val="18"/>
          <w:color w:val="auto"/>
        </w:rPr>
        <w:t>and $1.2 billion was classified in</w:t>
      </w:r>
      <w:r>
        <w:rPr>
          <w:rFonts w:ascii="Times New Roman" w:cs="Times New Roman" w:eastAsia="Times New Roman" w:hAnsi="Times New Roman"/>
          <w:sz w:val="18"/>
          <w:szCs w:val="18"/>
          <w:i w:val="1"/>
          <w:iCs w:val="1"/>
          <w:color w:val="auto"/>
        </w:rPr>
        <w:t xml:space="preserve"> Other Liabilities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Balance Sheet.</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weighted-average remaining lease term as of December 31, 2019 was 7 years. The weighted-average discount rate used to determine the operating lease liability as of December 31, 2019 was 3.2%.</w:t>
      </w:r>
    </w:p>
    <w:p>
      <w:pPr>
        <w:spacing w:after="0" w:line="163" w:lineRule="exact"/>
        <w:rPr>
          <w:sz w:val="20"/>
          <w:szCs w:val="20"/>
          <w:color w:val="auto"/>
        </w:rPr>
      </w:pPr>
    </w:p>
    <w:p>
      <w:pPr>
        <w:ind w:left="280" w:hanging="274"/>
        <w:spacing w:after="0"/>
        <w:tabs>
          <w:tab w:leader="none" w:pos="2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59" w:right="239" w:bottom="1440" w:gutter="0" w:footer="0" w:header="0"/>
          <w:type w:val="continuous"/>
        </w:sectPr>
      </w:pPr>
    </w:p>
    <w:bookmarkStart w:id="49" w:name="page50"/>
    <w:bookmarkEnd w:id="49"/>
    <w:p>
      <w:pPr>
        <w:ind w:left="280" w:hanging="274"/>
        <w:spacing w:after="0"/>
        <w:tabs>
          <w:tab w:leader="none" w:pos="2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Schlumberger’s segments are as follows:</w:t>
      </w:r>
    </w:p>
    <w:p>
      <w:pPr>
        <w:spacing w:after="0" w:line="108" w:lineRule="exact"/>
        <w:rPr>
          <w:sz w:val="20"/>
          <w:szCs w:val="20"/>
          <w:color w:val="auto"/>
        </w:rPr>
      </w:pPr>
    </w:p>
    <w:p>
      <w:pPr>
        <w:ind w:left="740" w:hanging="362"/>
        <w:spacing w:after="0" w:line="239" w:lineRule="auto"/>
        <w:tabs>
          <w:tab w:leader="none" w:pos="7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b w:val="1"/>
          <w:bCs w:val="1"/>
          <w:i w:val="1"/>
          <w:iCs w:val="1"/>
          <w:color w:val="auto"/>
        </w:rPr>
        <w:t xml:space="preserve">Reservoir Characterization </w:t>
      </w:r>
      <w:r>
        <w:rPr>
          <w:rFonts w:ascii="Times New Roman" w:cs="Times New Roman" w:eastAsia="Times New Roman" w:hAnsi="Times New Roman"/>
          <w:sz w:val="18"/>
          <w:szCs w:val="18"/>
          <w:color w:val="auto"/>
        </w:rPr>
        <w:t>– Consists of the principal Technologies involved in finding and defining hydrocarbon resources. These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WesternGeco, Wireline, Testing Services, Software Integrated Solutions, OneSurface and Integrated Services Management.</w:t>
      </w:r>
    </w:p>
    <w:p>
      <w:pPr>
        <w:spacing w:after="0" w:line="84" w:lineRule="exact"/>
        <w:rPr>
          <w:rFonts w:ascii="Times New Roman" w:cs="Times New Roman" w:eastAsia="Times New Roman" w:hAnsi="Times New Roman"/>
          <w:sz w:val="21"/>
          <w:szCs w:val="21"/>
          <w:color w:val="auto"/>
        </w:rPr>
      </w:pPr>
    </w:p>
    <w:p>
      <w:pPr>
        <w:ind w:left="740" w:hanging="362"/>
        <w:spacing w:after="0" w:line="239" w:lineRule="auto"/>
        <w:tabs>
          <w:tab w:leader="none" w:pos="7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b w:val="1"/>
          <w:bCs w:val="1"/>
          <w:i w:val="1"/>
          <w:iCs w:val="1"/>
          <w:color w:val="auto"/>
        </w:rPr>
        <w:t xml:space="preserve">Drilling </w:t>
      </w:r>
      <w:r>
        <w:rPr>
          <w:rFonts w:ascii="Times New Roman" w:cs="Times New Roman" w:eastAsia="Times New Roman" w:hAnsi="Times New Roman"/>
          <w:sz w:val="18"/>
          <w:szCs w:val="18"/>
          <w:color w:val="auto"/>
        </w:rPr>
        <w:t>– Consists of the principal Technologies involved in the drilling and positioning of oil and gas wells. These include Bits &amp; Drilling Tools, M-I SWACO, Drilling &amp; Measurements, Land Rigs and Integrated Drilling Services.</w:t>
      </w:r>
    </w:p>
    <w:p>
      <w:pPr>
        <w:spacing w:after="0" w:line="84" w:lineRule="exact"/>
        <w:rPr>
          <w:rFonts w:ascii="Times New Roman" w:cs="Times New Roman" w:eastAsia="Times New Roman" w:hAnsi="Times New Roman"/>
          <w:sz w:val="21"/>
          <w:szCs w:val="21"/>
          <w:color w:val="auto"/>
        </w:rPr>
      </w:pPr>
    </w:p>
    <w:p>
      <w:pPr>
        <w:ind w:left="740" w:hanging="362"/>
        <w:spacing w:after="0" w:line="279" w:lineRule="auto"/>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Production </w:t>
      </w:r>
      <w:r>
        <w:rPr>
          <w:rFonts w:ascii="Times New Roman" w:cs="Times New Roman" w:eastAsia="Times New Roman" w:hAnsi="Times New Roman"/>
          <w:sz w:val="18"/>
          <w:szCs w:val="18"/>
          <w:color w:val="auto"/>
        </w:rPr>
        <w:t>– Consists of the principal Technologies involved in the lifetime production of oil and gas reservoirs. These include Well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OneStim, Completions, Artificial Lift and Asset Performance Solutions.</w:t>
      </w:r>
    </w:p>
    <w:p>
      <w:pPr>
        <w:spacing w:after="0" w:line="49" w:lineRule="exact"/>
        <w:rPr>
          <w:rFonts w:ascii="Times New Roman" w:cs="Times New Roman" w:eastAsia="Times New Roman" w:hAnsi="Times New Roman"/>
          <w:sz w:val="18"/>
          <w:szCs w:val="18"/>
          <w:color w:val="auto"/>
        </w:rPr>
      </w:pPr>
    </w:p>
    <w:p>
      <w:pPr>
        <w:ind w:left="740" w:hanging="362"/>
        <w:spacing w:after="0" w:line="279" w:lineRule="auto"/>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Cameron </w:t>
      </w:r>
      <w:r>
        <w:rPr>
          <w:rFonts w:ascii="Times New Roman" w:cs="Times New Roman" w:eastAsia="Times New Roman" w:hAnsi="Times New Roman"/>
          <w:sz w:val="18"/>
          <w:szCs w:val="18"/>
          <w:color w:val="auto"/>
        </w:rPr>
        <w:t>– Consists of the principal Technologies involved in pressure and flow control for drilling and intervention rigs, oil and gas wells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facilities. These include OneSubsea, Surface Systems, Drilling Systems and Valves &amp; Process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the years ended December 31, 2019, 2018 and 2017, by segment, is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Depreciation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and</w:t>
            </w: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r>
      <w:tr>
        <w:trPr>
          <w:trHeight w:val="231"/>
        </w:trPr>
        <w:tc>
          <w:tcPr>
            <w:tcW w:w="5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Before Taxes</w:t>
            </w:r>
          </w:p>
        </w:tc>
        <w:tc>
          <w:tcPr>
            <w:tcW w:w="18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Amortization</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Expenditures</w:t>
            </w:r>
          </w:p>
        </w:tc>
      </w:tr>
      <w:tr>
        <w:trPr>
          <w:trHeight w:val="219"/>
        </w:trPr>
        <w:tc>
          <w:tcPr>
            <w:tcW w:w="5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6,312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3,909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616</w:t>
            </w:r>
          </w:p>
        </w:tc>
        <w:tc>
          <w:tcPr>
            <w:tcW w:w="100" w:type="dxa"/>
            <w:vAlign w:val="bottom"/>
          </w:tcPr>
          <w:p>
            <w:pPr>
              <w:spacing w:after="0"/>
              <w:rPr>
                <w:sz w:val="19"/>
                <w:szCs w:val="19"/>
                <w:color w:val="auto"/>
              </w:rPr>
            </w:pPr>
          </w:p>
        </w:tc>
      </w:tr>
      <w:tr>
        <w:trPr>
          <w:trHeight w:val="22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10,289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100" w:type="dxa"/>
            <w:vAlign w:val="bottom"/>
            <w:shd w:val="clear" w:color="auto" w:fill="CFF0FC"/>
          </w:tcPr>
          <w:p>
            <w:pPr>
              <w:spacing w:after="0"/>
              <w:rPr>
                <w:sz w:val="19"/>
                <w:szCs w:val="19"/>
                <w:color w:val="auto"/>
              </w:rPr>
            </w:pPr>
          </w:p>
        </w:tc>
      </w:tr>
      <w:tr>
        <w:trPr>
          <w:trHeight w:val="22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00" w:type="dxa"/>
            <w:vAlign w:val="bottom"/>
          </w:tcPr>
          <w:p>
            <w:pPr>
              <w:spacing w:after="0"/>
              <w:rPr>
                <w:sz w:val="19"/>
                <w:szCs w:val="19"/>
                <w:color w:val="auto"/>
              </w:rPr>
            </w:pPr>
          </w:p>
        </w:tc>
      </w:tr>
      <w:tr>
        <w:trPr>
          <w:trHeight w:val="22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(439)</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(171)</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shd w:val="clear" w:color="auto" w:fill="CFF0FC"/>
          </w:tcPr>
          <w:p>
            <w:pPr>
              <w:spacing w:after="0"/>
              <w:rPr>
                <w:sz w:val="19"/>
                <w:szCs w:val="19"/>
                <w:color w:val="auto"/>
              </w:rPr>
            </w:pPr>
          </w:p>
        </w:tc>
      </w:tr>
      <w:tr>
        <w:trPr>
          <w:trHeight w:val="219"/>
        </w:trPr>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Cash and short term investments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(957)</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(571)</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Charges &amp; credits </w:t>
            </w:r>
            <w:r>
              <w:rPr>
                <w:rFonts w:ascii="Times New Roman" w:cs="Times New Roman" w:eastAsia="Times New Roman" w:hAnsi="Times New Roman"/>
                <w:sz w:val="15"/>
                <w:szCs w:val="15"/>
                <w:color w:val="auto"/>
              </w:rPr>
              <w:t>(4)</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(12,901)</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9"/>
        </w:trPr>
        <w:tc>
          <w:tcPr>
            <w:tcW w:w="50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32,917</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56,312</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3,589</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w:t>
            </w: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5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72"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4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4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4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6"/>
              </w:rPr>
              <w:t>Income</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and</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Capital</w:t>
            </w:r>
          </w:p>
        </w:tc>
      </w:tr>
      <w:tr>
        <w:trPr>
          <w:trHeight w:val="231"/>
        </w:trPr>
        <w:tc>
          <w:tcPr>
            <w:tcW w:w="4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7"/>
              </w:rPr>
              <w:t>Before Taxes</w:t>
            </w:r>
          </w:p>
        </w:tc>
        <w:tc>
          <w:tcPr>
            <w:tcW w:w="180" w:type="dxa"/>
            <w:vAlign w:val="bottom"/>
          </w:tcPr>
          <w:p>
            <w:pPr>
              <w:spacing w:after="0"/>
              <w:rPr>
                <w:sz w:val="20"/>
                <w:szCs w:val="20"/>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Expenditures</w:t>
            </w:r>
          </w:p>
        </w:tc>
      </w:tr>
      <w:tr>
        <w:trPr>
          <w:trHeight w:val="219"/>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4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1,347</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3"/>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r>
      <w:tr>
        <w:trPr>
          <w:trHeight w:val="22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r>
      <w:tr>
        <w:trPr>
          <w:trHeight w:val="22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9"/>
                <w:szCs w:val="19"/>
                <w:color w:val="auto"/>
              </w:rPr>
            </w:pPr>
          </w:p>
        </w:tc>
      </w:tr>
      <w:tr>
        <w:trPr>
          <w:trHeight w:val="219"/>
        </w:trPr>
        <w:tc>
          <w:tcPr>
            <w:tcW w:w="4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and short term investments</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Charges &amp; credits </w:t>
            </w:r>
            <w:r>
              <w:rPr>
                <w:rFonts w:ascii="Times New Roman" w:cs="Times New Roman" w:eastAsia="Times New Roman" w:hAnsi="Times New Roman"/>
                <w:sz w:val="15"/>
                <w:szCs w:val="15"/>
                <w:color w:val="auto"/>
              </w:rPr>
              <w:t>(4)</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9"/>
        </w:trPr>
        <w:tc>
          <w:tcPr>
            <w:tcW w:w="4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2,624</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3"/>
        </w:trPr>
        <w:tc>
          <w:tcPr>
            <w:tcW w:w="4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4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4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Depreciation</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4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Income</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and</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Capital</w:t>
            </w:r>
          </w:p>
        </w:tc>
      </w:tr>
      <w:tr>
        <w:trPr>
          <w:trHeight w:val="231"/>
        </w:trPr>
        <w:tc>
          <w:tcPr>
            <w:tcW w:w="4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Revenue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7"/>
              </w:rPr>
              <w:t>Before Taxes</w:t>
            </w:r>
          </w:p>
        </w:tc>
        <w:tc>
          <w:tcPr>
            <w:tcW w:w="180" w:type="dxa"/>
            <w:vAlign w:val="bottom"/>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Pr>
          <w:p>
            <w:pPr>
              <w:spacing w:after="0"/>
              <w:rPr>
                <w:sz w:val="20"/>
                <w:szCs w:val="20"/>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6"/>
              </w:rPr>
              <w:t>Expenditures</w:t>
            </w:r>
          </w:p>
        </w:tc>
      </w:tr>
      <w:tr>
        <w:trPr>
          <w:trHeight w:val="219"/>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4,714</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Borders>
              <w:top w:val="single" w:sz="8" w:color="CFF0FC"/>
            </w:tcBorders>
            <w:gridSpan w:val="3"/>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r>
      <w:tr>
        <w:trPr>
          <w:trHeight w:val="22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12,450</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1,240</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r>
      <w:tr>
        <w:trPr>
          <w:trHeight w:val="22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1,665</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19"/>
                <w:szCs w:val="19"/>
                <w:color w:val="auto"/>
              </w:rPr>
            </w:pPr>
          </w:p>
        </w:tc>
      </w:tr>
      <w:tr>
        <w:trPr>
          <w:trHeight w:val="219"/>
        </w:trPr>
        <w:tc>
          <w:tcPr>
            <w:tcW w:w="4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34,472</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short term investments and fixed income investments</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3,928</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Charges &amp; credits </w:t>
            </w:r>
            <w:r>
              <w:rPr>
                <w:rFonts w:ascii="Times New Roman" w:cs="Times New Roman" w:eastAsia="Times New Roman" w:hAnsi="Times New Roman"/>
                <w:sz w:val="15"/>
                <w:szCs w:val="15"/>
                <w:color w:val="auto"/>
              </w:rPr>
              <w:t>(4)</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(3,764)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1"/>
        </w:trPr>
        <w:tc>
          <w:tcPr>
            <w:tcW w:w="462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30,440</w:t>
            </w:r>
          </w:p>
        </w:tc>
        <w:tc>
          <w:tcPr>
            <w:tcW w:w="120" w:type="dxa"/>
            <w:vAlign w:val="bottom"/>
          </w:tcPr>
          <w:p>
            <w:pPr>
              <w:spacing w:after="0"/>
              <w:rPr>
                <w:sz w:val="24"/>
                <w:szCs w:val="24"/>
                <w:color w:val="auto"/>
              </w:rPr>
            </w:pP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71,987</w:t>
            </w:r>
          </w:p>
        </w:tc>
        <w:tc>
          <w:tcPr>
            <w:tcW w:w="1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3,837</w:t>
            </w:r>
          </w:p>
        </w:tc>
        <w:tc>
          <w:tcPr>
            <w:tcW w:w="380" w:type="dxa"/>
            <w:vAlign w:val="bottom"/>
            <w:gridSpan w:val="4"/>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24"/>
                <w:szCs w:val="24"/>
                <w:color w:val="auto"/>
              </w:rPr>
            </w:pPr>
          </w:p>
        </w:tc>
      </w:tr>
      <w:tr>
        <w:trPr>
          <w:trHeight w:val="20"/>
        </w:trPr>
        <w:tc>
          <w:tcPr>
            <w:tcW w:w="4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right="20" w:hanging="374"/>
        <w:spacing w:after="0" w:line="202" w:lineRule="auto"/>
        <w:tabs>
          <w:tab w:leader="none" w:pos="380"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(including intangible asset amortization expense resulting from the 2016 acquisition of Cameron), certain centrally managed initiatives and other nonoperating items.</w:t>
      </w:r>
    </w:p>
    <w:p>
      <w:pPr>
        <w:spacing w:after="0" w:line="20" w:lineRule="exact"/>
        <w:rPr>
          <w:rFonts w:ascii="Times New Roman" w:cs="Times New Roman" w:eastAsia="Times New Roman" w:hAnsi="Times New Roman"/>
          <w:sz w:val="26"/>
          <w:szCs w:val="26"/>
          <w:color w:val="auto"/>
          <w:vertAlign w:val="superscript"/>
        </w:rPr>
      </w:pPr>
    </w:p>
    <w:p>
      <w:pPr>
        <w:ind w:left="380" w:hanging="374"/>
        <w:spacing w:after="0"/>
        <w:tabs>
          <w:tab w:leader="none" w:pos="380"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(2019: $8 million; 2018: $8 million; 2017: $21 million).</w:t>
      </w:r>
    </w:p>
    <w:p>
      <w:pPr>
        <w:spacing w:after="0" w:line="115" w:lineRule="exact"/>
        <w:rPr>
          <w:rFonts w:ascii="Times New Roman" w:cs="Times New Roman" w:eastAsia="Times New Roman" w:hAnsi="Times New Roman"/>
          <w:sz w:val="26"/>
          <w:szCs w:val="26"/>
          <w:color w:val="auto"/>
          <w:vertAlign w:val="superscript"/>
        </w:rPr>
      </w:pPr>
    </w:p>
    <w:p>
      <w:pPr>
        <w:ind w:left="380" w:hanging="374"/>
        <w:spacing w:after="0" w:line="180" w:lineRule="auto"/>
        <w:tabs>
          <w:tab w:leader="none" w:pos="38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(2019: $38 million; 2018: $38 million; 2017: $53 million).</w:t>
      </w:r>
    </w:p>
    <w:p>
      <w:pPr>
        <w:spacing w:after="0" w:line="115" w:lineRule="exact"/>
        <w:rPr>
          <w:rFonts w:ascii="Times New Roman" w:cs="Times New Roman" w:eastAsia="Times New Roman" w:hAnsi="Times New Roman"/>
          <w:sz w:val="22"/>
          <w:szCs w:val="22"/>
          <w:color w:val="auto"/>
          <w:vertAlign w:val="superscript"/>
        </w:rPr>
      </w:pPr>
    </w:p>
    <w:p>
      <w:pPr>
        <w:ind w:left="380" w:hanging="374"/>
        <w:spacing w:after="0" w:line="180" w:lineRule="auto"/>
        <w:tabs>
          <w:tab w:leader="none" w:pos="38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See Note 3 – </w:t>
      </w:r>
      <w:r>
        <w:rPr>
          <w:rFonts w:ascii="Times New Roman" w:cs="Times New Roman" w:eastAsia="Times New Roman" w:hAnsi="Times New Roman"/>
          <w:sz w:val="14"/>
          <w:szCs w:val="14"/>
          <w:i w:val="1"/>
          <w:iCs w:val="1"/>
          <w:color w:val="auto"/>
        </w:rPr>
        <w:t>Charges and Credits</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consist of receivables, inventories, fixed assets, multiclient seismic data and APS investments.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51" w:name="page52"/>
    <w:bookmarkEnd w:id="51"/>
    <w:p>
      <w:pPr>
        <w:ind w:right="20"/>
        <w:spacing w:after="0" w:line="274" w:lineRule="auto"/>
        <w:rPr>
          <w:sz w:val="20"/>
          <w:szCs w:val="20"/>
          <w:color w:val="auto"/>
        </w:rPr>
      </w:pPr>
      <w:r>
        <w:rPr>
          <w:rFonts w:ascii="Times New Roman" w:cs="Times New Roman" w:eastAsia="Times New Roman" w:hAnsi="Times New Roman"/>
          <w:sz w:val="18"/>
          <w:szCs w:val="18"/>
          <w:color w:val="auto"/>
        </w:rPr>
        <w:t>Depreciation and amortization includes depreciation of property, plant and equipment and amortization of intangible assets, multiclient seismic data costs and APS investments.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by geographic area for the years ended December 31, 2019, 2018 and 2017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412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4"/>
                <w:szCs w:val="24"/>
                <w:color w:val="auto"/>
              </w:rPr>
            </w:pPr>
          </w:p>
        </w:tc>
      </w:tr>
      <w:tr>
        <w:trPr>
          <w:trHeight w:val="219"/>
        </w:trPr>
        <w:tc>
          <w:tcPr>
            <w:tcW w:w="4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6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10,843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4,149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Pr>
          <w:p>
            <w:pPr>
              <w:spacing w:after="0"/>
              <w:rPr>
                <w:sz w:val="19"/>
                <w:szCs w:val="19"/>
                <w:color w:val="auto"/>
              </w:rPr>
            </w:pPr>
          </w:p>
        </w:tc>
      </w:tr>
      <w:tr>
        <w:trPr>
          <w:trHeight w:val="22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26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7,683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00" w:type="dxa"/>
            <w:vAlign w:val="bottom"/>
            <w:shd w:val="clear" w:color="auto" w:fill="CFF0FC"/>
          </w:tcPr>
          <w:p>
            <w:pPr>
              <w:spacing w:after="0"/>
              <w:rPr>
                <w:sz w:val="19"/>
                <w:szCs w:val="19"/>
                <w:color w:val="auto"/>
              </w:rPr>
            </w:pPr>
          </w:p>
        </w:tc>
      </w:tr>
      <w:tr>
        <w:trPr>
          <w:trHeight w:val="22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2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10,017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100" w:type="dxa"/>
            <w:vAlign w:val="bottom"/>
          </w:tcPr>
          <w:p>
            <w:pPr>
              <w:spacing w:after="0"/>
              <w:rPr>
                <w:sz w:val="19"/>
                <w:szCs w:val="19"/>
                <w:color w:val="auto"/>
              </w:rPr>
            </w:pPr>
          </w:p>
        </w:tc>
      </w:tr>
      <w:tr>
        <w:trPr>
          <w:trHeight w:val="22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6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FF0FC"/>
          </w:tcPr>
          <w:p>
            <w:pPr>
              <w:spacing w:after="0"/>
              <w:rPr>
                <w:sz w:val="19"/>
                <w:szCs w:val="19"/>
                <w:color w:val="auto"/>
              </w:rPr>
            </w:pPr>
          </w:p>
        </w:tc>
      </w:tr>
      <w:tr>
        <w:trPr>
          <w:trHeight w:val="219"/>
        </w:trPr>
        <w:tc>
          <w:tcPr>
            <w:tcW w:w="4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32,917</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30,440</w:t>
            </w:r>
          </w:p>
        </w:tc>
        <w:tc>
          <w:tcPr>
            <w:tcW w:w="10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based on the location where services are provided and products are sold.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three years ended December 31, 2019, 2018 and 2017, no single customer exceeded 10% of consolidated revenue.</w:t>
      </w:r>
    </w:p>
    <w:p>
      <w:pPr>
        <w:spacing w:after="0" w:line="21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Schlumberger did not have revenue from third-party customers in its country of domicile during the last three years. Revenue in the United States in 2019, 2018 and 2017 was $9.3 billion, $10.1 billion and $8.1 billion,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America and International revenue disaggregated by segment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3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2019</w:t>
            </w: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center"/>
              <w:ind w:right="260"/>
              <w:spacing w:after="0" w:line="201" w:lineRule="exact"/>
              <w:rPr>
                <w:sz w:val="20"/>
                <w:szCs w:val="20"/>
                <w:color w:val="auto"/>
              </w:rPr>
            </w:pPr>
            <w:r>
              <w:rPr>
                <w:rFonts w:ascii="Times New Roman" w:cs="Times New Roman" w:eastAsia="Times New Roman" w:hAnsi="Times New Roman"/>
                <w:sz w:val="18"/>
                <w:szCs w:val="18"/>
                <w:color w:val="auto"/>
                <w:w w:val="97"/>
              </w:rPr>
              <w:t>Eliminations &amp;</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7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w w:val="99"/>
              </w:rPr>
              <w:t>North America</w:t>
            </w:r>
          </w:p>
        </w:tc>
        <w:tc>
          <w:tcPr>
            <w:tcW w:w="1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International</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other</w:t>
            </w:r>
          </w:p>
        </w:tc>
        <w:tc>
          <w:tcPr>
            <w:tcW w:w="24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9"/>
        </w:trPr>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2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5,263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2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2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5,336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2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(58)</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(439)</w:t>
            </w:r>
          </w:p>
        </w:tc>
        <w:tc>
          <w:tcPr>
            <w:tcW w:w="0" w:type="dxa"/>
            <w:vAlign w:val="bottom"/>
          </w:tcPr>
          <w:p>
            <w:pPr>
              <w:spacing w:after="0"/>
              <w:rPr>
                <w:sz w:val="1"/>
                <w:szCs w:val="1"/>
                <w:color w:val="auto"/>
              </w:rPr>
            </w:pPr>
          </w:p>
        </w:tc>
      </w:tr>
      <w:tr>
        <w:trPr>
          <w:trHeight w:val="219"/>
        </w:trPr>
        <w:tc>
          <w:tcPr>
            <w:tcW w:w="3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10,843</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3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8"/>
                <w:szCs w:val="18"/>
                <w:color w:val="auto"/>
              </w:rPr>
              <w:t>2018</w:t>
            </w: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center"/>
              <w:ind w:right="260"/>
              <w:spacing w:after="0" w:line="201" w:lineRule="exact"/>
              <w:rPr>
                <w:sz w:val="20"/>
                <w:szCs w:val="20"/>
                <w:color w:val="auto"/>
              </w:rPr>
            </w:pPr>
            <w:r>
              <w:rPr>
                <w:rFonts w:ascii="Times New Roman" w:cs="Times New Roman" w:eastAsia="Times New Roman" w:hAnsi="Times New Roman"/>
                <w:sz w:val="18"/>
                <w:szCs w:val="18"/>
                <w:color w:val="auto"/>
                <w:w w:val="97"/>
              </w:rPr>
              <w:t>Eliminations &amp;</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7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w w:val="99"/>
              </w:rPr>
              <w:t>North America</w:t>
            </w:r>
          </w:p>
        </w:tc>
        <w:tc>
          <w:tcPr>
            <w:tcW w:w="1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International</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other</w:t>
            </w:r>
          </w:p>
        </w:tc>
        <w:tc>
          <w:tcPr>
            <w:tcW w:w="24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9"/>
        </w:trPr>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2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2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2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2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9"/>
        </w:trPr>
        <w:tc>
          <w:tcPr>
            <w:tcW w:w="3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37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7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 xml:space="preserve">Fixed Assets less accumulated depreciation </w:t>
      </w:r>
      <w:r>
        <w:rPr>
          <w:rFonts w:ascii="Times New Roman" w:cs="Times New Roman" w:eastAsia="Times New Roman" w:hAnsi="Times New Roman"/>
          <w:sz w:val="18"/>
          <w:szCs w:val="18"/>
          <w:color w:val="auto"/>
        </w:rPr>
        <w:t>by geographic area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7820" w:type="dxa"/>
            <w:vAlign w:val="bottom"/>
            <w:tcBorders>
              <w:bottom w:val="single" w:sz="8" w:color="CFF0FC"/>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080" w:type="dxa"/>
            <w:vAlign w:val="bottom"/>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3,646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0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19"/>
                <w:szCs w:val="19"/>
                <w:color w:val="auto"/>
              </w:rPr>
            </w:pPr>
          </w:p>
        </w:tc>
        <w:tc>
          <w:tcPr>
            <w:tcW w:w="108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9,270</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b w:val="1"/>
          <w:bCs w:val="1"/>
          <w:u w:val="single" w:color="auto"/>
          <w:color w:val="auto"/>
        </w:rPr>
        <w:t>Pension and Other Benefit Plans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Plans</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Schlumberger sponsors several defined benefit pension plans that cover substantially all US employees hired prior to October 1, 2004. The benefits are based on years of service and compensation, on a career-average pay basis.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US defined benefit pension plans, Schlumberger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weighted-average assumed discount rate, compensation increases and expected long-term rate of return on plan assets used to determine the net pension cost for the US and International plans were as follows: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US</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7"/>
              </w:rPr>
              <w:t>International</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9"/>
        </w:trPr>
        <w:tc>
          <w:tcPr>
            <w:tcW w:w="44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CFF0FC"/>
            </w:tcBorders>
          </w:tcPr>
          <w:p>
            <w:pPr>
              <w:spacing w:after="0"/>
              <w:rPr>
                <w:sz w:val="19"/>
                <w:szCs w:val="19"/>
                <w:color w:val="auto"/>
              </w:rPr>
            </w:pPr>
          </w:p>
        </w:tc>
      </w:tr>
      <w:tr>
        <w:trPr>
          <w:trHeight w:val="21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4.30%</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4.00%</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3.55%</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r>
      <w:tr>
        <w:trPr>
          <w:trHeight w:val="22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increases</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4.83%</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4.81%</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r>
      <w:tr>
        <w:trPr>
          <w:trHeight w:val="22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Return on plan assets</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6.60%</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7.25%</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7.25%</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7.22%</w:t>
            </w: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7.40%</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pension cost (credit) for 2019, 2018 and 2017 included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w w:val="98"/>
              </w:rPr>
              <w:t>(Stated in millions)</w:t>
            </w:r>
          </w:p>
        </w:tc>
      </w:tr>
      <w:tr>
        <w:trPr>
          <w:trHeight w:val="423"/>
        </w:trPr>
        <w:tc>
          <w:tcPr>
            <w:tcW w:w="4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9"/>
        </w:trPr>
        <w:tc>
          <w:tcPr>
            <w:tcW w:w="4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FF0FC"/>
            </w:tcBorders>
          </w:tcPr>
          <w:p>
            <w:pPr>
              <w:spacing w:after="0"/>
              <w:rPr>
                <w:sz w:val="19"/>
                <w:szCs w:val="19"/>
                <w:color w:val="auto"/>
              </w:rPr>
            </w:pPr>
          </w:p>
        </w:tc>
      </w:tr>
      <w:tr>
        <w:trPr>
          <w:trHeight w:val="21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 - benefits earned during the 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(232)</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(592)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(541)</w:t>
            </w: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Settlement charge</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19"/>
        </w:trPr>
        <w:tc>
          <w:tcPr>
            <w:tcW w:w="47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65"/>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5"/>
        </w:trPr>
        <w:tc>
          <w:tcPr>
            <w:tcW w:w="4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59"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xml:space="preserve">See Note 3 - </w:t>
      </w:r>
      <w:r>
        <w:rPr>
          <w:rFonts w:ascii="Times New Roman" w:cs="Times New Roman" w:eastAsia="Times New Roman" w:hAnsi="Times New Roman"/>
          <w:sz w:val="18"/>
          <w:szCs w:val="18"/>
          <w:i w:val="1"/>
          <w:iCs w:val="1"/>
          <w:color w:val="auto"/>
        </w:rPr>
        <w:t>Charges and Credits</w:t>
      </w:r>
      <w:r>
        <w:rPr>
          <w:rFonts w:ascii="Times New Roman" w:cs="Times New Roman" w:eastAsia="Times New Roman" w:hAnsi="Times New Roman"/>
          <w:sz w:val="18"/>
          <w:szCs w:val="18"/>
          <w:color w:val="auto"/>
        </w:rPr>
        <w:t xml:space="preserve"> for details regarding the 2019 settlement charge.</w:t>
      </w:r>
    </w:p>
    <w:p>
      <w:pPr>
        <w:spacing w:after="0" w:line="22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weighted-average assumed discount rate and compensation increases used to determine the projected benefit obligations for the US and International plans were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International</w:t>
            </w: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94"/>
              </w:rPr>
              <w:t>2018</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99"/>
              </w:rPr>
              <w:t>2018</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increases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4.83%</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457"/>
        </w:trPr>
        <w:tc>
          <w:tcPr>
            <w:tcW w:w="754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8"/>
              </w:rPr>
              <w:t>The changes in the projected benefit obligation, plan assets and funded status of the plans were as follows: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3"/>
        </w:trPr>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US</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International</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Projected Benefit Obligations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4,603</w:t>
            </w:r>
          </w:p>
        </w:tc>
        <w:tc>
          <w:tcPr>
            <w:tcW w:w="140" w:type="dxa"/>
            <w:vAlign w:val="bottom"/>
          </w:tcPr>
          <w:p>
            <w:pPr>
              <w:spacing w:after="0"/>
              <w:rPr>
                <w:sz w:val="19"/>
                <w:szCs w:val="19"/>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8,111</w:t>
            </w:r>
          </w:p>
        </w:tc>
        <w:tc>
          <w:tcPr>
            <w:tcW w:w="220" w:type="dxa"/>
            <w:vAlign w:val="bottom"/>
          </w:tcPr>
          <w:p>
            <w:pPr>
              <w:spacing w:after="0"/>
              <w:rPr>
                <w:sz w:val="19"/>
                <w:szCs w:val="19"/>
                <w:color w:val="auto"/>
              </w:rPr>
            </w:pPr>
          </w:p>
        </w:tc>
        <w:tc>
          <w:tcPr>
            <w:tcW w:w="36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 by plan participants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(gains) losses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effect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9"/>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680" w:type="dxa"/>
            <w:vAlign w:val="bottom"/>
            <w:tcBorders>
              <w:bottom w:val="single" w:sz="8" w:color="CFF0FC"/>
            </w:tcBorders>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4,593</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9,647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Plan Assets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Plan assets at fair value at beginning of year</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4,058</w:t>
            </w:r>
          </w:p>
        </w:tc>
        <w:tc>
          <w:tcPr>
            <w:tcW w:w="140" w:type="dxa"/>
            <w:vAlign w:val="bottom"/>
          </w:tcPr>
          <w:p>
            <w:pPr>
              <w:spacing w:after="0"/>
              <w:rPr>
                <w:sz w:val="19"/>
                <w:szCs w:val="19"/>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7,872</w:t>
            </w:r>
          </w:p>
        </w:tc>
        <w:tc>
          <w:tcPr>
            <w:tcW w:w="220" w:type="dxa"/>
            <w:vAlign w:val="bottom"/>
          </w:tcPr>
          <w:p>
            <w:pPr>
              <w:spacing w:after="0"/>
              <w:rPr>
                <w:sz w:val="19"/>
                <w:szCs w:val="19"/>
                <w:color w:val="auto"/>
              </w:rPr>
            </w:pPr>
          </w:p>
        </w:tc>
        <w:tc>
          <w:tcPr>
            <w:tcW w:w="36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1,676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Currency effect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 contributions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by plan participants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9"/>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 assets at fair value at end of year</w:t>
            </w:r>
          </w:p>
        </w:tc>
        <w:tc>
          <w:tcPr>
            <w:tcW w:w="6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4,236</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3,748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9,363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Liability</w:t>
            </w:r>
          </w:p>
        </w:tc>
        <w:tc>
          <w:tcPr>
            <w:tcW w:w="680" w:type="dxa"/>
            <w:vAlign w:val="bottom"/>
            <w:tcBorders>
              <w:bottom w:val="single" w:sz="8" w:color="CFF0FC"/>
            </w:tcBorders>
            <w:gridSpan w:val="2"/>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20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rPr>
              <w:t>Amounts Recognized in Balance Sheet</w:t>
            </w: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40" w:type="dxa"/>
            <w:vAlign w:val="bottom"/>
          </w:tcPr>
          <w:p>
            <w:pPr>
              <w:spacing w:after="0"/>
              <w:rPr>
                <w:sz w:val="19"/>
                <w:szCs w:val="19"/>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(602)</w:t>
            </w:r>
          </w:p>
        </w:tc>
        <w:tc>
          <w:tcPr>
            <w:tcW w:w="36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200" w:type="dxa"/>
            <w:vAlign w:val="bottom"/>
            <w:tcBorders>
              <w:bottom w:val="single" w:sz="8" w:color="CFF0FC"/>
            </w:tcBorders>
          </w:tcPr>
          <w:p>
            <w:pPr>
              <w:spacing w:after="0"/>
              <w:rPr>
                <w:sz w:val="22"/>
                <w:szCs w:val="22"/>
                <w:color w:val="auto"/>
              </w:rPr>
            </w:pPr>
          </w:p>
        </w:tc>
        <w:tc>
          <w:tcPr>
            <w:tcW w:w="680" w:type="dxa"/>
            <w:vAlign w:val="bottom"/>
            <w:tcBorders>
              <w:bottom w:val="single" w:sz="8" w:color="CFF0FC"/>
            </w:tcBorders>
            <w:gridSpan w:val="2"/>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20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rPr>
              <w:t>Amounts Recognized in Accumulated Other Comprehensive Loss</w:t>
            </w: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Pr>
          <w:p>
            <w:pPr>
              <w:spacing w:after="0"/>
              <w:rPr>
                <w:sz w:val="19"/>
                <w:szCs w:val="19"/>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1,638</w:t>
            </w:r>
          </w:p>
        </w:tc>
        <w:tc>
          <w:tcPr>
            <w:tcW w:w="220" w:type="dxa"/>
            <w:vAlign w:val="bottom"/>
          </w:tcPr>
          <w:p>
            <w:pPr>
              <w:spacing w:after="0"/>
              <w:rPr>
                <w:sz w:val="19"/>
                <w:szCs w:val="19"/>
                <w:color w:val="auto"/>
              </w:rPr>
            </w:pPr>
          </w:p>
        </w:tc>
        <w:tc>
          <w:tcPr>
            <w:tcW w:w="36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1,638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68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4,345</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4,070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9,376</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7,895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520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99" w:right="239" w:bottom="1440" w:gutter="0" w:footer="0" w:header="0"/>
        </w:sectPr>
      </w:pPr>
    </w:p>
    <w:bookmarkStart w:id="54" w:name="page55"/>
    <w:bookmarkEnd w:id="54"/>
    <w:p>
      <w:pPr>
        <w:jc w:val="both"/>
        <w:spacing w:after="0" w:line="255" w:lineRule="auto"/>
        <w:rPr>
          <w:sz w:val="20"/>
          <w:szCs w:val="20"/>
          <w:color w:val="auto"/>
        </w:rPr>
      </w:pPr>
      <w:r>
        <w:rPr>
          <w:rFonts w:ascii="Times New Roman" w:cs="Times New Roman" w:eastAsia="Times New Roman" w:hAnsi="Times New Roman"/>
          <w:sz w:val="18"/>
          <w:szCs w:val="18"/>
          <w:color w:val="auto"/>
        </w:rPr>
        <w:t>The unfunded liability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(“ABO”) represents the actuarial present value of benefits based on employee service and compensation, but does not include an assumption about future compensation levels.</w:t>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Actuarial losses arising during 2019 are primarily attributable to the decrease in the discount rate used to determine the PBO. As of December 31, 2019, the PBO and fair value of plan assets for plans with PBOs in excess of plan assets were $12.6 billion and $11.7 billion, respectively. The related ABO for these plans was $12.2 billion at December 31, 2019.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allocation of plan assets and the target allocations by asset category are as follows: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US</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9"/>
              </w:rPr>
              <w:t>International</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4380" w:type="dxa"/>
            <w:vAlign w:val="bottom"/>
          </w:tcPr>
          <w:p>
            <w:pPr>
              <w:spacing w:after="0"/>
              <w:rPr>
                <w:sz w:val="19"/>
                <w:szCs w:val="19"/>
                <w:color w:val="auto"/>
              </w:rPr>
            </w:pPr>
          </w:p>
        </w:tc>
        <w:tc>
          <w:tcPr>
            <w:tcW w:w="8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Target</w:t>
            </w:r>
          </w:p>
        </w:tc>
        <w:tc>
          <w:tcPr>
            <w:tcW w:w="380" w:type="dxa"/>
            <w:vAlign w:val="bottom"/>
          </w:tcPr>
          <w:p>
            <w:pPr>
              <w:spacing w:after="0"/>
              <w:rPr>
                <w:sz w:val="19"/>
                <w:szCs w:val="19"/>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Target</w:t>
            </w:r>
          </w:p>
        </w:tc>
        <w:tc>
          <w:tcPr>
            <w:tcW w:w="300" w:type="dxa"/>
            <w:vAlign w:val="bottom"/>
          </w:tcPr>
          <w:p>
            <w:pPr>
              <w:spacing w:after="0"/>
              <w:rPr>
                <w:sz w:val="19"/>
                <w:szCs w:val="19"/>
                <w:color w:val="auto"/>
              </w:rPr>
            </w:pPr>
          </w:p>
        </w:tc>
        <w:tc>
          <w:tcPr>
            <w:tcW w:w="9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r>
      <w:tr>
        <w:trPr>
          <w:trHeight w:val="219"/>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- 30</w:t>
            </w:r>
          </w:p>
        </w:tc>
        <w:tc>
          <w:tcPr>
            <w:tcW w:w="380" w:type="dxa"/>
            <w:vAlign w:val="bottom"/>
            <w:tcBorders>
              <w:top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80" w:type="dxa"/>
            <w:vAlign w:val="bottom"/>
            <w:tcBorders>
              <w:top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Borders>
              <w:top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47 - 59</w:t>
            </w:r>
          </w:p>
        </w:tc>
        <w:tc>
          <w:tcPr>
            <w:tcW w:w="3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27 - 33</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r>
      <w:tr>
        <w:trPr>
          <w:trHeight w:val="22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0 - 3</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0 - 5</w:t>
            </w: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r>
      <w:tr>
        <w:trPr>
          <w:trHeight w:val="22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Alternative investments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15 - 22</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r>
      <w:tr>
        <w:trPr>
          <w:trHeight w:val="219"/>
        </w:trPr>
        <w:tc>
          <w:tcPr>
            <w:tcW w:w="43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FF0FC"/>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80" w:type="dxa"/>
            <w:vAlign w:val="bottom"/>
            <w:tcBorders>
              <w:top w:val="single" w:sz="8" w:color="CFF0FC"/>
              <w:bottom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FF0FC"/>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Asset performance is monitored frequently with an overall expectation that plan assets will meet or exceed the weighted index of its target asset allocation and component benchmark over rolling five-year periods.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expected rate of return on assets assumptions reflect the long-term average rate of earnings expected on funds invested or to be invested.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Schlumberger’s pension plan assets at December 31, 2019 and 2018, by asset category, is presented below and was determined based on valuation techniques categorized as follows:</w:t>
      </w:r>
    </w:p>
    <w:p>
      <w:pPr>
        <w:spacing w:after="0" w:line="58" w:lineRule="exact"/>
        <w:rPr>
          <w:sz w:val="20"/>
          <w:szCs w:val="20"/>
          <w:color w:val="auto"/>
        </w:rPr>
      </w:pPr>
    </w:p>
    <w:p>
      <w:pPr>
        <w:ind w:left="740" w:hanging="362"/>
        <w:spacing w:after="0"/>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One: The use of quoted prices in active markets for identical instruments.</w:t>
      </w:r>
    </w:p>
    <w:p>
      <w:pPr>
        <w:spacing w:after="0" w:line="111" w:lineRule="exact"/>
        <w:rPr>
          <w:rFonts w:ascii="Times New Roman" w:cs="Times New Roman" w:eastAsia="Times New Roman" w:hAnsi="Times New Roman"/>
          <w:sz w:val="18"/>
          <w:szCs w:val="18"/>
          <w:color w:val="auto"/>
        </w:rPr>
      </w:pPr>
    </w:p>
    <w:p>
      <w:pPr>
        <w:ind w:left="740" w:right="20" w:hanging="362"/>
        <w:spacing w:after="0" w:line="274" w:lineRule="auto"/>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58" w:lineRule="exact"/>
        <w:rPr>
          <w:rFonts w:ascii="Times New Roman" w:cs="Times New Roman" w:eastAsia="Times New Roman" w:hAnsi="Times New Roman"/>
          <w:sz w:val="18"/>
          <w:szCs w:val="18"/>
          <w:color w:val="auto"/>
        </w:rPr>
      </w:pPr>
    </w:p>
    <w:p>
      <w:pPr>
        <w:ind w:left="740" w:hanging="362"/>
        <w:spacing w:after="0" w:line="274" w:lineRule="auto"/>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Three: The use of significant unobservable inputs that typically require the use of management’s estimates of assumptions that market participants would use in pricing.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ind w:left="5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3"/>
        </w:trPr>
        <w:tc>
          <w:tcPr>
            <w:tcW w:w="3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US Plan Assets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Level</w:t>
            </w:r>
          </w:p>
        </w:tc>
        <w:tc>
          <w:tcPr>
            <w:tcW w:w="140" w:type="dxa"/>
            <w:vAlign w:val="bottom"/>
          </w:tcPr>
          <w:p>
            <w:pPr>
              <w:spacing w:after="0"/>
              <w:rPr>
                <w:sz w:val="18"/>
                <w:szCs w:val="18"/>
                <w:color w:val="auto"/>
              </w:rPr>
            </w:pPr>
          </w:p>
        </w:tc>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Level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Level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Level</w:t>
            </w:r>
          </w:p>
        </w:tc>
        <w:tc>
          <w:tcPr>
            <w:tcW w:w="140" w:type="dxa"/>
            <w:vAlign w:val="bottom"/>
          </w:tcPr>
          <w:p>
            <w:pPr>
              <w:spacing w:after="0"/>
              <w:rPr>
                <w:sz w:val="18"/>
                <w:szCs w:val="18"/>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Level</w:t>
            </w:r>
          </w:p>
        </w:tc>
        <w:tc>
          <w:tcPr>
            <w:tcW w:w="1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Level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One</w:t>
            </w:r>
          </w:p>
        </w:tc>
        <w:tc>
          <w:tcPr>
            <w:tcW w:w="140" w:type="dxa"/>
            <w:vAlign w:val="bottom"/>
          </w:tcPr>
          <w:p>
            <w:pPr>
              <w:spacing w:after="0"/>
              <w:rPr>
                <w:sz w:val="20"/>
                <w:szCs w:val="20"/>
                <w:color w:val="auto"/>
              </w:rPr>
            </w:pPr>
          </w:p>
        </w:tc>
        <w:tc>
          <w:tcPr>
            <w:tcW w:w="6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0"/>
              </w:rPr>
              <w:t>Two</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9"/>
              </w:rPr>
              <w:t>Three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One</w:t>
            </w:r>
          </w:p>
        </w:tc>
        <w:tc>
          <w:tcPr>
            <w:tcW w:w="140" w:type="dxa"/>
            <w:vAlign w:val="bottom"/>
          </w:tcPr>
          <w:p>
            <w:pPr>
              <w:spacing w:after="0"/>
              <w:rPr>
                <w:sz w:val="20"/>
                <w:szCs w:val="20"/>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0"/>
              </w:rPr>
              <w:t>Two</w:t>
            </w:r>
          </w:p>
        </w:tc>
        <w:tc>
          <w:tcPr>
            <w:tcW w:w="14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Three</w:t>
            </w:r>
          </w:p>
        </w:tc>
        <w:tc>
          <w:tcPr>
            <w:tcW w:w="0" w:type="dxa"/>
            <w:vAlign w:val="bottom"/>
          </w:tcPr>
          <w:p>
            <w:pPr>
              <w:spacing w:after="0"/>
              <w:rPr>
                <w:sz w:val="1"/>
                <w:szCs w:val="1"/>
                <w:color w:val="auto"/>
              </w:rPr>
            </w:pPr>
          </w:p>
        </w:tc>
      </w:tr>
      <w:tr>
        <w:trPr>
          <w:trHeight w:val="219"/>
        </w:trPr>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US </w:t>
            </w:r>
            <w:r>
              <w:rPr>
                <w:rFonts w:ascii="Times New Roman" w:cs="Times New Roman" w:eastAsia="Times New Roman" w:hAnsi="Times New Roman"/>
                <w:sz w:val="15"/>
                <w:szCs w:val="15"/>
                <w:color w:val="auto"/>
              </w:rPr>
              <w:t>(a)</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15"/>
                <w:szCs w:val="15"/>
                <w:color w:val="auto"/>
              </w:rPr>
              <w:t>(b)</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15"/>
                <w:szCs w:val="15"/>
                <w:color w:val="auto"/>
              </w:rPr>
              <w:t>(c)</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Government and government-related debt securities</w:t>
            </w: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9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w:t>
            </w: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Collateralized mortgage obligations and mortgage</w:t>
            </w: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backed securities </w:t>
            </w:r>
            <w:r>
              <w:rPr>
                <w:rFonts w:ascii="Times New Roman" w:cs="Times New Roman" w:eastAsia="Times New Roman" w:hAnsi="Times New Roman"/>
                <w:sz w:val="15"/>
                <w:szCs w:val="15"/>
                <w:color w:val="auto"/>
              </w:rPr>
              <w:t>(e)</w:t>
            </w:r>
          </w:p>
        </w:tc>
        <w:tc>
          <w:tcPr>
            <w:tcW w:w="14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Private equity </w:t>
            </w:r>
            <w:r>
              <w:rPr>
                <w:rFonts w:ascii="Times New Roman" w:cs="Times New Roman" w:eastAsia="Times New Roman" w:hAnsi="Times New Roman"/>
                <w:sz w:val="15"/>
                <w:szCs w:val="15"/>
                <w:color w:val="auto"/>
              </w:rPr>
              <w:t>(f)</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 xml:space="preserve">Real estate </w:t>
            </w:r>
            <w:r>
              <w:rPr>
                <w:rFonts w:ascii="Times New Roman" w:cs="Times New Roman" w:eastAsia="Times New Roman" w:hAnsi="Times New Roman"/>
                <w:sz w:val="15"/>
                <w:szCs w:val="15"/>
                <w:color w:val="auto"/>
              </w:rPr>
              <w:t>(g)</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3,014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5"/>
          </w:tcPr>
          <w:p>
            <w:pPr>
              <w:ind w:left="5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3"/>
        </w:trPr>
        <w:tc>
          <w:tcPr>
            <w:tcW w:w="3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color w:val="auto"/>
                <w:w w:val="99"/>
              </w:rPr>
              <w:t>International Plan Assets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Level</w:t>
            </w:r>
          </w:p>
        </w:tc>
        <w:tc>
          <w:tcPr>
            <w:tcW w:w="140" w:type="dxa"/>
            <w:vAlign w:val="bottom"/>
          </w:tcPr>
          <w:p>
            <w:pPr>
              <w:spacing w:after="0"/>
              <w:rPr>
                <w:sz w:val="18"/>
                <w:szCs w:val="18"/>
                <w:color w:val="auto"/>
              </w:rPr>
            </w:pPr>
          </w:p>
        </w:tc>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Level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Level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Level</w:t>
            </w:r>
          </w:p>
        </w:tc>
        <w:tc>
          <w:tcPr>
            <w:tcW w:w="140" w:type="dxa"/>
            <w:vAlign w:val="bottom"/>
          </w:tcPr>
          <w:p>
            <w:pPr>
              <w:spacing w:after="0"/>
              <w:rPr>
                <w:sz w:val="18"/>
                <w:szCs w:val="18"/>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Level</w:t>
            </w:r>
          </w:p>
        </w:tc>
        <w:tc>
          <w:tcPr>
            <w:tcW w:w="1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Level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One</w:t>
            </w:r>
          </w:p>
        </w:tc>
        <w:tc>
          <w:tcPr>
            <w:tcW w:w="140" w:type="dxa"/>
            <w:vAlign w:val="bottom"/>
          </w:tcPr>
          <w:p>
            <w:pPr>
              <w:spacing w:after="0"/>
              <w:rPr>
                <w:sz w:val="20"/>
                <w:szCs w:val="20"/>
                <w:color w:val="auto"/>
              </w:rPr>
            </w:pPr>
          </w:p>
        </w:tc>
        <w:tc>
          <w:tcPr>
            <w:tcW w:w="6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0"/>
              </w:rPr>
              <w:t>Two</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9"/>
              </w:rPr>
              <w:t>Three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One</w:t>
            </w:r>
          </w:p>
        </w:tc>
        <w:tc>
          <w:tcPr>
            <w:tcW w:w="140" w:type="dxa"/>
            <w:vAlign w:val="bottom"/>
          </w:tcPr>
          <w:p>
            <w:pPr>
              <w:spacing w:after="0"/>
              <w:rPr>
                <w:sz w:val="20"/>
                <w:szCs w:val="20"/>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0"/>
              </w:rPr>
              <w:t>Two</w:t>
            </w:r>
          </w:p>
        </w:tc>
        <w:tc>
          <w:tcPr>
            <w:tcW w:w="14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Three</w:t>
            </w:r>
          </w:p>
        </w:tc>
        <w:tc>
          <w:tcPr>
            <w:tcW w:w="0" w:type="dxa"/>
            <w:vAlign w:val="bottom"/>
          </w:tcPr>
          <w:p>
            <w:pPr>
              <w:spacing w:after="0"/>
              <w:rPr>
                <w:sz w:val="1"/>
                <w:szCs w:val="1"/>
                <w:color w:val="auto"/>
              </w:rPr>
            </w:pPr>
          </w:p>
        </w:tc>
      </w:tr>
      <w:tr>
        <w:trPr>
          <w:trHeight w:val="219"/>
        </w:trPr>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US </w:t>
            </w:r>
            <w:r>
              <w:rPr>
                <w:rFonts w:ascii="Times New Roman" w:cs="Times New Roman" w:eastAsia="Times New Roman" w:hAnsi="Times New Roman"/>
                <w:sz w:val="15"/>
                <w:szCs w:val="15"/>
                <w:color w:val="auto"/>
              </w:rPr>
              <w:t>(a)</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15"/>
                <w:szCs w:val="15"/>
                <w:color w:val="auto"/>
              </w:rPr>
              <w:t>(b)</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15"/>
                <w:szCs w:val="15"/>
                <w:color w:val="auto"/>
              </w:rPr>
              <w:t>(c)</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Government and government-related debt securities</w:t>
            </w: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9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w:t>
            </w: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Collateralized mortgage obligations and mortgage</w:t>
            </w: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backed securities </w:t>
            </w:r>
            <w:r>
              <w:rPr>
                <w:rFonts w:ascii="Times New Roman" w:cs="Times New Roman" w:eastAsia="Times New Roman" w:hAnsi="Times New Roman"/>
                <w:sz w:val="15"/>
                <w:szCs w:val="15"/>
                <w:color w:val="auto"/>
              </w:rPr>
              <w:t>(e)</w:t>
            </w:r>
          </w:p>
        </w:tc>
        <w:tc>
          <w:tcPr>
            <w:tcW w:w="14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Private equity </w:t>
            </w:r>
            <w:r>
              <w:rPr>
                <w:rFonts w:ascii="Times New Roman" w:cs="Times New Roman" w:eastAsia="Times New Roman" w:hAnsi="Times New Roman"/>
                <w:sz w:val="15"/>
                <w:szCs w:val="15"/>
                <w:color w:val="auto"/>
              </w:rPr>
              <w:t>(f)</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Real estate </w:t>
            </w:r>
            <w:r>
              <w:rPr>
                <w:rFonts w:ascii="Times New Roman" w:cs="Times New Roman" w:eastAsia="Times New Roman" w:hAnsi="Times New Roman"/>
                <w:sz w:val="15"/>
                <w:szCs w:val="15"/>
                <w:color w:val="auto"/>
              </w:rPr>
              <w:t>(g)</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9,363</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4,241</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1,439</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right="20" w:hanging="374"/>
        <w:spacing w:after="0" w:line="197" w:lineRule="auto"/>
        <w:tabs>
          <w:tab w:leader="none" w:pos="380"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US equities include companies that are well-diversified by industry sector and equity style (i.e., growth and value strategies). Active and passive management strategies are employed. Investments are primarily in large capitalization stocks and, to a lesser extent, mid- and small-cap stocks.</w:t>
      </w:r>
    </w:p>
    <w:p>
      <w:pPr>
        <w:spacing w:after="0" w:line="98" w:lineRule="exact"/>
        <w:rPr>
          <w:rFonts w:ascii="Times New Roman" w:cs="Times New Roman" w:eastAsia="Times New Roman" w:hAnsi="Times New Roman"/>
          <w:sz w:val="27"/>
          <w:szCs w:val="27"/>
          <w:color w:val="auto"/>
          <w:vertAlign w:val="superscript"/>
        </w:rPr>
      </w:pPr>
    </w:p>
    <w:p>
      <w:pPr>
        <w:ind w:left="380" w:hanging="374"/>
        <w:spacing w:after="0" w:line="197" w:lineRule="auto"/>
        <w:tabs>
          <w:tab w:leader="none" w:pos="380"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International equities are invested in companies that are traded on exchanges outside the US and are well-diversified by industry sector, country and equity style. Active and passive strategies are employed. The vast majority of the investments are made in companies in developed markets, with a small percentage in emerging markets.</w:t>
      </w:r>
    </w:p>
    <w:p>
      <w:pPr>
        <w:spacing w:after="0" w:line="1" w:lineRule="exact"/>
        <w:rPr>
          <w:rFonts w:ascii="Times New Roman" w:cs="Times New Roman" w:eastAsia="Times New Roman" w:hAnsi="Times New Roman"/>
          <w:sz w:val="27"/>
          <w:szCs w:val="27"/>
          <w:color w:val="auto"/>
          <w:vertAlign w:val="superscript"/>
        </w:rPr>
      </w:pPr>
    </w:p>
    <w:p>
      <w:pPr>
        <w:ind w:left="380" w:hanging="374"/>
        <w:spacing w:after="0" w:line="235" w:lineRule="auto"/>
        <w:tabs>
          <w:tab w:leader="none" w:pos="380"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Corporate bonds consist primarily of investment grade bonds from diversified industries.</w:t>
      </w:r>
    </w:p>
    <w:p>
      <w:pPr>
        <w:spacing w:after="0" w:line="116" w:lineRule="exact"/>
        <w:rPr>
          <w:rFonts w:ascii="Times New Roman" w:cs="Times New Roman" w:eastAsia="Times New Roman" w:hAnsi="Times New Roman"/>
          <w:sz w:val="27"/>
          <w:szCs w:val="27"/>
          <w:color w:val="auto"/>
          <w:vertAlign w:val="superscript"/>
        </w:rPr>
      </w:pPr>
    </w:p>
    <w:p>
      <w:pPr>
        <w:ind w:left="380" w:hanging="374"/>
        <w:spacing w:after="0" w:line="180" w:lineRule="auto"/>
        <w:tabs>
          <w:tab w:leader="none" w:pos="38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Government and government-related debt securities are comprised primarily of inflation-protected US treasuries and, to a lesser extent, other government-related securities.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left="380" w:hanging="374"/>
        <w:spacing w:after="0" w:line="197" w:lineRule="auto"/>
        <w:tabs>
          <w:tab w:leader="none" w:pos="380"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Collateralized mortgage obligations and mortgage backed-securities are debt obligations that represent claims to the cash flows from pools of mortgage loans, which are purchased from banks, mortgage companies, and other originators and then assembled into pools by governmental, quasi-governmental and private entities.</w:t>
      </w:r>
    </w:p>
    <w:p>
      <w:pPr>
        <w:spacing w:after="0" w:line="1" w:lineRule="exact"/>
        <w:rPr>
          <w:rFonts w:ascii="Times New Roman" w:cs="Times New Roman" w:eastAsia="Times New Roman" w:hAnsi="Times New Roman"/>
          <w:sz w:val="27"/>
          <w:szCs w:val="27"/>
          <w:color w:val="auto"/>
          <w:vertAlign w:val="superscript"/>
        </w:rPr>
      </w:pPr>
    </w:p>
    <w:p>
      <w:pPr>
        <w:ind w:left="380" w:hanging="374"/>
        <w:spacing w:after="0" w:line="235" w:lineRule="auto"/>
        <w:tabs>
          <w:tab w:leader="none" w:pos="380"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Private equity includes investments in several funds of funds.</w:t>
      </w:r>
    </w:p>
    <w:p>
      <w:pPr>
        <w:spacing w:after="0" w:line="116" w:lineRule="exact"/>
        <w:rPr>
          <w:rFonts w:ascii="Times New Roman" w:cs="Times New Roman" w:eastAsia="Times New Roman" w:hAnsi="Times New Roman"/>
          <w:sz w:val="27"/>
          <w:szCs w:val="27"/>
          <w:color w:val="auto"/>
          <w:vertAlign w:val="superscript"/>
        </w:rPr>
      </w:pPr>
    </w:p>
    <w:p>
      <w:pPr>
        <w:ind w:left="380" w:hanging="374"/>
        <w:spacing w:after="0" w:line="180" w:lineRule="auto"/>
        <w:tabs>
          <w:tab w:leader="none" w:pos="38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Real estate primarily includes investments in real estate limited partnerships, concentrated in commercial real estate.</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Schlumberger’s funding policy is to annually contribute amounts that are based upon a number of factors including the actuarial accrued liability, amounts that are deductible for income tax purposes, legal funding requirements and available cash flow. Schlumberger expects to contribute approximately $20 million to its postretirement benefit plans in 2020, subject to market and business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Benefits Other Than Pensions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Schlumberger provides certain healthcare benefits to certain former US employees who have retired. Effective April 1, 2015, Schlumberger changed the way it provides healthcare coverage to certain retirees who are age 65 and over. Under the amended plan, these retirees transferred to individual coverage under the Medicare Exchange. Schlumberger subsidizes the cost of the program by providing these retirees with a Health Reimbursement Account. The annual subsidy may be increased based on medical cost inflation, but it will not be increased by more than 5% in any given year.</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actuarial assumptions used to determine the accumulated postretirement benefit obligation and net periodic benefit cost for the US postretirement medical plan were as follows: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80" w:type="dxa"/>
            <w:vAlign w:val="bottom"/>
          </w:tcPr>
          <w:p>
            <w:pPr>
              <w:spacing w:after="0"/>
              <w:rPr>
                <w:sz w:val="19"/>
                <w:szCs w:val="19"/>
                <w:color w:val="auto"/>
              </w:rPr>
            </w:pPr>
          </w:p>
        </w:tc>
        <w:tc>
          <w:tcPr>
            <w:tcW w:w="26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w w:val="97"/>
              </w:rPr>
              <w:t>Benefit Obligations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Net Periodic Benefit</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980" w:type="dxa"/>
            <w:vAlign w:val="bottom"/>
          </w:tcPr>
          <w:p>
            <w:pPr>
              <w:spacing w:after="0"/>
              <w:rPr>
                <w:sz w:val="20"/>
                <w:szCs w:val="20"/>
                <w:color w:val="auto"/>
              </w:rPr>
            </w:pPr>
          </w:p>
        </w:tc>
        <w:tc>
          <w:tcPr>
            <w:tcW w:w="26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w w:val="98"/>
              </w:rPr>
              <w:t>At December 31,</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4"/>
          </w:tcPr>
          <w:p>
            <w:pPr>
              <w:jc w:val="center"/>
              <w:ind w:right="52"/>
              <w:spacing w:after="0"/>
              <w:rPr>
                <w:sz w:val="20"/>
                <w:szCs w:val="20"/>
                <w:color w:val="auto"/>
              </w:rPr>
            </w:pPr>
            <w:r>
              <w:rPr>
                <w:rFonts w:ascii="Times New Roman" w:cs="Times New Roman" w:eastAsia="Times New Roman" w:hAnsi="Times New Roman"/>
                <w:sz w:val="18"/>
                <w:szCs w:val="18"/>
                <w:color w:val="auto"/>
                <w:w w:val="96"/>
              </w:rPr>
              <w:t>Cost for the Year</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98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57"/>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center"/>
              <w:ind w:left="172"/>
              <w:spacing w:after="0"/>
              <w:rPr>
                <w:sz w:val="20"/>
                <w:szCs w:val="20"/>
                <w:color w:val="auto"/>
              </w:rPr>
            </w:pPr>
            <w:r>
              <w:rPr>
                <w:rFonts w:ascii="Times New Roman" w:cs="Times New Roman" w:eastAsia="Times New Roman" w:hAnsi="Times New Roman"/>
                <w:sz w:val="18"/>
                <w:szCs w:val="18"/>
                <w:color w:val="auto"/>
                <w:w w:val="99"/>
              </w:rPr>
              <w:t>2018</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3.30%</w:t>
            </w:r>
          </w:p>
        </w:tc>
        <w:tc>
          <w:tcPr>
            <w:tcW w:w="1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Return on plan assets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medical cost trend rate</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7.50%</w:t>
            </w:r>
          </w:p>
        </w:tc>
        <w:tc>
          <w:tcPr>
            <w:tcW w:w="1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3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Ultimate medical cost trend rate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4.50%</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The net periodic benefit credit for the US postretirement medical plan included the following components: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3"/>
        </w:trPr>
        <w:tc>
          <w:tcPr>
            <w:tcW w:w="4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w w:val="94"/>
              </w:rPr>
              <w:t>2018</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9"/>
        </w:trPr>
        <w:tc>
          <w:tcPr>
            <w:tcW w:w="49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49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9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changes in the accumulated postretirement benefit obligation, plan assets and funded status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3"/>
        </w:trPr>
        <w:tc>
          <w:tcPr>
            <w:tcW w:w="7820" w:type="dxa"/>
            <w:vAlign w:val="bottom"/>
            <w:tcBorders>
              <w:bottom w:val="single" w:sz="8" w:color="CFF0FC"/>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Projected Benefit Obligations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1,106</w:t>
            </w:r>
          </w:p>
        </w:tc>
        <w:tc>
          <w:tcPr>
            <w:tcW w:w="28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 by plan participants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(gains) losses</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9"/>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08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Plan Assets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Plan assets at fair value at beginning of year</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997</w:t>
            </w:r>
          </w:p>
        </w:tc>
        <w:tc>
          <w:tcPr>
            <w:tcW w:w="28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Company contributions</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Contributions by plan participants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w:t>
            </w:r>
          </w:p>
        </w:tc>
        <w:tc>
          <w:tcPr>
            <w:tcW w:w="3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9"/>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 assets at fair value at end of year</w:t>
            </w:r>
          </w:p>
        </w:tc>
        <w:tc>
          <w:tcPr>
            <w:tcW w:w="1080" w:type="dxa"/>
            <w:vAlign w:val="bottom"/>
            <w:tcBorders>
              <w:top w:val="single" w:sz="8" w:color="auto"/>
              <w:bottom w:val="single" w:sz="8" w:color="auto"/>
            </w:tcBorders>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1,185</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5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Liability</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2"/>
                <w:szCs w:val="22"/>
                <w:color w:val="auto"/>
              </w:rPr>
            </w:pPr>
          </w:p>
        </w:tc>
      </w:tr>
      <w:tr>
        <w:trPr>
          <w:trHeight w:val="205"/>
        </w:trPr>
        <w:tc>
          <w:tcPr>
            <w:tcW w:w="7820" w:type="dxa"/>
            <w:vAlign w:val="bottom"/>
            <w:tcBorders>
              <w:top w:val="single" w:sz="8" w:color="CFF0FC"/>
            </w:tcBorders>
            <w:shd w:val="clear" w:color="auto" w:fill="CFF0FC"/>
          </w:tcPr>
          <w:p>
            <w:pPr>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rPr>
              <w:t>Amounts Recognized in Accumulated Other Comprehensive Loss</w:t>
            </w:r>
          </w:p>
        </w:tc>
        <w:tc>
          <w:tcPr>
            <w:tcW w:w="10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(gains) losses</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service credit</w:t>
            </w: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r>
      <w:tr>
        <w:trPr>
          <w:trHeight w:val="219"/>
        </w:trPr>
        <w:tc>
          <w:tcPr>
            <w:tcW w:w="78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unfunded liability is included in </w:t>
      </w:r>
      <w:r>
        <w:rPr>
          <w:rFonts w:ascii="Times New Roman" w:cs="Times New Roman" w:eastAsia="Times New Roman" w:hAnsi="Times New Roman"/>
          <w:sz w:val="18"/>
          <w:szCs w:val="18"/>
          <w:i w:val="1"/>
          <w:iCs w:val="1"/>
          <w:color w:val="auto"/>
        </w:rPr>
        <w:t>Postretirement Benefits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assets of the US postretirement medical plan are invested 60% in equity securities and 40% in debt securities at December 31, 2019. The fair value of these assets was primarily determined based on Level Two valuation techniques.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benefits to be paid under the US and International pension plans as well as the postretirement medical plan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3"/>
        </w:trPr>
        <w:tc>
          <w:tcPr>
            <w:tcW w:w="37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Pension Benefits</w:t>
            </w: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Postretirement</w:t>
            </w:r>
          </w:p>
        </w:tc>
      </w:tr>
      <w:tr>
        <w:trPr>
          <w:trHeight w:val="219"/>
        </w:trPr>
        <w:tc>
          <w:tcPr>
            <w:tcW w:w="37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Medical Plan</w:t>
            </w:r>
          </w:p>
        </w:tc>
      </w:tr>
      <w:tr>
        <w:trPr>
          <w:trHeight w:val="219"/>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29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82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r>
      <w:tr>
        <w:trPr>
          <w:trHeight w:val="22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3820" w:type="dxa"/>
            <w:vAlign w:val="bottom"/>
            <w:gridSpan w:val="2"/>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9"/>
                <w:szCs w:val="19"/>
                <w:color w:val="auto"/>
              </w:rPr>
            </w:pPr>
          </w:p>
        </w:tc>
      </w:tr>
      <w:tr>
        <w:trPr>
          <w:trHeight w:val="22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82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r>
      <w:tr>
        <w:trPr>
          <w:trHeight w:val="22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gridSpan w:val="2"/>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9"/>
                <w:szCs w:val="19"/>
                <w:color w:val="auto"/>
              </w:rPr>
            </w:pPr>
          </w:p>
        </w:tc>
      </w:tr>
      <w:tr>
        <w:trPr>
          <w:trHeight w:val="2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2025-2029</w:t>
            </w:r>
          </w:p>
        </w:tc>
        <w:tc>
          <w:tcPr>
            <w:tcW w:w="382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r>
    </w:tbl>
    <w:p>
      <w:pPr>
        <w:spacing w:after="0" w:line="215"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7"/>
          <w:szCs w:val="17"/>
          <w:color w:val="auto"/>
        </w:rPr>
        <w:t>In addition to providing defined pension benefits and a postretirement medical plan, Schlumberger has other deferred benefit programs, primarily profit sharing and defined contribution pension plans. Expenses for these programs were $410 million, $435 million and $413 million in 2019, 2018 and 2017, respectively.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58" w:name="page59"/>
    <w:bookmarkEnd w:id="58"/>
    <w:p>
      <w:pPr>
        <w:ind w:left="280" w:hanging="274"/>
        <w:spacing w:after="0"/>
        <w:tabs>
          <w:tab w:leader="none" w:pos="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Supplementary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(refunded) for interest and income taxes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3"/>
        </w:trPr>
        <w:tc>
          <w:tcPr>
            <w:tcW w:w="5520" w:type="dxa"/>
            <w:vAlign w:val="bottom"/>
          </w:tcPr>
          <w:p>
            <w:pPr>
              <w:spacing w:after="0"/>
              <w:rPr>
                <w:sz w:val="24"/>
                <w:szCs w:val="24"/>
                <w:color w:val="auto"/>
              </w:rPr>
            </w:pPr>
          </w:p>
        </w:tc>
        <w:tc>
          <w:tcPr>
            <w:tcW w:w="21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gridSpan w:val="2"/>
            <w:shd w:val="clear" w:color="auto" w:fill="CFF0FC"/>
          </w:tcPr>
          <w:p>
            <w:pPr>
              <w:jc w:val="right"/>
              <w:ind w:right="81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2160" w:type="dxa"/>
            <w:vAlign w:val="bottom"/>
            <w:gridSpan w:val="3"/>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w:t>
            </w:r>
          </w:p>
        </w:tc>
        <w:tc>
          <w:tcPr>
            <w:tcW w:w="20" w:type="dxa"/>
            <w:vAlign w:val="bottom"/>
          </w:tcPr>
          <w:p>
            <w:pPr>
              <w:spacing w:after="0"/>
              <w:rPr>
                <w:sz w:val="20"/>
                <w:szCs w:val="20"/>
                <w:color w:val="auto"/>
              </w:rPr>
            </w:pPr>
          </w:p>
        </w:tc>
        <w:tc>
          <w:tcPr>
            <w:tcW w:w="540" w:type="dxa"/>
            <w:vAlign w:val="bottom"/>
            <w:gridSpan w:val="3"/>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57"/>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Interest and other income </w:t>
            </w:r>
            <w:r>
              <w:rPr>
                <w:rFonts w:ascii="Times New Roman" w:cs="Times New Roman" w:eastAsia="Times New Roman" w:hAnsi="Times New Roman"/>
                <w:sz w:val="18"/>
                <w:szCs w:val="18"/>
                <w:color w:val="auto"/>
              </w:rPr>
              <w:t>includes the following:</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3"/>
        </w:trPr>
        <w:tc>
          <w:tcPr>
            <w:tcW w:w="5520" w:type="dxa"/>
            <w:vAlign w:val="bottom"/>
          </w:tcPr>
          <w:p>
            <w:pPr>
              <w:spacing w:after="0"/>
              <w:rPr>
                <w:sz w:val="24"/>
                <w:szCs w:val="24"/>
                <w:color w:val="auto"/>
              </w:rPr>
            </w:pPr>
          </w:p>
        </w:tc>
        <w:tc>
          <w:tcPr>
            <w:tcW w:w="216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tcBorders>
              <w:top w:val="single" w:sz="8" w:color="CFF0FC"/>
            </w:tcBorders>
            <w:gridSpan w:val="2"/>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Earnings of equity method investments</w:t>
            </w:r>
          </w:p>
        </w:tc>
        <w:tc>
          <w:tcPr>
            <w:tcW w:w="1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The change in </w:t>
            </w:r>
            <w:r>
              <w:rPr>
                <w:rFonts w:ascii="Times New Roman" w:cs="Times New Roman" w:eastAsia="Times New Roman" w:hAnsi="Times New Roman"/>
                <w:sz w:val="18"/>
                <w:szCs w:val="18"/>
                <w:i w:val="1"/>
                <w:iCs w:val="1"/>
                <w:color w:val="auto"/>
              </w:rPr>
              <w:t>Allowance for doubtful accounts</w:t>
            </w:r>
            <w:r>
              <w:rPr>
                <w:rFonts w:ascii="Times New Roman" w:cs="Times New Roman" w:eastAsia="Times New Roman" w:hAnsi="Times New Roman"/>
                <w:sz w:val="18"/>
                <w:szCs w:val="18"/>
                <w:color w:val="auto"/>
              </w:rPr>
              <w:t xml:space="preserve"> is as follows:</w:t>
            </w: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55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3"/>
        </w:trPr>
        <w:tc>
          <w:tcPr>
            <w:tcW w:w="5520" w:type="dxa"/>
            <w:vAlign w:val="bottom"/>
          </w:tcPr>
          <w:p>
            <w:pPr>
              <w:spacing w:after="0"/>
              <w:rPr>
                <w:sz w:val="24"/>
                <w:szCs w:val="24"/>
                <w:color w:val="auto"/>
              </w:rPr>
            </w:pPr>
          </w:p>
        </w:tc>
        <w:tc>
          <w:tcPr>
            <w:tcW w:w="216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00" w:type="dxa"/>
            <w:vAlign w:val="bottom"/>
            <w:tcBorders>
              <w:top w:val="single" w:sz="8" w:color="CFF0FC"/>
            </w:tcBorders>
            <w:gridSpan w:val="2"/>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249</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written off</w:t>
            </w: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200" w:type="dxa"/>
            <w:vAlign w:val="bottom"/>
            <w:gridSpan w:val="2"/>
          </w:tcPr>
          <w:p>
            <w:pPr>
              <w:spacing w:after="0"/>
              <w:rPr>
                <w:sz w:val="19"/>
                <w:szCs w:val="19"/>
                <w:color w:val="auto"/>
              </w:rPr>
            </w:pPr>
          </w:p>
        </w:tc>
        <w:tc>
          <w:tcPr>
            <w:tcW w:w="9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255</w:t>
            </w:r>
          </w:p>
        </w:tc>
        <w:tc>
          <w:tcPr>
            <w:tcW w:w="260" w:type="dxa"/>
            <w:vAlign w:val="bottom"/>
            <w:gridSpan w:val="2"/>
          </w:tcPr>
          <w:p>
            <w:pPr>
              <w:spacing w:after="0"/>
              <w:rPr>
                <w:sz w:val="19"/>
                <w:szCs w:val="19"/>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Revenue in excess of billings related to contracts where revenue is recognized over time was $0.2 billion at both December 31, 2019 and 2018. Such amounts are included within </w:t>
      </w:r>
      <w:r>
        <w:rPr>
          <w:rFonts w:ascii="Times New Roman" w:cs="Times New Roman" w:eastAsia="Times New Roman" w:hAnsi="Times New Roman"/>
          <w:sz w:val="18"/>
          <w:szCs w:val="18"/>
          <w:i w:val="1"/>
          <w:iCs w:val="1"/>
          <w:color w:val="auto"/>
        </w:rPr>
        <w:t>Receivables less allowance for doubtful accounts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payable and accrued liabilities </w:t>
      </w:r>
      <w:r>
        <w:rPr>
          <w:rFonts w:ascii="Times New Roman" w:cs="Times New Roman" w:eastAsia="Times New Roman" w:hAnsi="Times New Roman"/>
          <w:sz w:val="18"/>
          <w:szCs w:val="18"/>
          <w:color w:val="auto"/>
        </w:rPr>
        <w:t>consist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3"/>
        </w:trPr>
        <w:tc>
          <w:tcPr>
            <w:tcW w:w="7820" w:type="dxa"/>
            <w:vAlign w:val="bottom"/>
            <w:tcBorders>
              <w:bottom w:val="single" w:sz="8" w:color="CFF0F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w:t>
            </w:r>
          </w:p>
        </w:tc>
        <w:tc>
          <w:tcPr>
            <w:tcW w:w="1040" w:type="dxa"/>
            <w:vAlign w:val="bottom"/>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4,790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Payroll, vacation and employee benefits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Billings and cash collections in excess of revenue</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10,663</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Schlumberger management is responsible for establishing and maintaining adequate internal control over financial reporting as defined in Rule 13a–15(f) of the Securities Exchange Act of 1934, as amended (the “Exchange Act”). Schlumberger’s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Schlumberger management assessed the effectiveness of its internal control over financial reporting as of December 31, 2019. In making this assessment, it used the criteria set forth in 2013 by the Committee of Sponsoring Organizations of the Treadway Commission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Based on this assessment Schlumberger’s management has concluded that, as of December 31, 2019, its internal control over financial reporting is effective based on those criteria.</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effectiveness of Schlumberger’s internal control over financial reporting as of December 31, 2019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Schlumberger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Schlumberger Limited and its subsidiaries (the “Company”) as of December 31, 2019 and 2018, and the related consolidated statements of income (loss), comprehensive income (loss), stockholders’ equity and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w:t>
      </w:r>
    </w:p>
    <w:p>
      <w:pPr>
        <w:spacing w:after="0" w:line="1" w:lineRule="exact"/>
        <w:rPr>
          <w:sz w:val="20"/>
          <w:szCs w:val="20"/>
          <w:color w:val="auto"/>
        </w:rPr>
      </w:pPr>
    </w:p>
    <w:p>
      <w:pPr>
        <w:jc w:val="both"/>
        <w:ind w:firstLine="6"/>
        <w:spacing w:after="0" w:line="249" w:lineRule="auto"/>
        <w:tabs>
          <w:tab w:leader="none" w:pos="26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the Company recorded charges to goodwill associated with certain reporting units during the third quarter of 2019. The goodwill relating to each of the Company’s reporting units is tested for impairment annually as well as when an event, or change in circumstances, indicates an impairment may have occurred. As a result of these facts, management determined that it was more likely than not that the fair value of certain of its reporting units were less than their carrying value. Therefore, management performed an interim goodwill impairment test as of August 31, 2019. Management primarily used the income approach to estimate the fair value of its reporting units, but also considered the market approach to validate the results. The market approach involves significant judgement involved in the selection of the appropriate peer group companies and valuation multiples. Some of the more significant assumptions inherent in the income approach include the estimate future net annual cash flows for each reporting unit and the discount rate.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related to goodwill impairment is a critical audit matter are there was significant judgment by management in determining the fair value of the reporting units, which in turn led to a high degree of auditor judgment, subjectivity, and effort in performing procedures relating to and evaluating significant assumptions related to cash flows to be derived from each reporting unit, the discount rate and valuation multiples.</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subjective procedures and evaluating audit evidence in connection with forming our overall opinion on the consolidated financial statements. These procedures included testing the effectiveness of controls relating to management’s goodwill impairment test. These procedures also included, among others, testing management’s process for developing fair value estimates; evaluating the appropriateness of the discounted cash flow analyses and market approaches; testing the completeness, accuracy, and relevance of underlying data used in the approaches; and evaluating the significant assumptions used by management. Evaluating management’s assumptions related to the cash flows to be derived from each reporting unit involved evaluating the reasonableness of the assumptions used considering the Company’s past and anticipated performance, external market and industry data, and evidence obtained through other areas of the audit. Professionals with specialized skill and knowledge were used to assist in the evaluation of the appropriateness of the Company’s valuation approaches and reasonableness of the discount rate and valuation multiples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described in Note 13 to the consolidated financial statements, the Company’s tax filings are subject to regular audit by tax authorities, and those audits may result in assessments for additional taxes that are resolved with the authorities or, potentially, through the courts. Tax liabilities are recorded based on estimates of additional taxes that will be due upon the conclusion of these audits.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related to uncertain tax positions is a critical audit matter are there was a high degree of estimation uncertainty related to these liabilities due to the uncertain and complex application of tax regulations and management applied significant judgment in determining these liabilities, which in turn led to a high degree of auditor judgment, subjectivity, and effort in performing procedures to evaluate management’s estimates.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Addressing the matter involved performing subjective procedures and evaluating audit evidence, in connection with forming our overall opinion on the consolidated financial statements. These procedures included testing the effectiveness of controls relating to uncertain tax positions. These procedures also included, among others, evaluating management’s process for developing the estimated liabilities for uncertain tax positions, testing the completeness and reasonableness of uncertain tax positions recorded in the consolidated financial statements, and evaluating material assessments received from the relevant tax authorities. Professionals with specialized skill and knowledge were used to assist in evaluating the reasonableness of assumptions used by management, including the reasonableness of management’s more-likely-than-not determination under relevant tax laws and regulations in applicable jurisdictions.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31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57"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auto"/>
        </w:rPr>
        <w:t>Quarterly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Schlumberger’s results by quarter for the years ended December 31, 2019 and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8"/>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w:t>
            </w:r>
          </w:p>
        </w:tc>
      </w:tr>
      <w:tr>
        <w:trPr>
          <w:trHeight w:val="437"/>
        </w:trPr>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Net Income (Loss)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Earnings (Loss) per Share of</w:t>
            </w:r>
          </w:p>
        </w:tc>
      </w:tr>
      <w:tr>
        <w:trPr>
          <w:trHeight w:val="238"/>
        </w:trPr>
        <w:tc>
          <w:tcPr>
            <w:tcW w:w="3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Gross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Attributable to</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8"/>
                <w:szCs w:val="18"/>
                <w:color w:val="auto"/>
              </w:rPr>
              <w:t xml:space="preserve">Schlumberger </w:t>
            </w:r>
            <w:r>
              <w:rPr>
                <w:rFonts w:ascii="Times New Roman" w:cs="Times New Roman" w:eastAsia="Times New Roman" w:hAnsi="Times New Roman"/>
                <w:sz w:val="15"/>
                <w:szCs w:val="15"/>
                <w:color w:val="auto"/>
              </w:rPr>
              <w:t>(2)</w:t>
            </w:r>
          </w:p>
        </w:tc>
      </w:tr>
      <w:tr>
        <w:trPr>
          <w:trHeight w:val="232"/>
        </w:trPr>
        <w:tc>
          <w:tcPr>
            <w:tcW w:w="3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15"/>
                <w:szCs w:val="15"/>
                <w:color w:val="auto"/>
              </w:rPr>
              <w:t>(2)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15"/>
                <w:szCs w:val="15"/>
                <w:color w:val="auto"/>
              </w:rPr>
              <w:t>(1), (2)</w:t>
            </w:r>
          </w:p>
        </w:tc>
        <w:tc>
          <w:tcPr>
            <w:tcW w:w="180" w:type="dxa"/>
            <w:vAlign w:val="bottom"/>
          </w:tcPr>
          <w:p>
            <w:pPr>
              <w:spacing w:after="0"/>
              <w:rPr>
                <w:sz w:val="20"/>
                <w:szCs w:val="20"/>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7"/>
              </w:rPr>
              <w:t xml:space="preserve">Schlumberger </w:t>
            </w:r>
            <w:r>
              <w:rPr>
                <w:rFonts w:ascii="Times New Roman" w:cs="Times New Roman" w:eastAsia="Times New Roman" w:hAnsi="Times New Roman"/>
                <w:sz w:val="15"/>
                <w:szCs w:val="15"/>
                <w:color w:val="auto"/>
                <w:w w:val="97"/>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Diluted</w:t>
            </w:r>
          </w:p>
        </w:tc>
      </w:tr>
      <w:tr>
        <w:trPr>
          <w:trHeight w:val="219"/>
        </w:trPr>
        <w:tc>
          <w:tcPr>
            <w:tcW w:w="3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Quarters 2019</w:t>
            </w:r>
          </w:p>
        </w:tc>
        <w:tc>
          <w:tcPr>
            <w:tcW w:w="20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r>
      <w:tr>
        <w:trPr>
          <w:trHeight w:val="226"/>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7,879</w:t>
            </w:r>
          </w:p>
        </w:tc>
        <w:tc>
          <w:tcPr>
            <w:tcW w:w="20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180" w:type="dxa"/>
            <w:vAlign w:val="bottom"/>
          </w:tcPr>
          <w:p>
            <w:pPr>
              <w:spacing w:after="0"/>
              <w:rPr>
                <w:sz w:val="19"/>
                <w:szCs w:val="19"/>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26"/>
        </w:trPr>
        <w:tc>
          <w:tcPr>
            <w:tcW w:w="3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8,269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26"/>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5"/>
                <w:szCs w:val="15"/>
                <w:b w:val="1"/>
                <w:bCs w:val="1"/>
                <w:color w:val="auto"/>
              </w:rPr>
              <w:t>(3)</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(11,383)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(8.22)</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26"/>
        </w:trPr>
        <w:tc>
          <w:tcPr>
            <w:tcW w:w="3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5"/>
                <w:szCs w:val="15"/>
                <w:b w:val="1"/>
                <w:bCs w:val="1"/>
                <w:color w:val="auto"/>
              </w:rPr>
              <w:t>(4)</w:t>
            </w:r>
          </w:p>
        </w:tc>
        <w:tc>
          <w:tcPr>
            <w:tcW w:w="20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8,228</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59"/>
        </w:trPr>
        <w:tc>
          <w:tcPr>
            <w:tcW w:w="3120" w:type="dxa"/>
            <w:vAlign w:val="bottom"/>
            <w:tcBorders>
              <w:bottom w:val="single" w:sz="8" w:color="CFF0FC"/>
            </w:tcBorders>
          </w:tcPr>
          <w:p>
            <w:pPr>
              <w:spacing w:after="0"/>
              <w:rPr>
                <w:sz w:val="22"/>
                <w:szCs w:val="22"/>
                <w:color w:val="auto"/>
              </w:rPr>
            </w:pPr>
          </w:p>
        </w:tc>
        <w:tc>
          <w:tcPr>
            <w:tcW w:w="204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32,917</w:t>
            </w:r>
          </w:p>
        </w:tc>
        <w:tc>
          <w:tcPr>
            <w:tcW w:w="2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4,197</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(10,137)</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w:t>
            </w:r>
          </w:p>
        </w:tc>
        <w:tc>
          <w:tcPr>
            <w:tcW w:w="1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205"/>
        </w:trPr>
        <w:tc>
          <w:tcPr>
            <w:tcW w:w="312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8"/>
                <w:szCs w:val="18"/>
                <w:color w:val="auto"/>
              </w:rPr>
              <w:t>Quarters 2018</w:t>
            </w:r>
          </w:p>
        </w:tc>
        <w:tc>
          <w:tcPr>
            <w:tcW w:w="2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26"/>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20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tcPr>
          <w:p>
            <w:pPr>
              <w:spacing w:after="0"/>
              <w:rPr>
                <w:sz w:val="19"/>
                <w:szCs w:val="19"/>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6"/>
        </w:trPr>
        <w:tc>
          <w:tcPr>
            <w:tcW w:w="3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Second </w:t>
            </w:r>
            <w:r>
              <w:rPr>
                <w:rFonts w:ascii="Times New Roman" w:cs="Times New Roman" w:eastAsia="Times New Roman" w:hAnsi="Times New Roman"/>
                <w:sz w:val="15"/>
                <w:szCs w:val="15"/>
                <w:color w:val="auto"/>
              </w:rPr>
              <w:t>(5)</w:t>
            </w:r>
          </w:p>
        </w:tc>
        <w:tc>
          <w:tcPr>
            <w:tcW w:w="2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6"/>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6"/>
        </w:trPr>
        <w:tc>
          <w:tcPr>
            <w:tcW w:w="3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Fourth </w:t>
            </w:r>
            <w:r>
              <w:rPr>
                <w:rFonts w:ascii="Times New Roman" w:cs="Times New Roman" w:eastAsia="Times New Roman" w:hAnsi="Times New Roman"/>
                <w:sz w:val="15"/>
                <w:szCs w:val="15"/>
                <w:color w:val="auto"/>
              </w:rPr>
              <w:t>(6)</w:t>
            </w:r>
          </w:p>
        </w:tc>
        <w:tc>
          <w:tcPr>
            <w:tcW w:w="20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9"/>
        </w:trPr>
        <w:tc>
          <w:tcPr>
            <w:tcW w:w="3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32,815</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80" w:hanging="374"/>
        <w:spacing w:after="0"/>
        <w:tabs>
          <w:tab w:leader="none" w:pos="380" w:val="left"/>
        </w:tabs>
        <w:numPr>
          <w:ilvl w:val="0"/>
          <w:numId w:val="5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xml:space="preserve">Gross margin equals </w:t>
      </w:r>
      <w:r>
        <w:rPr>
          <w:rFonts w:ascii="Times New Roman" w:cs="Times New Roman" w:eastAsia="Times New Roman" w:hAnsi="Times New Roman"/>
          <w:sz w:val="18"/>
          <w:szCs w:val="18"/>
          <w:i w:val="1"/>
          <w:iCs w:val="1"/>
          <w:color w:val="auto"/>
        </w:rPr>
        <w:t>Total Revenue</w:t>
      </w:r>
      <w:r>
        <w:rPr>
          <w:rFonts w:ascii="Times New Roman" w:cs="Times New Roman" w:eastAsia="Times New Roman" w:hAnsi="Times New Roman"/>
          <w:sz w:val="18"/>
          <w:szCs w:val="18"/>
          <w:color w:val="auto"/>
        </w:rPr>
        <w:t xml:space="preserve"> less </w:t>
      </w:r>
      <w:r>
        <w:rPr>
          <w:rFonts w:ascii="Times New Roman" w:cs="Times New Roman" w:eastAsia="Times New Roman" w:hAnsi="Times New Roman"/>
          <w:sz w:val="18"/>
          <w:szCs w:val="18"/>
          <w:i w:val="1"/>
          <w:iCs w:val="1"/>
          <w:color w:val="auto"/>
        </w:rPr>
        <w:t>Cost of Services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26"/>
          <w:szCs w:val="26"/>
          <w:color w:val="auto"/>
          <w:vertAlign w:val="superscript"/>
        </w:rPr>
      </w:pPr>
    </w:p>
    <w:p>
      <w:pPr>
        <w:ind w:left="380" w:hanging="374"/>
        <w:spacing w:after="0" w:line="184" w:lineRule="auto"/>
        <w:tabs>
          <w:tab w:leader="none" w:pos="38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Amounts may not add due to rounding.</w:t>
      </w:r>
    </w:p>
    <w:p>
      <w:pPr>
        <w:spacing w:after="0" w:line="106" w:lineRule="exact"/>
        <w:rPr>
          <w:rFonts w:ascii="Times New Roman" w:cs="Times New Roman" w:eastAsia="Times New Roman" w:hAnsi="Times New Roman"/>
          <w:sz w:val="24"/>
          <w:szCs w:val="24"/>
          <w:color w:val="auto"/>
          <w:vertAlign w:val="superscript"/>
        </w:rPr>
      </w:pPr>
    </w:p>
    <w:p>
      <w:pPr>
        <w:ind w:left="380" w:hanging="374"/>
        <w:spacing w:after="0" w:line="184" w:lineRule="auto"/>
        <w:tabs>
          <w:tab w:leader="none" w:pos="38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Net income in the third quarter of 2019 includes after-tax and noncontrolling interest charges of $11.979 billion.</w:t>
      </w:r>
    </w:p>
    <w:p>
      <w:pPr>
        <w:spacing w:after="0" w:line="106" w:lineRule="exact"/>
        <w:rPr>
          <w:rFonts w:ascii="Times New Roman" w:cs="Times New Roman" w:eastAsia="Times New Roman" w:hAnsi="Times New Roman"/>
          <w:sz w:val="24"/>
          <w:szCs w:val="24"/>
          <w:color w:val="auto"/>
          <w:vertAlign w:val="superscript"/>
        </w:rPr>
      </w:pPr>
    </w:p>
    <w:p>
      <w:pPr>
        <w:ind w:left="380" w:hanging="374"/>
        <w:spacing w:after="0" w:line="184" w:lineRule="auto"/>
        <w:tabs>
          <w:tab w:leader="none" w:pos="38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Net income in the fourth quarter of 2019 includes net after-tax and noncontrolling interest charges of $212 million.</w:t>
      </w:r>
    </w:p>
    <w:p>
      <w:pPr>
        <w:spacing w:after="0" w:line="106" w:lineRule="exact"/>
        <w:rPr>
          <w:rFonts w:ascii="Times New Roman" w:cs="Times New Roman" w:eastAsia="Times New Roman" w:hAnsi="Times New Roman"/>
          <w:sz w:val="24"/>
          <w:szCs w:val="24"/>
          <w:color w:val="auto"/>
          <w:vertAlign w:val="superscript"/>
        </w:rPr>
      </w:pPr>
    </w:p>
    <w:p>
      <w:pPr>
        <w:ind w:left="380" w:hanging="374"/>
        <w:spacing w:after="0" w:line="184" w:lineRule="auto"/>
        <w:tabs>
          <w:tab w:leader="none" w:pos="38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Net income in the second quarter of 2018 includes after-tax and noncontrolling interest charges of $164 million.</w:t>
      </w:r>
    </w:p>
    <w:p>
      <w:pPr>
        <w:spacing w:after="0" w:line="106" w:lineRule="exact"/>
        <w:rPr>
          <w:rFonts w:ascii="Times New Roman" w:cs="Times New Roman" w:eastAsia="Times New Roman" w:hAnsi="Times New Roman"/>
          <w:sz w:val="24"/>
          <w:szCs w:val="24"/>
          <w:color w:val="auto"/>
          <w:vertAlign w:val="superscript"/>
        </w:rPr>
      </w:pPr>
    </w:p>
    <w:p>
      <w:pPr>
        <w:ind w:left="380" w:hanging="374"/>
        <w:spacing w:after="0" w:line="184" w:lineRule="auto"/>
        <w:tabs>
          <w:tab w:leader="none" w:pos="38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Net income in the fourth quarter of 2018 includes after-tax and noncontrolling interest credits of $40 million.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114"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8"/>
          <w:szCs w:val="18"/>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so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fourth quarter of 2019 that has materially affected, or is reasonably likely to materially affect, Schlumberger’s internal control over financial reporting.</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520"/>
          </w:cols>
          <w:pgMar w:left="240" w:top="119" w:right="1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Schlumberger’s residual transactions or dealings with the government of Iran in 2019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 of Schlumberger.</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See “Item 1. Business—Information About Our Executive Officers” of this Report for Item 10 information regarding executive officers of Schlumberger. The information set forth under the captions “Election of Directors,” “Stock Ownership Information— Delinquent Section 16(a) Reports,” “Corporate Governance— Director Nominations” and “Corporate Governance—Board Responsibilities and Committees—Board Committees—Audit Committee” in Schlumberger’s 2020 Proxy Statement is incorporated herein by reference.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Schlumberger has a Code of Conduct that applies to all of its directors, officers and employees, including its principal executive, financial and accounting officers, or persons performing similar functions. Schlumberger’s Code of Conduct is posted on its website at https://www.slb.com/who-we-are/guiding-principles/our-code-of-conduct. Schlumberger intends to disclose future amendments to the Code of Conduct and any grant of a waiver from a provision of the Code of Conduct requiring disclosure under applicable SEC rules at https://www.slb.com/who-we-are/guiding-principles/our-code-of-conduct.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information set forth under the captions “Compensation Discussion and Analysis,” “Executive Compensation Tables and Accompanying Narrative,” “Compensation Discussion and Analysis—Compensation Committee Report” and “Director Compensation in Fiscal Year 2019” in Schlumberger’s 2020 Proxy Statement is incorporated herein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information under the captions “Stock Ownership Information—Security Ownership by Certain Beneficial Owners,” “Stock Ownership Information— Security Ownership by Management” and “Equity Compensation Plan Information” in Schlumberger’s 2020 Proxy Statement is incorporated herein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under the captions “Corporate Governance—Board Independence” and “Corporate Governance—Policies and Procedures for Approval of Related Person Transactions” in Schlumberger’s 2020 Proxy Statement is incorporated herein by reference.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Item 14. Principal Accounting Fees and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information under the caption “Ratification of Appointment of Independent Auditors for 2020”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Schlumberger’s 2020 Proxy Statement is incorporated herein by reference.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and Financial Statement Schedules.</w:t>
      </w:r>
    </w:p>
    <w:p>
      <w:pPr>
        <w:spacing w:after="0" w:line="11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The following documents are filed as part of this Report: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(1)   Financial Statements</w:t>
            </w:r>
          </w:p>
        </w:tc>
        <w:tc>
          <w:tcPr>
            <w:tcW w:w="3520" w:type="dxa"/>
            <w:vAlign w:val="bottom"/>
          </w:tcPr>
          <w:p>
            <w:pPr>
              <w:jc w:val="center"/>
              <w:ind w:left="2733"/>
              <w:spacing w:after="0"/>
              <w:rPr>
                <w:sz w:val="20"/>
                <w:szCs w:val="20"/>
                <w:color w:val="auto"/>
              </w:rPr>
            </w:pPr>
            <w:r>
              <w:rPr>
                <w:rFonts w:ascii="Times New Roman" w:cs="Times New Roman" w:eastAsia="Times New Roman" w:hAnsi="Times New Roman"/>
                <w:sz w:val="14"/>
                <w:szCs w:val="14"/>
                <w:color w:val="auto"/>
                <w:w w:val="99"/>
              </w:rPr>
              <w:t>Page(s)</w:t>
            </w:r>
          </w:p>
        </w:tc>
        <w:tc>
          <w:tcPr>
            <w:tcW w:w="0" w:type="dxa"/>
            <w:vAlign w:val="bottom"/>
          </w:tcPr>
          <w:p>
            <w:pPr>
              <w:spacing w:after="0"/>
              <w:rPr>
                <w:sz w:val="1"/>
                <w:szCs w:val="1"/>
                <w:color w:val="auto"/>
              </w:rPr>
            </w:pPr>
          </w:p>
        </w:tc>
      </w:tr>
      <w:tr>
        <w:trPr>
          <w:trHeight w:val="179"/>
        </w:trPr>
        <w:tc>
          <w:tcPr>
            <w:tcW w:w="7740" w:type="dxa"/>
            <w:vAlign w:val="bottom"/>
            <w:gridSpan w:val="9"/>
            <w:vMerge w:val="continue"/>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0" w:type="dxa"/>
            <w:vAlign w:val="bottom"/>
          </w:tcPr>
          <w:p>
            <w:pPr>
              <w:spacing w:after="0"/>
              <w:rPr>
                <w:sz w:val="16"/>
                <w:szCs w:val="16"/>
                <w:color w:val="auto"/>
              </w:rPr>
            </w:pPr>
          </w:p>
        </w:tc>
        <w:tc>
          <w:tcPr>
            <w:tcW w:w="6180" w:type="dxa"/>
            <w:vAlign w:val="bottom"/>
            <w:tcBorders>
              <w:bottom w:val="single" w:sz="8" w:color="0000EE"/>
            </w:tcBorders>
            <w:gridSpan w:val="6"/>
          </w:tcPr>
          <w:p>
            <w:pPr>
              <w:spacing w:after="0" w:line="191" w:lineRule="exact"/>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Consolidated Statement of Income (Loss) for the three years ended December 31, 2019</w:t>
              </w:r>
            </w:hyperlink>
          </w:p>
        </w:tc>
        <w:tc>
          <w:tcPr>
            <w:tcW w:w="1140" w:type="dxa"/>
            <w:vAlign w:val="bottom"/>
            <w:gridSpan w:val="2"/>
          </w:tcPr>
          <w:p>
            <w:pPr>
              <w:spacing w:after="0"/>
              <w:rPr>
                <w:sz w:val="16"/>
                <w:szCs w:val="16"/>
                <w:color w:val="auto"/>
              </w:rPr>
            </w:pPr>
          </w:p>
        </w:tc>
        <w:tc>
          <w:tcPr>
            <w:tcW w:w="3520" w:type="dxa"/>
            <w:vAlign w:val="bottom"/>
          </w:tcPr>
          <w:p>
            <w:pPr>
              <w:jc w:val="center"/>
              <w:ind w:left="2733"/>
              <w:spacing w:after="0" w:line="191"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7320" w:type="dxa"/>
            <w:vAlign w:val="bottom"/>
            <w:tcBorders>
              <w:bottom w:val="single" w:sz="8" w:color="0000EE"/>
            </w:tcBorders>
            <w:gridSpan w:val="8"/>
          </w:tcPr>
          <w:p>
            <w:pPr>
              <w:spacing w:after="0" w:line="193"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Consolidated Statement of Comprehensive Income (Loss) for the three years ended December 31, 2019</w:t>
              </w:r>
            </w:hyperlink>
          </w:p>
        </w:tc>
        <w:tc>
          <w:tcPr>
            <w:tcW w:w="3520" w:type="dxa"/>
            <w:vAlign w:val="bottom"/>
          </w:tcPr>
          <w:p>
            <w:pPr>
              <w:jc w:val="center"/>
              <w:ind w:left="2733"/>
              <w:spacing w:after="0" w:line="193"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7320" w:type="dxa"/>
            <w:vAlign w:val="bottom"/>
            <w:gridSpan w:val="8"/>
          </w:tcPr>
          <w:p>
            <w:pPr>
              <w:spacing w:after="0" w:line="193"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Consolidated Balance Sheet at December 31, 2019 and 2018</w:t>
              </w:r>
            </w:hyperlink>
          </w:p>
        </w:tc>
        <w:tc>
          <w:tcPr>
            <w:tcW w:w="3520" w:type="dxa"/>
            <w:vAlign w:val="bottom"/>
          </w:tcPr>
          <w:p>
            <w:pPr>
              <w:jc w:val="center"/>
              <w:ind w:left="2733"/>
              <w:spacing w:after="0" w:line="193"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0" w:type="dxa"/>
            <w:vAlign w:val="bottom"/>
          </w:tcPr>
          <w:p>
            <w:pPr>
              <w:spacing w:after="0"/>
              <w:rPr>
                <w:sz w:val="16"/>
                <w:szCs w:val="16"/>
                <w:color w:val="auto"/>
              </w:rPr>
            </w:pPr>
          </w:p>
        </w:tc>
        <w:tc>
          <w:tcPr>
            <w:tcW w:w="5980" w:type="dxa"/>
            <w:vAlign w:val="bottom"/>
            <w:tcBorders>
              <w:bottom w:val="single" w:sz="8" w:color="0000EE"/>
            </w:tcBorders>
            <w:gridSpan w:val="5"/>
          </w:tcPr>
          <w:p>
            <w:pPr>
              <w:spacing w:after="0" w:line="193"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Consolidated Statement of Cash Flows for the three years ended December 31, 2019</w:t>
              </w:r>
            </w:hyperlink>
          </w:p>
        </w:tc>
        <w:tc>
          <w:tcPr>
            <w:tcW w:w="1340" w:type="dxa"/>
            <w:vAlign w:val="bottom"/>
            <w:gridSpan w:val="3"/>
          </w:tcPr>
          <w:p>
            <w:pPr>
              <w:spacing w:after="0"/>
              <w:rPr>
                <w:sz w:val="16"/>
                <w:szCs w:val="16"/>
                <w:color w:val="auto"/>
              </w:rPr>
            </w:pPr>
          </w:p>
        </w:tc>
        <w:tc>
          <w:tcPr>
            <w:tcW w:w="3520" w:type="dxa"/>
            <w:vAlign w:val="bottom"/>
          </w:tcPr>
          <w:p>
            <w:pPr>
              <w:jc w:val="center"/>
              <w:ind w:left="2733"/>
              <w:spacing w:after="0" w:line="193"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7320" w:type="dxa"/>
            <w:vAlign w:val="bottom"/>
            <w:gridSpan w:val="8"/>
          </w:tcPr>
          <w:p>
            <w:pPr>
              <w:spacing w:after="0" w:line="193"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Consolidated Statement of Stockholders’ Equity for the three years ended December 31, 2019</w:t>
              </w:r>
            </w:hyperlink>
          </w:p>
        </w:tc>
        <w:tc>
          <w:tcPr>
            <w:tcW w:w="3520" w:type="dxa"/>
            <w:vAlign w:val="bottom"/>
          </w:tcPr>
          <w:p>
            <w:pPr>
              <w:jc w:val="center"/>
              <w:ind w:left="2733"/>
              <w:spacing w:after="0" w:line="193" w:lineRule="exact"/>
              <w:rPr>
                <w:sz w:val="20"/>
                <w:szCs w:val="20"/>
                <w:color w:val="auto"/>
              </w:rPr>
            </w:pPr>
            <w:r>
              <w:rPr>
                <w:rFonts w:ascii="Times New Roman" w:cs="Times New Roman" w:eastAsia="Times New Roman" w:hAnsi="Times New Roman"/>
                <w:sz w:val="18"/>
                <w:szCs w:val="18"/>
                <w:color w:val="auto"/>
                <w:w w:val="98"/>
              </w:rPr>
              <w:t>30 and 31</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310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Notes to Consolidated Financial Statements</w:t>
              </w:r>
            </w:hyperlink>
          </w:p>
        </w:tc>
        <w:tc>
          <w:tcPr>
            <w:tcW w:w="3540" w:type="dxa"/>
            <w:vAlign w:val="bottom"/>
            <w:tcBorders>
              <w:top w:val="single" w:sz="8" w:color="0000EE"/>
            </w:tcBorders>
            <w:gridSpan w:val="5"/>
          </w:tcPr>
          <w:p>
            <w:pPr>
              <w:spacing w:after="0"/>
              <w:rPr>
                <w:sz w:val="16"/>
                <w:szCs w:val="16"/>
                <w:color w:val="auto"/>
              </w:rPr>
            </w:pPr>
          </w:p>
        </w:tc>
        <w:tc>
          <w:tcPr>
            <w:tcW w:w="680" w:type="dxa"/>
            <w:vAlign w:val="bottom"/>
          </w:tcPr>
          <w:p>
            <w:pPr>
              <w:spacing w:after="0"/>
              <w:rPr>
                <w:sz w:val="16"/>
                <w:szCs w:val="16"/>
                <w:color w:val="auto"/>
              </w:rPr>
            </w:pPr>
          </w:p>
        </w:tc>
        <w:tc>
          <w:tcPr>
            <w:tcW w:w="3520" w:type="dxa"/>
            <w:vAlign w:val="bottom"/>
          </w:tcPr>
          <w:p>
            <w:pPr>
              <w:jc w:val="center"/>
              <w:ind w:left="2733"/>
              <w:spacing w:after="0" w:line="193" w:lineRule="exact"/>
              <w:rPr>
                <w:sz w:val="20"/>
                <w:szCs w:val="20"/>
                <w:color w:val="auto"/>
              </w:rPr>
            </w:pPr>
            <w:r>
              <w:rPr>
                <w:rFonts w:ascii="Times New Roman" w:cs="Times New Roman" w:eastAsia="Times New Roman" w:hAnsi="Times New Roman"/>
                <w:sz w:val="18"/>
                <w:szCs w:val="18"/>
                <w:color w:val="auto"/>
                <w:w w:val="98"/>
              </w:rPr>
              <w:t>32 to 60</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7320" w:type="dxa"/>
            <w:vAlign w:val="bottom"/>
            <w:gridSpan w:val="8"/>
          </w:tcPr>
          <w:p>
            <w:pPr>
              <w:spacing w:after="0" w:line="193"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Report of Independent Registered Public Accounting Firm</w:t>
              </w:r>
            </w:hyperlink>
          </w:p>
        </w:tc>
        <w:tc>
          <w:tcPr>
            <w:tcW w:w="3520" w:type="dxa"/>
            <w:vAlign w:val="bottom"/>
          </w:tcPr>
          <w:p>
            <w:pPr>
              <w:jc w:val="center"/>
              <w:ind w:left="2733"/>
              <w:spacing w:after="0" w:line="193" w:lineRule="exact"/>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2140" w:type="dxa"/>
            <w:vAlign w:val="bottom"/>
            <w:tcBorders>
              <w:top w:val="single" w:sz="8" w:color="0000EE"/>
              <w:bottom w:val="single" w:sz="8" w:color="0000EE"/>
            </w:tcBorders>
          </w:tcPr>
          <w:p>
            <w:pPr>
              <w:spacing w:after="0" w:line="193"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Quarterly Results (Unaudited)</w:t>
              </w:r>
            </w:hyperlink>
          </w:p>
        </w:tc>
        <w:tc>
          <w:tcPr>
            <w:tcW w:w="2000" w:type="dxa"/>
            <w:vAlign w:val="bottom"/>
            <w:tcBorders>
              <w:top w:val="single" w:sz="8" w:color="0000EE"/>
            </w:tcBorders>
            <w:gridSpan w:val="2"/>
          </w:tcPr>
          <w:p>
            <w:pPr>
              <w:spacing w:after="0"/>
              <w:rPr>
                <w:sz w:val="16"/>
                <w:szCs w:val="16"/>
                <w:color w:val="auto"/>
              </w:rPr>
            </w:pPr>
          </w:p>
        </w:tc>
        <w:tc>
          <w:tcPr>
            <w:tcW w:w="3180" w:type="dxa"/>
            <w:vAlign w:val="bottom"/>
            <w:gridSpan w:val="5"/>
          </w:tcPr>
          <w:p>
            <w:pPr>
              <w:spacing w:after="0"/>
              <w:rPr>
                <w:sz w:val="16"/>
                <w:szCs w:val="16"/>
                <w:color w:val="auto"/>
              </w:rPr>
            </w:pPr>
          </w:p>
        </w:tc>
        <w:tc>
          <w:tcPr>
            <w:tcW w:w="3520" w:type="dxa"/>
            <w:vAlign w:val="bottom"/>
          </w:tcPr>
          <w:p>
            <w:pPr>
              <w:jc w:val="center"/>
              <w:ind w:left="2733"/>
              <w:spacing w:after="0" w:line="193" w:lineRule="exact"/>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Financial statements of companies accounted for under the equity method and unconsolidated subsidiaries have been omitted because they do not meet the materiality tests for assets or income.</w:t>
      </w:r>
    </w:p>
    <w:p>
      <w:pPr>
        <w:spacing w:after="0" w:line="165" w:lineRule="exact"/>
        <w:rPr>
          <w:sz w:val="20"/>
          <w:szCs w:val="20"/>
          <w:color w:val="auto"/>
        </w:rPr>
      </w:pPr>
    </w:p>
    <w:p>
      <w:pPr>
        <w:ind w:left="420" w:hanging="414"/>
        <w:spacing w:after="0"/>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not required</w:t>
      </w:r>
    </w:p>
    <w:p>
      <w:pPr>
        <w:spacing w:after="0" w:line="24" w:lineRule="exact"/>
        <w:rPr>
          <w:rFonts w:ascii="Times New Roman" w:cs="Times New Roman" w:eastAsia="Times New Roman" w:hAnsi="Times New Roman"/>
          <w:sz w:val="18"/>
          <w:szCs w:val="18"/>
          <w:color w:val="auto"/>
        </w:rPr>
      </w:pPr>
    </w:p>
    <w:p>
      <w:pPr>
        <w:ind w:left="420" w:hanging="414"/>
        <w:spacing w:after="0"/>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exhibits listed under Part (b) below.</w:t>
      </w:r>
    </w:p>
    <w:p>
      <w:pPr>
        <w:spacing w:after="0" w:line="19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23"/>
        </w:trPr>
        <w:tc>
          <w:tcPr>
            <w:tcW w:w="104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Articles of Incorporation of Schlumberger Limited (Schlumberger N.V.) (incorporated by reference to Exhibit 3.1 to Schlumberger’s Current</w:t>
              </w:r>
            </w:hyperlink>
          </w:p>
        </w:tc>
        <w:tc>
          <w:tcPr>
            <w:tcW w:w="140" w:type="dxa"/>
            <w:vAlign w:val="bottom"/>
            <w:gridSpan w:val="5"/>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92"/>
        </w:trPr>
        <w:tc>
          <w:tcPr>
            <w:tcW w:w="3100" w:type="dxa"/>
            <w:vAlign w:val="bottom"/>
            <w:tcBorders>
              <w:bottom w:val="single" w:sz="8" w:color="0000EE"/>
            </w:tcBorders>
            <w:gridSpan w:val="3"/>
          </w:tcPr>
          <w:p>
            <w:pPr>
              <w:spacing w:after="0" w:line="193" w:lineRule="exact"/>
              <w:rPr>
                <w:rFonts w:ascii="Times New Roman" w:cs="Times New Roman" w:eastAsia="Times New Roman" w:hAnsi="Times New Roman"/>
                <w:sz w:val="18"/>
                <w:szCs w:val="18"/>
                <w:color w:val="0000EE"/>
                <w:w w:val="97"/>
              </w:rPr>
            </w:pPr>
            <w:hyperlink r:id="rId107">
              <w:r>
                <w:rPr>
                  <w:rFonts w:ascii="Times New Roman" w:cs="Times New Roman" w:eastAsia="Times New Roman" w:hAnsi="Times New Roman"/>
                  <w:sz w:val="18"/>
                  <w:szCs w:val="18"/>
                  <w:color w:val="0000EE"/>
                  <w:w w:val="97"/>
                </w:rPr>
                <w:t>Report on Form 8-K filed on April 6, 2016)</w:t>
              </w:r>
            </w:hyperlink>
          </w:p>
        </w:tc>
        <w:tc>
          <w:tcPr>
            <w:tcW w:w="7460" w:type="dxa"/>
            <w:vAlign w:val="bottom"/>
            <w:gridSpan w:val="20"/>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4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Amended and Restated By-Laws of Schlumberger Limited (Schlumberger N.V.) (incorporated by reference to Exhibit 3 to Schlumberger’s</w:t>
              </w:r>
            </w:hyperlink>
          </w:p>
        </w:tc>
        <w:tc>
          <w:tcPr>
            <w:tcW w:w="10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92"/>
        </w:trPr>
        <w:tc>
          <w:tcPr>
            <w:tcW w:w="3700" w:type="dxa"/>
            <w:vAlign w:val="bottom"/>
            <w:tcBorders>
              <w:bottom w:val="single" w:sz="8" w:color="0000EE"/>
            </w:tcBorders>
            <w:gridSpan w:val="4"/>
          </w:tcPr>
          <w:p>
            <w:pPr>
              <w:spacing w:after="0" w:line="193"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Current Report on Form 8-K filed on July 22, 2019)</w:t>
              </w:r>
            </w:hyperlink>
          </w:p>
        </w:tc>
        <w:tc>
          <w:tcPr>
            <w:tcW w:w="6860" w:type="dxa"/>
            <w:vAlign w:val="bottom"/>
            <w:gridSpan w:val="19"/>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42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71">
              <w:r>
                <w:rPr>
                  <w:rFonts w:ascii="Times New Roman" w:cs="Times New Roman" w:eastAsia="Times New Roman" w:hAnsi="Times New Roman"/>
                  <w:sz w:val="18"/>
                  <w:szCs w:val="18"/>
                  <w:color w:val="0000EE"/>
                  <w:w w:val="98"/>
                </w:rPr>
                <w:t>Description of Common Stock of Schlumberger Limited (*)</w:t>
              </w:r>
            </w:hyperlink>
          </w:p>
        </w:tc>
        <w:tc>
          <w:tcPr>
            <w:tcW w:w="6300" w:type="dxa"/>
            <w:vAlign w:val="bottom"/>
            <w:gridSpan w:val="18"/>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2"/>
        </w:trPr>
        <w:tc>
          <w:tcPr>
            <w:tcW w:w="104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Indenture dated as of December 3, 2013, by and among Schlumberger Investment SA, as issuer, Schlumberger Limited, as guarantor, and The</w:t>
              </w:r>
            </w:hyperlink>
          </w:p>
        </w:tc>
        <w:tc>
          <w:tcPr>
            <w:tcW w:w="14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92"/>
        </w:trPr>
        <w:tc>
          <w:tcPr>
            <w:tcW w:w="10400" w:type="dxa"/>
            <w:vAlign w:val="bottom"/>
            <w:tcBorders>
              <w:bottom w:val="single" w:sz="8" w:color="0000EE"/>
            </w:tcBorders>
            <w:gridSpan w:val="17"/>
          </w:tcPr>
          <w:p>
            <w:pPr>
              <w:spacing w:after="0" w:line="193"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Bank of New York Mellon Trust Company, N.A., as trustee (incorporated by reference to Exhibit 4.1 to Schlumberger’s Current Report on Form</w:t>
              </w:r>
            </w:hyperlink>
          </w:p>
        </w:tc>
        <w:tc>
          <w:tcPr>
            <w:tcW w:w="160" w:type="dxa"/>
            <w:vAlign w:val="bottom"/>
            <w:gridSpan w:val="6"/>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2280" w:type="dxa"/>
            <w:vAlign w:val="bottom"/>
            <w:tcBorders>
              <w:bottom w:val="single" w:sz="8" w:color="0000EE"/>
            </w:tcBorders>
            <w:gridSpan w:val="2"/>
          </w:tcPr>
          <w:p>
            <w:pPr>
              <w:spacing w:after="0" w:line="193" w:lineRule="exact"/>
              <w:rPr>
                <w:rFonts w:ascii="Times New Roman" w:cs="Times New Roman" w:eastAsia="Times New Roman" w:hAnsi="Times New Roman"/>
                <w:sz w:val="18"/>
                <w:szCs w:val="18"/>
                <w:color w:val="0000EE"/>
                <w:w w:val="97"/>
              </w:rPr>
            </w:pPr>
            <w:hyperlink r:id="rId109">
              <w:r>
                <w:rPr>
                  <w:rFonts w:ascii="Times New Roman" w:cs="Times New Roman" w:eastAsia="Times New Roman" w:hAnsi="Times New Roman"/>
                  <w:sz w:val="18"/>
                  <w:szCs w:val="18"/>
                  <w:color w:val="0000EE"/>
                  <w:w w:val="97"/>
                </w:rPr>
                <w:t>8-K filed on December 3, 2013)</w:t>
              </w:r>
            </w:hyperlink>
          </w:p>
        </w:tc>
        <w:tc>
          <w:tcPr>
            <w:tcW w:w="8280" w:type="dxa"/>
            <w:vAlign w:val="bottom"/>
            <w:gridSpan w:val="21"/>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3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First Supplemental Indenture dated as of December 3, 2013, by and among Schlumberger Investment SA, as issuer, Schlumberger Limited, as</w:t>
              </w:r>
            </w:hyperlink>
          </w:p>
        </w:tc>
        <w:tc>
          <w:tcPr>
            <w:tcW w:w="18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92"/>
        </w:trPr>
        <w:tc>
          <w:tcPr>
            <w:tcW w:w="10460" w:type="dxa"/>
            <w:vAlign w:val="bottom"/>
            <w:tcBorders>
              <w:bottom w:val="single" w:sz="8" w:color="0000EE"/>
            </w:tcBorders>
            <w:gridSpan w:val="20"/>
          </w:tcPr>
          <w:p>
            <w:pPr>
              <w:spacing w:after="0" w:line="193"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guarantor, and The Bank of New York Mellon Trust Company, N.A., as trustee (including form of global notes representing 3.650% Senior Notes</w:t>
              </w:r>
            </w:hyperlink>
          </w:p>
        </w:tc>
        <w:tc>
          <w:tcPr>
            <w:tcW w:w="10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10560" w:type="dxa"/>
            <w:vAlign w:val="bottom"/>
            <w:gridSpan w:val="23"/>
          </w:tcPr>
          <w:p>
            <w:pPr>
              <w:spacing w:after="0" w:line="193"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due 2023) (incorporated by reference to Exhibit 4.2 to Schlumberger’s Current Report on Form 8-K filed on December 3, 2013)</w:t>
              </w:r>
            </w:hyperlink>
          </w:p>
        </w:tc>
        <w:tc>
          <w:tcPr>
            <w:tcW w:w="860" w:type="dxa"/>
            <w:vAlign w:val="bottom"/>
          </w:tcPr>
          <w:p>
            <w:pPr>
              <w:spacing w:after="0"/>
              <w:rPr>
                <w:sz w:val="16"/>
                <w:szCs w:val="16"/>
                <w:color w:val="auto"/>
              </w:rPr>
            </w:pPr>
          </w:p>
        </w:tc>
      </w:tr>
      <w:tr>
        <w:trPr>
          <w:trHeight w:val="20"/>
        </w:trPr>
        <w:tc>
          <w:tcPr>
            <w:tcW w:w="2180" w:type="dxa"/>
            <w:vAlign w:val="bottom"/>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4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Schlumberger Limited Supplementary Benefit Plan, as established effective June 1, 1995 and conformed to include amendments through January</w:t>
              </w:r>
            </w:hyperlink>
          </w:p>
        </w:tc>
        <w:tc>
          <w:tcPr>
            <w:tcW w:w="10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2"/>
        </w:trPr>
        <w:tc>
          <w:tcPr>
            <w:tcW w:w="10560" w:type="dxa"/>
            <w:vAlign w:val="bottom"/>
            <w:gridSpan w:val="23"/>
          </w:tcPr>
          <w:p>
            <w:pPr>
              <w:spacing w:after="0" w:line="193"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1, 2019 (incorporated by reference to Exhibit 10.1 to Schlumberger’s Annual Report on Form 10-K for the year ended December 31, 2018) (+)</w:t>
              </w:r>
            </w:hyperlink>
          </w:p>
        </w:tc>
        <w:tc>
          <w:tcPr>
            <w:tcW w:w="860" w:type="dxa"/>
            <w:vAlign w:val="bottom"/>
          </w:tcPr>
          <w:p>
            <w:pPr>
              <w:spacing w:after="0"/>
              <w:rPr>
                <w:sz w:val="16"/>
                <w:szCs w:val="16"/>
                <w:color w:val="auto"/>
              </w:rPr>
            </w:pPr>
          </w:p>
        </w:tc>
      </w:tr>
      <w:tr>
        <w:trPr>
          <w:trHeight w:val="20"/>
        </w:trPr>
        <w:tc>
          <w:tcPr>
            <w:tcW w:w="2180" w:type="dxa"/>
            <w:vAlign w:val="bottom"/>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Schlumberger Limited Restoration Savings Plan, as established effective June 1, 1995 and conformed to include amendments through January 1,</w:t>
              </w:r>
            </w:hyperlink>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92"/>
        </w:trPr>
        <w:tc>
          <w:tcPr>
            <w:tcW w:w="10560" w:type="dxa"/>
            <w:vAlign w:val="bottom"/>
            <w:gridSpan w:val="23"/>
          </w:tcPr>
          <w:p>
            <w:pPr>
              <w:spacing w:after="0" w:line="193"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2019 (incorporated by reference to Exhibit 10.2 to Schlumberger’s Annual Report on Form 10-K for the year ended December 31, 2018) (+)</w:t>
              </w:r>
            </w:hyperlink>
          </w:p>
        </w:tc>
        <w:tc>
          <w:tcPr>
            <w:tcW w:w="860" w:type="dxa"/>
            <w:vAlign w:val="bottom"/>
          </w:tcPr>
          <w:p>
            <w:pPr>
              <w:spacing w:after="0"/>
              <w:rPr>
                <w:sz w:val="16"/>
                <w:szCs w:val="16"/>
                <w:color w:val="auto"/>
              </w:rPr>
            </w:pPr>
          </w:p>
        </w:tc>
      </w:tr>
      <w:tr>
        <w:trPr>
          <w:trHeight w:val="20"/>
        </w:trPr>
        <w:tc>
          <w:tcPr>
            <w:tcW w:w="2180" w:type="dxa"/>
            <w:vAlign w:val="bottom"/>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4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Schlumberger Technology Corporation Supplementary Benefit Plan, as established effective January 1, 1995 and conformed to include</w:t>
              </w:r>
            </w:hyperlink>
          </w:p>
        </w:tc>
        <w:tc>
          <w:tcPr>
            <w:tcW w:w="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92"/>
        </w:trPr>
        <w:tc>
          <w:tcPr>
            <w:tcW w:w="10400" w:type="dxa"/>
            <w:vAlign w:val="bottom"/>
            <w:tcBorders>
              <w:bottom w:val="single" w:sz="8" w:color="0000EE"/>
            </w:tcBorders>
            <w:gridSpan w:val="17"/>
          </w:tcPr>
          <w:p>
            <w:pPr>
              <w:spacing w:after="0" w:line="193"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amendments through January 1, 2019 (incorporated by reference to Exhibit 10.3 to Schlumberger’s Annual Report on Form 10-K for the year</w:t>
              </w:r>
            </w:hyperlink>
          </w:p>
        </w:tc>
        <w:tc>
          <w:tcPr>
            <w:tcW w:w="160" w:type="dxa"/>
            <w:vAlign w:val="bottom"/>
            <w:gridSpan w:val="6"/>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10560" w:type="dxa"/>
            <w:vAlign w:val="bottom"/>
            <w:gridSpan w:val="23"/>
          </w:tcPr>
          <w:p>
            <w:pPr>
              <w:spacing w:after="0" w:line="193"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ended December 31, 2018) (+)</w:t>
              </w:r>
            </w:hyperlink>
          </w:p>
        </w:tc>
        <w:tc>
          <w:tcPr>
            <w:tcW w:w="860" w:type="dxa"/>
            <w:vAlign w:val="bottom"/>
          </w:tcPr>
          <w:p>
            <w:pPr>
              <w:spacing w:after="0"/>
              <w:rPr>
                <w:sz w:val="16"/>
                <w:szCs w:val="16"/>
                <w:color w:val="auto"/>
              </w:rPr>
            </w:pPr>
          </w:p>
        </w:tc>
      </w:tr>
      <w:tr>
        <w:trPr>
          <w:trHeight w:val="20"/>
        </w:trPr>
        <w:tc>
          <w:tcPr>
            <w:tcW w:w="218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3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Schlumberger 2001 Stock Option Plan, as amended and restated as of July 19, 2017 (incorporated by reference to Exhibit 10.4 to Schlumberger’s</w:t>
              </w:r>
            </w:hyperlink>
          </w:p>
        </w:tc>
        <w:tc>
          <w:tcPr>
            <w:tcW w:w="18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192"/>
        </w:trPr>
        <w:tc>
          <w:tcPr>
            <w:tcW w:w="5200" w:type="dxa"/>
            <w:vAlign w:val="bottom"/>
            <w:tcBorders>
              <w:bottom w:val="single" w:sz="8" w:color="0000EE"/>
            </w:tcBorders>
            <w:gridSpan w:val="6"/>
          </w:tcPr>
          <w:p>
            <w:pPr>
              <w:spacing w:after="0" w:line="193"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Annual Report on Form 10-K for the year ended December 31, 2018) (+)</w:t>
              </w:r>
            </w:hyperlink>
          </w:p>
        </w:tc>
        <w:tc>
          <w:tcPr>
            <w:tcW w:w="5360" w:type="dxa"/>
            <w:vAlign w:val="bottom"/>
            <w:gridSpan w:val="17"/>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4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Schlumberger Limited 2004 Stock and Deferral Plan for Non-Employee Directors, as amended and restated effective January 17, 2019</w:t>
              </w:r>
            </w:hyperlink>
          </w:p>
        </w:tc>
        <w:tc>
          <w:tcPr>
            <w:tcW w:w="12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2"/>
        </w:trPr>
        <w:tc>
          <w:tcPr>
            <w:tcW w:w="10560" w:type="dxa"/>
            <w:vAlign w:val="bottom"/>
            <w:gridSpan w:val="23"/>
          </w:tcPr>
          <w:p>
            <w:pPr>
              <w:spacing w:after="0" w:line="193"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(incorporated by reference to Exhibit 10.1 to Schlumberger’s Current Report on Form 8-K filed on April 3, 2019) (+)</w:t>
              </w:r>
            </w:hyperlink>
          </w:p>
        </w:tc>
        <w:tc>
          <w:tcPr>
            <w:tcW w:w="860" w:type="dxa"/>
            <w:vAlign w:val="bottom"/>
          </w:tcPr>
          <w:p>
            <w:pPr>
              <w:spacing w:after="0"/>
              <w:rPr>
                <w:sz w:val="16"/>
                <w:szCs w:val="16"/>
                <w:color w:val="auto"/>
              </w:rPr>
            </w:pPr>
          </w:p>
        </w:tc>
      </w:tr>
      <w:tr>
        <w:trPr>
          <w:trHeight w:val="20"/>
        </w:trPr>
        <w:tc>
          <w:tcPr>
            <w:tcW w:w="6340" w:type="dxa"/>
            <w:vAlign w:val="bottom"/>
            <w:gridSpan w:val="7"/>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4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Schlumberger 2005 Stock Incentive Plan, as amended and restated as of July 19, 2017 (incorporated by reference to Exhibit 10.6 to</w:t>
              </w:r>
            </w:hyperlink>
          </w:p>
        </w:tc>
        <w:tc>
          <w:tcPr>
            <w:tcW w:w="16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192"/>
        </w:trPr>
        <w:tc>
          <w:tcPr>
            <w:tcW w:w="10560" w:type="dxa"/>
            <w:vAlign w:val="bottom"/>
            <w:gridSpan w:val="23"/>
          </w:tcPr>
          <w:p>
            <w:pPr>
              <w:spacing w:after="0" w:line="193"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Schlumberger’s Annual Report on Form 10-K for the year ended December 31, 2018) (+)</w:t>
              </w:r>
            </w:hyperlink>
          </w:p>
        </w:tc>
        <w:tc>
          <w:tcPr>
            <w:tcW w:w="860" w:type="dxa"/>
            <w:vAlign w:val="bottom"/>
          </w:tcPr>
          <w:p>
            <w:pPr>
              <w:spacing w:after="0"/>
              <w:rPr>
                <w:sz w:val="16"/>
                <w:szCs w:val="16"/>
                <w:color w:val="auto"/>
              </w:rPr>
            </w:pPr>
          </w:p>
        </w:tc>
      </w:tr>
      <w:tr>
        <w:trPr>
          <w:trHeight w:val="20"/>
        </w:trPr>
        <w:tc>
          <w:tcPr>
            <w:tcW w:w="6340" w:type="dxa"/>
            <w:vAlign w:val="bottom"/>
            <w:gridSpan w:val="7"/>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4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Schlumberger 2008 Stock Incentive Plan, as amended and restated as of July 19, 2017 (incorporated by reference to Exhibit 10.7 to</w:t>
              </w:r>
            </w:hyperlink>
          </w:p>
        </w:tc>
        <w:tc>
          <w:tcPr>
            <w:tcW w:w="16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192"/>
        </w:trPr>
        <w:tc>
          <w:tcPr>
            <w:tcW w:w="10560" w:type="dxa"/>
            <w:vAlign w:val="bottom"/>
            <w:gridSpan w:val="23"/>
          </w:tcPr>
          <w:p>
            <w:pPr>
              <w:spacing w:after="0" w:line="193"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Schlumberger’s Annual Report on Form 10-K for the year ended December 31, 2018) (+)</w:t>
              </w:r>
            </w:hyperlink>
          </w:p>
        </w:tc>
        <w:tc>
          <w:tcPr>
            <w:tcW w:w="860" w:type="dxa"/>
            <w:vAlign w:val="bottom"/>
          </w:tcPr>
          <w:p>
            <w:pPr>
              <w:spacing w:after="0"/>
              <w:rPr>
                <w:sz w:val="16"/>
                <w:szCs w:val="16"/>
                <w:color w:val="auto"/>
              </w:rPr>
            </w:pPr>
          </w:p>
        </w:tc>
      </w:tr>
      <w:tr>
        <w:trPr>
          <w:trHeight w:val="20"/>
        </w:trPr>
        <w:tc>
          <w:tcPr>
            <w:tcW w:w="6340" w:type="dxa"/>
            <w:vAlign w:val="bottom"/>
            <w:gridSpan w:val="7"/>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4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Schlumberger 2010 Omnibus Stock Incentive Plan, as amended and restated as of July 19, 2017 (incorporated by reference to Exhibit 10.8 to</w:t>
              </w:r>
            </w:hyperlink>
          </w:p>
        </w:tc>
        <w:tc>
          <w:tcPr>
            <w:tcW w:w="14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192"/>
        </w:trPr>
        <w:tc>
          <w:tcPr>
            <w:tcW w:w="10560" w:type="dxa"/>
            <w:vAlign w:val="bottom"/>
            <w:gridSpan w:val="23"/>
          </w:tcPr>
          <w:p>
            <w:pPr>
              <w:spacing w:after="0" w:line="193"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Schlumberger’s Annual Report on Form 10-K for the year ended December 31, 2018) (+)</w:t>
              </w:r>
            </w:hyperlink>
          </w:p>
        </w:tc>
        <w:tc>
          <w:tcPr>
            <w:tcW w:w="860" w:type="dxa"/>
            <w:vAlign w:val="bottom"/>
          </w:tcPr>
          <w:p>
            <w:pPr>
              <w:spacing w:after="0"/>
              <w:rPr>
                <w:sz w:val="16"/>
                <w:szCs w:val="16"/>
                <w:color w:val="auto"/>
              </w:rPr>
            </w:pPr>
          </w:p>
        </w:tc>
      </w:tr>
      <w:tr>
        <w:trPr>
          <w:trHeight w:val="20"/>
        </w:trPr>
        <w:tc>
          <w:tcPr>
            <w:tcW w:w="6340" w:type="dxa"/>
            <w:vAlign w:val="bottom"/>
            <w:gridSpan w:val="7"/>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4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Cameron International Corporation Equity Incentive Plan, as amended and restated as of January 1, 2013 (incorporated by reference to Exhibit</w:t>
              </w:r>
            </w:hyperlink>
          </w:p>
        </w:tc>
        <w:tc>
          <w:tcPr>
            <w:tcW w:w="16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192"/>
        </w:trPr>
        <w:tc>
          <w:tcPr>
            <w:tcW w:w="6980" w:type="dxa"/>
            <w:vAlign w:val="bottom"/>
            <w:tcBorders>
              <w:bottom w:val="single" w:sz="8" w:color="0000EE"/>
            </w:tcBorders>
            <w:gridSpan w:val="8"/>
          </w:tcPr>
          <w:p>
            <w:pPr>
              <w:spacing w:after="0" w:line="193" w:lineRule="exact"/>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16</w:t>
              </w:r>
              <w:r>
                <w:rPr>
                  <w:rFonts w:ascii="Times New Roman" w:cs="Times New Roman" w:eastAsia="Times New Roman" w:hAnsi="Times New Roman"/>
                  <w:sz w:val="18"/>
                  <w:szCs w:val="18"/>
                  <w:color w:val="0000EE"/>
                  <w:w w:val="98"/>
                </w:rPr>
                <w:t xml:space="preserve"> to Schlumberger’s Annual Report on Form 10-K for the year ended December 31, 2016) (+)</w:t>
              </w:r>
            </w:hyperlink>
          </w:p>
        </w:tc>
        <w:tc>
          <w:tcPr>
            <w:tcW w:w="3580" w:type="dxa"/>
            <w:vAlign w:val="bottom"/>
            <w:gridSpan w:val="15"/>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4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2018 Rules of the Schlumberger 2010, 2013 and 2017 Omnibus Incentive Plans for Employees in France (incorporated by reference to Appendix</w:t>
              </w:r>
            </w:hyperlink>
          </w:p>
        </w:tc>
        <w:tc>
          <w:tcPr>
            <w:tcW w:w="16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192"/>
        </w:trPr>
        <w:tc>
          <w:tcPr>
            <w:tcW w:w="10560" w:type="dxa"/>
            <w:vAlign w:val="bottom"/>
            <w:gridSpan w:val="23"/>
          </w:tcPr>
          <w:p>
            <w:pPr>
              <w:spacing w:after="0" w:line="193"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B to Schlumberger's Definitive Proxy Statement on Schedule 14A filed with the SEC on March 2, 2018) (+)</w:t>
              </w:r>
            </w:hyperlink>
          </w:p>
        </w:tc>
        <w:tc>
          <w:tcPr>
            <w:tcW w:w="860" w:type="dxa"/>
            <w:vAlign w:val="bottom"/>
          </w:tcPr>
          <w:p>
            <w:pPr>
              <w:spacing w:after="0"/>
              <w:rPr>
                <w:sz w:val="16"/>
                <w:szCs w:val="16"/>
                <w:color w:val="auto"/>
              </w:rPr>
            </w:pPr>
          </w:p>
        </w:tc>
      </w:tr>
      <w:tr>
        <w:trPr>
          <w:trHeight w:val="20"/>
        </w:trPr>
        <w:tc>
          <w:tcPr>
            <w:tcW w:w="7660" w:type="dxa"/>
            <w:vAlign w:val="bottom"/>
            <w:gridSpan w:val="9"/>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4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Form of Option Agreement (Employees in France), Incentive Stock Option, under Schlumberger 2010 Omnibus Stock Incentive Plan</w:t>
              </w:r>
            </w:hyperlink>
          </w:p>
        </w:tc>
        <w:tc>
          <w:tcPr>
            <w:tcW w:w="10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192"/>
        </w:trPr>
        <w:tc>
          <w:tcPr>
            <w:tcW w:w="9600" w:type="dxa"/>
            <w:vAlign w:val="bottom"/>
            <w:tcBorders>
              <w:bottom w:val="single" w:sz="8" w:color="0000EE"/>
            </w:tcBorders>
            <w:gridSpan w:val="13"/>
          </w:tcPr>
          <w:p>
            <w:pPr>
              <w:spacing w:after="0" w:line="193" w:lineRule="exact"/>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(incorporated by reference to Exhibit 10.10 to Schlumberger’s Quarterly Report on Form 10-Q for the quarter ended June 30, 2013) (+)</w:t>
              </w:r>
            </w:hyperlink>
          </w:p>
        </w:tc>
        <w:tc>
          <w:tcPr>
            <w:tcW w:w="960" w:type="dxa"/>
            <w:vAlign w:val="bottom"/>
            <w:gridSpan w:val="10"/>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3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Form of Option Agreement (Employees in France), Non-Qualified Stock Option, under Schlumberger 2010 Omnibus Stock Incentive Plan</w:t>
              </w:r>
            </w:hyperlink>
          </w:p>
        </w:tc>
        <w:tc>
          <w:tcPr>
            <w:tcW w:w="18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192"/>
        </w:trPr>
        <w:tc>
          <w:tcPr>
            <w:tcW w:w="10560" w:type="dxa"/>
            <w:vAlign w:val="bottom"/>
            <w:gridSpan w:val="23"/>
          </w:tcPr>
          <w:p>
            <w:pPr>
              <w:spacing w:after="0" w:line="193"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(incorporated by reference to Exhibit 10.11 to Schlumberger’s Quarterly Report on Form 10-Q for the quarter ended June 30, 2013) (+)</w:t>
              </w:r>
            </w:hyperlink>
          </w:p>
        </w:tc>
        <w:tc>
          <w:tcPr>
            <w:tcW w:w="860" w:type="dxa"/>
            <w:vAlign w:val="bottom"/>
          </w:tcPr>
          <w:p>
            <w:pPr>
              <w:spacing w:after="0"/>
              <w:rPr>
                <w:sz w:val="16"/>
                <w:szCs w:val="16"/>
                <w:color w:val="auto"/>
              </w:rPr>
            </w:pPr>
          </w:p>
        </w:tc>
      </w:tr>
      <w:tr>
        <w:trPr>
          <w:trHeight w:val="565"/>
        </w:trPr>
        <w:tc>
          <w:tcPr>
            <w:tcW w:w="6340" w:type="dxa"/>
            <w:vAlign w:val="bottom"/>
            <w:tcBorders>
              <w:top w:val="single" w:sz="8" w:color="0000EE"/>
            </w:tcBorders>
            <w:gridSpan w:val="7"/>
          </w:tcPr>
          <w:p>
            <w:pPr>
              <w:ind w:left="5620"/>
              <w:spacing w:after="0"/>
              <w:rPr>
                <w:sz w:val="20"/>
                <w:szCs w:val="20"/>
                <w:color w:val="auto"/>
              </w:rPr>
            </w:pPr>
            <w:r>
              <w:rPr>
                <w:rFonts w:ascii="Times New Roman" w:cs="Times New Roman" w:eastAsia="Times New Roman" w:hAnsi="Times New Roman"/>
                <w:sz w:val="18"/>
                <w:szCs w:val="18"/>
                <w:color w:val="auto"/>
              </w:rPr>
              <w:t>67</w:t>
            </w:r>
          </w:p>
        </w:tc>
        <w:tc>
          <w:tcPr>
            <w:tcW w:w="6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5"/>
        </w:trPr>
        <w:tc>
          <w:tcPr>
            <w:tcW w:w="2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91"/>
        </w:trPr>
        <w:tc>
          <w:tcPr>
            <w:tcW w:w="10400" w:type="dxa"/>
            <w:vAlign w:val="bottom"/>
            <w:tcBorders>
              <w:bottom w:val="single" w:sz="8" w:color="0000EE"/>
            </w:tcBorders>
            <w:gridSpan w:val="14"/>
          </w:tcPr>
          <w:p>
            <w:pPr>
              <w:spacing w:after="0" w:line="191"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of Schlumberger Stock Incentive Plan Restricted Stock Unit Award Agreement for France (incorporated by reference to Exhibit 10.3 to</w:t>
              </w:r>
            </w:hyperlink>
          </w:p>
        </w:tc>
        <w:tc>
          <w:tcPr>
            <w:tcW w:w="160" w:type="dxa"/>
            <w:vAlign w:val="bottom"/>
            <w:gridSpan w:val="2"/>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10.13</w:t>
            </w:r>
          </w:p>
        </w:tc>
      </w:tr>
      <w:tr>
        <w:trPr>
          <w:trHeight w:val="192"/>
        </w:trPr>
        <w:tc>
          <w:tcPr>
            <w:tcW w:w="6440" w:type="dxa"/>
            <w:vAlign w:val="bottom"/>
            <w:tcBorders>
              <w:bottom w:val="single" w:sz="8" w:color="0000EE"/>
            </w:tcBorders>
            <w:gridSpan w:val="6"/>
          </w:tcPr>
          <w:p>
            <w:pPr>
              <w:spacing w:after="0" w:line="193"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Schlumberger’s Quarterly Report on Form 10-Q for the quarter ended March 31, 2017) (+)</w:t>
              </w:r>
            </w:hyperlink>
          </w:p>
        </w:tc>
        <w:tc>
          <w:tcPr>
            <w:tcW w:w="4120" w:type="dxa"/>
            <w:vAlign w:val="bottom"/>
            <w:gridSpan w:val="10"/>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Schlumberger 2013 Omnibus Stock Incentive Plan, as amended and restated as of July 19, 2017 (incorporated by reference to Exhibit 10.15 to</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192"/>
        </w:trPr>
        <w:tc>
          <w:tcPr>
            <w:tcW w:w="10560" w:type="dxa"/>
            <w:vAlign w:val="bottom"/>
            <w:gridSpan w:val="16"/>
          </w:tcPr>
          <w:p>
            <w:pPr>
              <w:spacing w:after="0" w:line="193"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Schlumberger’s Annual Report on Form 10-K for the year ended December 31, 2018) (+)</w:t>
              </w:r>
            </w:hyperlink>
          </w:p>
        </w:tc>
        <w:tc>
          <w:tcPr>
            <w:tcW w:w="860" w:type="dxa"/>
            <w:vAlign w:val="bottom"/>
          </w:tcPr>
          <w:p>
            <w:pPr>
              <w:spacing w:after="0"/>
              <w:rPr>
                <w:sz w:val="16"/>
                <w:szCs w:val="16"/>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4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Option Agreement, Incentive Stock Option, under Schlumberger 2013 Omnibus Stock Incentive Plan (incorporated by reference to</w:t>
              </w:r>
            </w:hyperlink>
          </w:p>
        </w:tc>
        <w:tc>
          <w:tcPr>
            <w:tcW w:w="1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192"/>
        </w:trPr>
        <w:tc>
          <w:tcPr>
            <w:tcW w:w="10560" w:type="dxa"/>
            <w:vAlign w:val="bottom"/>
            <w:gridSpan w:val="16"/>
          </w:tcPr>
          <w:p>
            <w:pPr>
              <w:spacing w:after="0" w:line="193"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Exhibit 10.1 to the Schlumberger’s Quarterly Report on Form 10-Q for the quarter ended June 30, 2015) (+)</w:t>
              </w:r>
            </w:hyperlink>
          </w:p>
        </w:tc>
        <w:tc>
          <w:tcPr>
            <w:tcW w:w="860" w:type="dxa"/>
            <w:vAlign w:val="bottom"/>
          </w:tcPr>
          <w:p>
            <w:pPr>
              <w:spacing w:after="0"/>
              <w:rPr>
                <w:sz w:val="16"/>
                <w:szCs w:val="16"/>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4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Form of Option Agreement, Non-Qualified Stock Option, under Schlumberger 2013 Omnibus Stock Incentive Plan (incorporated by reference to</w:t>
              </w:r>
            </w:hyperlink>
          </w:p>
        </w:tc>
        <w:tc>
          <w:tcPr>
            <w:tcW w:w="1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192"/>
        </w:trPr>
        <w:tc>
          <w:tcPr>
            <w:tcW w:w="10560" w:type="dxa"/>
            <w:vAlign w:val="bottom"/>
            <w:gridSpan w:val="16"/>
          </w:tcPr>
          <w:p>
            <w:pPr>
              <w:spacing w:after="0" w:line="193"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Exhibit 10.2 to Schlumberger’s Quarterly Report on Form 10-Q for the quarter ended June 30, 2015) (+)</w:t>
              </w:r>
            </w:hyperlink>
          </w:p>
        </w:tc>
        <w:tc>
          <w:tcPr>
            <w:tcW w:w="860" w:type="dxa"/>
            <w:vAlign w:val="bottom"/>
          </w:tcPr>
          <w:p>
            <w:pPr>
              <w:spacing w:after="0"/>
              <w:rPr>
                <w:sz w:val="16"/>
                <w:szCs w:val="16"/>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4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Form of Restricted Stock Unit Award Agreement under Schlumberger 2013 Omnibus Stock Incentive Plan (incorporated by reference to Exhibit</w:t>
              </w:r>
            </w:hyperlink>
          </w:p>
        </w:tc>
        <w:tc>
          <w:tcPr>
            <w:tcW w:w="1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192"/>
        </w:trPr>
        <w:tc>
          <w:tcPr>
            <w:tcW w:w="6840" w:type="dxa"/>
            <w:vAlign w:val="bottom"/>
            <w:tcBorders>
              <w:bottom w:val="single" w:sz="8" w:color="0000EE"/>
            </w:tcBorders>
            <w:gridSpan w:val="7"/>
          </w:tcPr>
          <w:p>
            <w:pPr>
              <w:spacing w:after="0" w:line="193"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w:t>
              </w:r>
              <w:r>
                <w:rPr>
                  <w:rFonts w:ascii="Times New Roman" w:cs="Times New Roman" w:eastAsia="Times New Roman" w:hAnsi="Times New Roman"/>
                  <w:sz w:val="18"/>
                  <w:szCs w:val="18"/>
                  <w:color w:val="0000EE"/>
                  <w:w w:val="98"/>
                </w:rPr>
                <w:t xml:space="preserve"> to Schlumberger’s Quarterly Report on Form 10-Q for the quarter ended June 30, 2015) (+)</w:t>
              </w:r>
            </w:hyperlink>
          </w:p>
        </w:tc>
        <w:tc>
          <w:tcPr>
            <w:tcW w:w="3720" w:type="dxa"/>
            <w:vAlign w:val="bottom"/>
            <w:gridSpan w:val="9"/>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Schlumberger Discounted Stock Purchase Plan, as amended and restated effective as of January 19, 2017 (incorporated by reference to Appendix</w:t>
              </w:r>
            </w:hyperlink>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192"/>
        </w:trPr>
        <w:tc>
          <w:tcPr>
            <w:tcW w:w="10560" w:type="dxa"/>
            <w:vAlign w:val="bottom"/>
            <w:gridSpan w:val="16"/>
          </w:tcPr>
          <w:p>
            <w:pPr>
              <w:spacing w:after="0" w:line="193"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 to Schlumberger’s Definitive Proxy Statement on Schedule 14A filed on February 21, 2017) (+)</w:t>
              </w:r>
            </w:hyperlink>
          </w:p>
        </w:tc>
        <w:tc>
          <w:tcPr>
            <w:tcW w:w="860" w:type="dxa"/>
            <w:vAlign w:val="bottom"/>
          </w:tcPr>
          <w:p>
            <w:pPr>
              <w:spacing w:after="0"/>
              <w:rPr>
                <w:sz w:val="16"/>
                <w:szCs w:val="16"/>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Schlumberger 2017 Omnibus Stock Incentive Plan, as amended and restated as of July 19, 2017 (incorporated by reference to Exhibit 10.20 to</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192"/>
        </w:trPr>
        <w:tc>
          <w:tcPr>
            <w:tcW w:w="10560" w:type="dxa"/>
            <w:vAlign w:val="bottom"/>
            <w:gridSpan w:val="16"/>
          </w:tcPr>
          <w:p>
            <w:pPr>
              <w:spacing w:after="0" w:line="193"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Schlumberger’s Annual Report on Form 10-K for the year ended December 31, 2018) (+)</w:t>
              </w:r>
            </w:hyperlink>
          </w:p>
        </w:tc>
        <w:tc>
          <w:tcPr>
            <w:tcW w:w="860" w:type="dxa"/>
            <w:vAlign w:val="bottom"/>
          </w:tcPr>
          <w:p>
            <w:pPr>
              <w:spacing w:after="0"/>
              <w:rPr>
                <w:sz w:val="16"/>
                <w:szCs w:val="16"/>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4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Form of Incentive Stock Option Agreement under 2017 Schlumberger Omnibus Stock Incentive Plan (incorporated by reference to Exhibit 10.6 to</w:t>
              </w:r>
            </w:hyperlink>
          </w:p>
        </w:tc>
        <w:tc>
          <w:tcPr>
            <w:tcW w:w="1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192"/>
        </w:trPr>
        <w:tc>
          <w:tcPr>
            <w:tcW w:w="6440" w:type="dxa"/>
            <w:vAlign w:val="bottom"/>
            <w:tcBorders>
              <w:bottom w:val="single" w:sz="8" w:color="0000EE"/>
            </w:tcBorders>
            <w:gridSpan w:val="6"/>
          </w:tcPr>
          <w:p>
            <w:pPr>
              <w:spacing w:after="0" w:line="193"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Schlumberger’s Quarterly Report on Form 10-Q for the quarter ended March 31, 2017) (+)</w:t>
              </w:r>
            </w:hyperlink>
          </w:p>
        </w:tc>
        <w:tc>
          <w:tcPr>
            <w:tcW w:w="4120" w:type="dxa"/>
            <w:vAlign w:val="bottom"/>
            <w:gridSpan w:val="10"/>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4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Form of Restricted Stock Unit Award Agreement under Schlumberger 2017 Omnibus Stock Incentive Plan (incorporated by reference to Exhibit</w:t>
              </w:r>
            </w:hyperlink>
          </w:p>
        </w:tc>
        <w:tc>
          <w:tcPr>
            <w:tcW w:w="1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192"/>
        </w:trPr>
        <w:tc>
          <w:tcPr>
            <w:tcW w:w="6980" w:type="dxa"/>
            <w:vAlign w:val="bottom"/>
            <w:tcBorders>
              <w:bottom w:val="single" w:sz="8" w:color="0000EE"/>
            </w:tcBorders>
            <w:gridSpan w:val="9"/>
          </w:tcPr>
          <w:p>
            <w:pPr>
              <w:spacing w:after="0" w:line="193"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w:t>
              </w:r>
              <w:r>
                <w:rPr>
                  <w:rFonts w:ascii="Times New Roman" w:cs="Times New Roman" w:eastAsia="Times New Roman" w:hAnsi="Times New Roman"/>
                  <w:sz w:val="18"/>
                  <w:szCs w:val="18"/>
                  <w:color w:val="0000EE"/>
                  <w:w w:val="98"/>
                </w:rPr>
                <w:t xml:space="preserve"> to Schlumberger’s Quarterly Report on Form 10-Q for the quarter ended March 31, 2017) (+)</w:t>
              </w:r>
            </w:hyperlink>
          </w:p>
        </w:tc>
        <w:tc>
          <w:tcPr>
            <w:tcW w:w="3580" w:type="dxa"/>
            <w:vAlign w:val="bottom"/>
            <w:gridSpan w:val="7"/>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Form of Non-Qualified Stock Option Agreement under Schlumberger 2017 Omnibus Stock Incentive Plan (incorporated by reference to Exhibit</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192"/>
        </w:trPr>
        <w:tc>
          <w:tcPr>
            <w:tcW w:w="6980" w:type="dxa"/>
            <w:vAlign w:val="bottom"/>
            <w:tcBorders>
              <w:bottom w:val="single" w:sz="8" w:color="0000EE"/>
            </w:tcBorders>
            <w:gridSpan w:val="9"/>
          </w:tcPr>
          <w:p>
            <w:pPr>
              <w:spacing w:after="0" w:line="193"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5</w:t>
              </w:r>
              <w:r>
                <w:rPr>
                  <w:rFonts w:ascii="Times New Roman" w:cs="Times New Roman" w:eastAsia="Times New Roman" w:hAnsi="Times New Roman"/>
                  <w:sz w:val="18"/>
                  <w:szCs w:val="18"/>
                  <w:color w:val="0000EE"/>
                  <w:w w:val="98"/>
                </w:rPr>
                <w:t xml:space="preserve"> to Schlumberger’s Quarterly Report on Form 10-Q for the quarter ended March 31, 2017) (+)</w:t>
              </w:r>
            </w:hyperlink>
          </w:p>
        </w:tc>
        <w:tc>
          <w:tcPr>
            <w:tcW w:w="3580" w:type="dxa"/>
            <w:vAlign w:val="bottom"/>
            <w:gridSpan w:val="7"/>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2017 Two-Year Performance Share Unit Award Agreement under Schlumberger 2013 Omnibus Stock Incentive Plan (incorporated by</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192"/>
        </w:trPr>
        <w:tc>
          <w:tcPr>
            <w:tcW w:w="10560" w:type="dxa"/>
            <w:vAlign w:val="bottom"/>
            <w:gridSpan w:val="16"/>
          </w:tcPr>
          <w:p>
            <w:pPr>
              <w:spacing w:after="0" w:line="193"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reference to Exhibit 10.1 to Schlumberger’s Quarterly Report on Form 10-Q for the quarter ended March 31, 2017) (+)</w:t>
              </w:r>
            </w:hyperlink>
          </w:p>
        </w:tc>
        <w:tc>
          <w:tcPr>
            <w:tcW w:w="860" w:type="dxa"/>
            <w:vAlign w:val="bottom"/>
          </w:tcPr>
          <w:p>
            <w:pPr>
              <w:spacing w:after="0"/>
              <w:rPr>
                <w:sz w:val="16"/>
                <w:szCs w:val="16"/>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4320" w:type="dxa"/>
            <w:vAlign w:val="bottom"/>
            <w:gridSpan w:val="8"/>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38"/>
        </w:trPr>
        <w:tc>
          <w:tcPr>
            <w:tcW w:w="10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Form of 2017 Three-Year Performance Share Unit Award Agreement under Schlumberger 2013 Omnibus Stock Incentive Plan (incorporated by</w:t>
              </w:r>
            </w:hyperlink>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192"/>
        </w:trPr>
        <w:tc>
          <w:tcPr>
            <w:tcW w:w="10560" w:type="dxa"/>
            <w:vAlign w:val="bottom"/>
            <w:gridSpan w:val="16"/>
          </w:tcPr>
          <w:p>
            <w:pPr>
              <w:spacing w:after="0" w:line="193"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reference to Exhibit 10.2 to Schlumberger’s Quarterly Report on Form 10-Q for the quarter ended March 31, 2017) (+)</w:t>
              </w:r>
            </w:hyperlink>
          </w:p>
        </w:tc>
        <w:tc>
          <w:tcPr>
            <w:tcW w:w="860" w:type="dxa"/>
            <w:vAlign w:val="bottom"/>
          </w:tcPr>
          <w:p>
            <w:pPr>
              <w:spacing w:after="0"/>
              <w:rPr>
                <w:sz w:val="16"/>
                <w:szCs w:val="16"/>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4320" w:type="dxa"/>
            <w:vAlign w:val="bottom"/>
            <w:gridSpan w:val="8"/>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Addendum to Restricted Stock Unit Award Agreements, Performance Share Unit Agreements, Incentive Stock Option Agreements, and Non-</w:t>
              </w:r>
            </w:hyperlink>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192"/>
        </w:trPr>
        <w:tc>
          <w:tcPr>
            <w:tcW w:w="10380" w:type="dxa"/>
            <w:vAlign w:val="bottom"/>
            <w:tcBorders>
              <w:bottom w:val="single" w:sz="8" w:color="0000EE"/>
            </w:tcBorders>
            <w:gridSpan w:val="13"/>
          </w:tcPr>
          <w:p>
            <w:pPr>
              <w:spacing w:after="0" w:line="193"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Qualified Stock Option Agreements Issued Prior to July 19, 2017 (incorporated by reference to Exhibit 10.27 to Schlumberger’s Annual Report</w:t>
              </w:r>
            </w:hyperlink>
          </w:p>
        </w:tc>
        <w:tc>
          <w:tcPr>
            <w:tcW w:w="18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4100" w:type="dxa"/>
            <w:vAlign w:val="bottom"/>
            <w:tcBorders>
              <w:bottom w:val="single" w:sz="8" w:color="0000EE"/>
            </w:tcBorders>
            <w:gridSpan w:val="4"/>
          </w:tcPr>
          <w:p>
            <w:pPr>
              <w:spacing w:after="0" w:line="193" w:lineRule="exact"/>
              <w:rPr>
                <w:rFonts w:ascii="Times New Roman" w:cs="Times New Roman" w:eastAsia="Times New Roman" w:hAnsi="Times New Roman"/>
                <w:sz w:val="18"/>
                <w:szCs w:val="18"/>
                <w:color w:val="0000EE"/>
                <w:w w:val="97"/>
              </w:rPr>
            </w:pPr>
            <w:hyperlink r:id="rId137">
              <w:r>
                <w:rPr>
                  <w:rFonts w:ascii="Times New Roman" w:cs="Times New Roman" w:eastAsia="Times New Roman" w:hAnsi="Times New Roman"/>
                  <w:sz w:val="18"/>
                  <w:szCs w:val="18"/>
                  <w:color w:val="0000EE"/>
                  <w:w w:val="97"/>
                </w:rPr>
                <w:t>on Form 10-K for the year ended December 31, 2018) (+)</w:t>
              </w:r>
            </w:hyperlink>
          </w:p>
        </w:tc>
        <w:tc>
          <w:tcPr>
            <w:tcW w:w="6460" w:type="dxa"/>
            <w:vAlign w:val="bottom"/>
            <w:gridSpan w:val="12"/>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4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2019 Two-Year Performance Share Unit Award Agreement (with relative TSR modifier) under Schlumberger 2017 Omnibus Stock</w:t>
              </w:r>
            </w:hyperlink>
          </w:p>
        </w:tc>
        <w:tc>
          <w:tcPr>
            <w:tcW w:w="1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192"/>
        </w:trPr>
        <w:tc>
          <w:tcPr>
            <w:tcW w:w="10560" w:type="dxa"/>
            <w:vAlign w:val="bottom"/>
            <w:gridSpan w:val="16"/>
          </w:tcPr>
          <w:p>
            <w:pPr>
              <w:spacing w:after="0" w:line="193"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Incentive Plan (incorporated by reference to Exhibit 10.1 to Schlumberger’s Quarterly Report on Form 10-Q for the quarter ended March 31,</w:t>
              </w:r>
            </w:hyperlink>
          </w:p>
        </w:tc>
        <w:tc>
          <w:tcPr>
            <w:tcW w:w="860" w:type="dxa"/>
            <w:vAlign w:val="bottom"/>
          </w:tcPr>
          <w:p>
            <w:pPr>
              <w:spacing w:after="0"/>
              <w:rPr>
                <w:sz w:val="16"/>
                <w:szCs w:val="16"/>
                <w:color w:val="auto"/>
              </w:rPr>
            </w:pPr>
          </w:p>
        </w:tc>
      </w:tr>
      <w:tr>
        <w:trPr>
          <w:trHeight w:val="192"/>
        </w:trPr>
        <w:tc>
          <w:tcPr>
            <w:tcW w:w="68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96"/>
              </w:rPr>
            </w:pPr>
            <w:hyperlink r:id="rId138">
              <w:r>
                <w:rPr>
                  <w:rFonts w:ascii="Times New Roman" w:cs="Times New Roman" w:eastAsia="Times New Roman" w:hAnsi="Times New Roman"/>
                  <w:sz w:val="18"/>
                  <w:szCs w:val="18"/>
                  <w:color w:val="0000EE"/>
                  <w:w w:val="96"/>
                </w:rPr>
                <w:t>2019) (+)</w:t>
              </w:r>
            </w:hyperlink>
          </w:p>
        </w:tc>
        <w:tc>
          <w:tcPr>
            <w:tcW w:w="680" w:type="dxa"/>
            <w:vAlign w:val="bottom"/>
            <w:tcBorders>
              <w:top w:val="single" w:sz="8" w:color="0000EE"/>
            </w:tcBorders>
          </w:tcPr>
          <w:p>
            <w:pPr>
              <w:spacing w:after="0"/>
              <w:rPr>
                <w:sz w:val="16"/>
                <w:szCs w:val="16"/>
                <w:color w:val="auto"/>
              </w:rPr>
            </w:pPr>
          </w:p>
        </w:tc>
        <w:tc>
          <w:tcPr>
            <w:tcW w:w="2740" w:type="dxa"/>
            <w:vAlign w:val="bottom"/>
            <w:tcBorders>
              <w:top w:val="single" w:sz="8" w:color="0000EE"/>
            </w:tcBorders>
          </w:tcPr>
          <w:p>
            <w:pPr>
              <w:spacing w:after="0"/>
              <w:rPr>
                <w:sz w:val="16"/>
                <w:szCs w:val="16"/>
                <w:color w:val="auto"/>
              </w:rPr>
            </w:pPr>
          </w:p>
        </w:tc>
        <w:tc>
          <w:tcPr>
            <w:tcW w:w="22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19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2019 Three-Year Performance Share Unit Award Agreement (with relative TSR modifier) under Schlumberger 2017 Omnibus Stock</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192"/>
        </w:trPr>
        <w:tc>
          <w:tcPr>
            <w:tcW w:w="10560" w:type="dxa"/>
            <w:vAlign w:val="bottom"/>
            <w:gridSpan w:val="16"/>
          </w:tcPr>
          <w:p>
            <w:pPr>
              <w:spacing w:after="0" w:line="193"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Incentive Plan (incorporated by reference to Exhibit 10.2 to Schlumberger’s Quarterly Report on Form 10-Q for the quarter ended March 31,</w:t>
              </w:r>
            </w:hyperlink>
          </w:p>
        </w:tc>
        <w:tc>
          <w:tcPr>
            <w:tcW w:w="860" w:type="dxa"/>
            <w:vAlign w:val="bottom"/>
          </w:tcPr>
          <w:p>
            <w:pPr>
              <w:spacing w:after="0"/>
              <w:rPr>
                <w:sz w:val="16"/>
                <w:szCs w:val="16"/>
                <w:color w:val="auto"/>
              </w:rPr>
            </w:pPr>
          </w:p>
        </w:tc>
      </w:tr>
      <w:tr>
        <w:trPr>
          <w:trHeight w:val="192"/>
        </w:trPr>
        <w:tc>
          <w:tcPr>
            <w:tcW w:w="68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96"/>
              </w:rPr>
            </w:pPr>
            <w:hyperlink r:id="rId139">
              <w:r>
                <w:rPr>
                  <w:rFonts w:ascii="Times New Roman" w:cs="Times New Roman" w:eastAsia="Times New Roman" w:hAnsi="Times New Roman"/>
                  <w:sz w:val="18"/>
                  <w:szCs w:val="18"/>
                  <w:color w:val="0000EE"/>
                  <w:w w:val="96"/>
                </w:rPr>
                <w:t>2019) (+)</w:t>
              </w:r>
            </w:hyperlink>
          </w:p>
        </w:tc>
        <w:tc>
          <w:tcPr>
            <w:tcW w:w="680" w:type="dxa"/>
            <w:vAlign w:val="bottom"/>
            <w:tcBorders>
              <w:top w:val="single" w:sz="8" w:color="0000EE"/>
            </w:tcBorders>
          </w:tcPr>
          <w:p>
            <w:pPr>
              <w:spacing w:after="0"/>
              <w:rPr>
                <w:sz w:val="16"/>
                <w:szCs w:val="16"/>
                <w:color w:val="auto"/>
              </w:rPr>
            </w:pPr>
          </w:p>
        </w:tc>
        <w:tc>
          <w:tcPr>
            <w:tcW w:w="2740" w:type="dxa"/>
            <w:vAlign w:val="bottom"/>
            <w:tcBorders>
              <w:top w:val="single" w:sz="8" w:color="0000EE"/>
            </w:tcBorders>
          </w:tcPr>
          <w:p>
            <w:pPr>
              <w:spacing w:after="0"/>
              <w:rPr>
                <w:sz w:val="16"/>
                <w:szCs w:val="16"/>
                <w:color w:val="auto"/>
              </w:rPr>
            </w:pPr>
          </w:p>
        </w:tc>
        <w:tc>
          <w:tcPr>
            <w:tcW w:w="22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19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Employment Agreement effective as of April 1, 2019, by and between Schlumberger Limited, Schlumberger Global Resources, Ltd. and Aaron</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192"/>
        </w:trPr>
        <w:tc>
          <w:tcPr>
            <w:tcW w:w="10560" w:type="dxa"/>
            <w:vAlign w:val="bottom"/>
            <w:gridSpan w:val="16"/>
          </w:tcPr>
          <w:p>
            <w:pPr>
              <w:spacing w:after="0" w:line="193"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Gatt Floridia (incorporated by reference to Exhibit 10.1 to Schlumberger’s Quarterly Report on Form 10-Q for the quarter ended June 30, 2019)</w:t>
              </w:r>
            </w:hyperlink>
          </w:p>
        </w:tc>
        <w:tc>
          <w:tcPr>
            <w:tcW w:w="860" w:type="dxa"/>
            <w:vAlign w:val="bottom"/>
          </w:tcPr>
          <w:p>
            <w:pPr>
              <w:spacing w:after="0"/>
              <w:rPr>
                <w:sz w:val="16"/>
                <w:szCs w:val="16"/>
                <w:color w:val="auto"/>
              </w:rPr>
            </w:pPr>
          </w:p>
        </w:tc>
      </w:tr>
      <w:tr>
        <w:trPr>
          <w:trHeight w:val="192"/>
        </w:trPr>
        <w:tc>
          <w:tcPr>
            <w:tcW w:w="220" w:type="dxa"/>
            <w:vAlign w:val="bottom"/>
            <w:tcBorders>
              <w:top w:val="single" w:sz="8" w:color="0000EE"/>
              <w:bottom w:val="single" w:sz="8" w:color="0000EE"/>
            </w:tcBorders>
          </w:tcPr>
          <w:p>
            <w:pPr>
              <w:spacing w:after="0" w:line="193" w:lineRule="exact"/>
              <w:rPr>
                <w:rFonts w:ascii="Times New Roman" w:cs="Times New Roman" w:eastAsia="Times New Roman" w:hAnsi="Times New Roman"/>
                <w:sz w:val="18"/>
                <w:szCs w:val="18"/>
                <w:color w:val="0000EE"/>
                <w:w w:val="90"/>
              </w:rPr>
            </w:pPr>
            <w:hyperlink r:id="rId140">
              <w:r>
                <w:rPr>
                  <w:rFonts w:ascii="Times New Roman" w:cs="Times New Roman" w:eastAsia="Times New Roman" w:hAnsi="Times New Roman"/>
                  <w:sz w:val="18"/>
                  <w:szCs w:val="18"/>
                  <w:color w:val="0000EE"/>
                  <w:w w:val="90"/>
                </w:rPr>
                <w:t>(+)</w:t>
              </w:r>
            </w:hyperlink>
          </w:p>
        </w:tc>
        <w:tc>
          <w:tcPr>
            <w:tcW w:w="46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2740" w:type="dxa"/>
            <w:vAlign w:val="bottom"/>
            <w:tcBorders>
              <w:top w:val="single" w:sz="8" w:color="0000EE"/>
            </w:tcBorders>
          </w:tcPr>
          <w:p>
            <w:pPr>
              <w:spacing w:after="0"/>
              <w:rPr>
                <w:sz w:val="16"/>
                <w:szCs w:val="16"/>
                <w:color w:val="auto"/>
              </w:rPr>
            </w:pPr>
          </w:p>
        </w:tc>
        <w:tc>
          <w:tcPr>
            <w:tcW w:w="22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19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Employment, Non-Competition and Non-Solicitation Agreement effective as of August 1, 2019, by and between Schlumberger Limited and Paal</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192"/>
        </w:trPr>
        <w:tc>
          <w:tcPr>
            <w:tcW w:w="10560" w:type="dxa"/>
            <w:vAlign w:val="bottom"/>
            <w:gridSpan w:val="16"/>
          </w:tcPr>
          <w:p>
            <w:pPr>
              <w:spacing w:after="0" w:line="193"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Kibsgaard (incorporated by reference to Exhibit 10.1 to Schlumberger’s Quarterly Report on Form 10-Q for the quarter ended September 30,</w:t>
              </w:r>
            </w:hyperlink>
          </w:p>
        </w:tc>
        <w:tc>
          <w:tcPr>
            <w:tcW w:w="860" w:type="dxa"/>
            <w:vAlign w:val="bottom"/>
          </w:tcPr>
          <w:p>
            <w:pPr>
              <w:spacing w:after="0"/>
              <w:rPr>
                <w:sz w:val="16"/>
                <w:szCs w:val="16"/>
                <w:color w:val="auto"/>
              </w:rPr>
            </w:pPr>
          </w:p>
        </w:tc>
      </w:tr>
      <w:tr>
        <w:trPr>
          <w:trHeight w:val="192"/>
        </w:trPr>
        <w:tc>
          <w:tcPr>
            <w:tcW w:w="68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96"/>
              </w:rPr>
            </w:pPr>
            <w:hyperlink r:id="rId141">
              <w:r>
                <w:rPr>
                  <w:rFonts w:ascii="Times New Roman" w:cs="Times New Roman" w:eastAsia="Times New Roman" w:hAnsi="Times New Roman"/>
                  <w:sz w:val="18"/>
                  <w:szCs w:val="18"/>
                  <w:color w:val="0000EE"/>
                  <w:w w:val="96"/>
                </w:rPr>
                <w:t>2019) (+)</w:t>
              </w:r>
            </w:hyperlink>
          </w:p>
        </w:tc>
        <w:tc>
          <w:tcPr>
            <w:tcW w:w="680" w:type="dxa"/>
            <w:vAlign w:val="bottom"/>
            <w:tcBorders>
              <w:top w:val="single" w:sz="8" w:color="0000EE"/>
            </w:tcBorders>
          </w:tcPr>
          <w:p>
            <w:pPr>
              <w:spacing w:after="0"/>
              <w:rPr>
                <w:sz w:val="16"/>
                <w:szCs w:val="16"/>
                <w:color w:val="auto"/>
              </w:rPr>
            </w:pPr>
          </w:p>
        </w:tc>
        <w:tc>
          <w:tcPr>
            <w:tcW w:w="2740" w:type="dxa"/>
            <w:vAlign w:val="bottom"/>
            <w:tcBorders>
              <w:top w:val="single" w:sz="8" w:color="0000EE"/>
            </w:tcBorders>
          </w:tcPr>
          <w:p>
            <w:pPr>
              <w:spacing w:after="0"/>
              <w:rPr>
                <w:sz w:val="16"/>
                <w:szCs w:val="16"/>
                <w:color w:val="auto"/>
              </w:rPr>
            </w:pPr>
          </w:p>
        </w:tc>
        <w:tc>
          <w:tcPr>
            <w:tcW w:w="22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19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Employment, Non-Competition and Non-Solicitation Agreement effective as of January 22, 2020, by and between Schlumberger Limited and</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192"/>
        </w:trPr>
        <w:tc>
          <w:tcPr>
            <w:tcW w:w="1360" w:type="dxa"/>
            <w:vAlign w:val="bottom"/>
            <w:tcBorders>
              <w:bottom w:val="single" w:sz="8" w:color="0000EE"/>
            </w:tcBorders>
            <w:gridSpan w:val="3"/>
          </w:tcPr>
          <w:p>
            <w:pPr>
              <w:spacing w:after="0" w:line="193" w:lineRule="exact"/>
              <w:rPr>
                <w:rFonts w:ascii="Times New Roman" w:cs="Times New Roman" w:eastAsia="Times New Roman" w:hAnsi="Times New Roman"/>
                <w:sz w:val="18"/>
                <w:szCs w:val="18"/>
                <w:color w:val="0000EE"/>
                <w:w w:val="96"/>
              </w:rPr>
            </w:pPr>
            <w:hyperlink w:anchor="page74">
              <w:r>
                <w:rPr>
                  <w:rFonts w:ascii="Times New Roman" w:cs="Times New Roman" w:eastAsia="Times New Roman" w:hAnsi="Times New Roman"/>
                  <w:sz w:val="18"/>
                  <w:szCs w:val="18"/>
                  <w:color w:val="0000EE"/>
                  <w:w w:val="96"/>
                </w:rPr>
                <w:t>Simon Ayat (*) (+)</w:t>
              </w:r>
            </w:hyperlink>
          </w:p>
        </w:tc>
        <w:tc>
          <w:tcPr>
            <w:tcW w:w="9200" w:type="dxa"/>
            <w:vAlign w:val="bottom"/>
            <w:gridSpan w:val="13"/>
          </w:tcPr>
          <w:p>
            <w:pPr>
              <w:spacing w:after="0"/>
              <w:rPr>
                <w:sz w:val="16"/>
                <w:szCs w:val="16"/>
                <w:color w:val="auto"/>
              </w:rPr>
            </w:pPr>
          </w:p>
        </w:tc>
        <w:tc>
          <w:tcPr>
            <w:tcW w:w="860" w:type="dxa"/>
            <w:vAlign w:val="bottom"/>
          </w:tcPr>
          <w:p>
            <w:pPr>
              <w:spacing w:after="0"/>
              <w:rPr>
                <w:sz w:val="16"/>
                <w:szCs w:val="16"/>
                <w:color w:val="auto"/>
              </w:rPr>
            </w:pPr>
          </w:p>
        </w:tc>
      </w:tr>
      <w:tr>
        <w:trPr>
          <w:trHeight w:val="445"/>
        </w:trPr>
        <w:tc>
          <w:tcPr>
            <w:tcW w:w="6340" w:type="dxa"/>
            <w:vAlign w:val="bottom"/>
            <w:gridSpan w:val="5"/>
          </w:tcPr>
          <w:p>
            <w:pPr>
              <w:ind w:left="56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5"/>
        </w:trPr>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7232015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77"/>
        </w:trPr>
        <w:tc>
          <w:tcPr>
            <w:tcW w:w="10560" w:type="dxa"/>
            <w:vAlign w:val="bottom"/>
            <w:gridSpan w:val="10"/>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of Indemnification Agreement (incorporated by reference to Exhibit 10 to Schlumberger’s Current Report on Form 8-K filed on October 21,</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192"/>
        </w:trPr>
        <w:tc>
          <w:tcPr>
            <w:tcW w:w="420" w:type="dxa"/>
            <w:vAlign w:val="bottom"/>
            <w:tcBorders>
              <w:top w:val="single" w:sz="8" w:color="0000EE"/>
              <w:bottom w:val="single" w:sz="8" w:color="0000EE"/>
            </w:tcBorders>
          </w:tcPr>
          <w:p>
            <w:pPr>
              <w:spacing w:after="0" w:line="193" w:lineRule="exact"/>
              <w:rPr>
                <w:rFonts w:ascii="Times New Roman" w:cs="Times New Roman" w:eastAsia="Times New Roman" w:hAnsi="Times New Roman"/>
                <w:sz w:val="18"/>
                <w:szCs w:val="18"/>
                <w:color w:val="0000EE"/>
                <w:w w:val="95"/>
              </w:rPr>
            </w:pPr>
            <w:hyperlink r:id="rId144">
              <w:r>
                <w:rPr>
                  <w:rFonts w:ascii="Times New Roman" w:cs="Times New Roman" w:eastAsia="Times New Roman" w:hAnsi="Times New Roman"/>
                  <w:sz w:val="18"/>
                  <w:szCs w:val="18"/>
                  <w:color w:val="0000EE"/>
                  <w:w w:val="95"/>
                </w:rPr>
                <w:t>2013)</w:t>
              </w:r>
            </w:hyperlink>
          </w:p>
        </w:tc>
        <w:tc>
          <w:tcPr>
            <w:tcW w:w="2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55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560" w:type="dxa"/>
            <w:vAlign w:val="bottom"/>
            <w:gridSpan w:val="10"/>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Subsidiaries (*)</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2"/>
        </w:trPr>
        <w:tc>
          <w:tcPr>
            <w:tcW w:w="10560" w:type="dxa"/>
            <w:vAlign w:val="bottom"/>
            <w:gridSpan w:val="10"/>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Consent of Independent Registered Public Accounting Firm (*)</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2"/>
        </w:trPr>
        <w:tc>
          <w:tcPr>
            <w:tcW w:w="45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Powers of Attorney (*)</w:t>
              </w:r>
            </w:hyperlink>
          </w:p>
        </w:tc>
        <w:tc>
          <w:tcPr>
            <w:tcW w:w="6060" w:type="dxa"/>
            <w:vAlign w:val="bottom"/>
            <w:gridSpan w:val="4"/>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2"/>
        </w:trPr>
        <w:tc>
          <w:tcPr>
            <w:tcW w:w="100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94">
              <w:r>
                <w:rPr>
                  <w:rFonts w:ascii="Times New Roman" w:cs="Times New Roman" w:eastAsia="Times New Roman" w:hAnsi="Times New Roman"/>
                  <w:sz w:val="18"/>
                  <w:szCs w:val="18"/>
                  <w:color w:val="0000EE"/>
                  <w:w w:val="98"/>
                </w:rPr>
                <w:t>Certification of Chief Executive Officer pursuant to Rule 13a-14(a) as adopted pursuant to Section 302 of the Sarbanes-Oxley Act of 2002 (*)</w:t>
              </w:r>
            </w:hyperlink>
          </w:p>
        </w:tc>
        <w:tc>
          <w:tcPr>
            <w:tcW w:w="500" w:type="dxa"/>
            <w:vAlign w:val="bottom"/>
            <w:gridSpan w:val="2"/>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72"/>
        </w:trPr>
        <w:tc>
          <w:tcPr>
            <w:tcW w:w="100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95">
              <w:r>
                <w:rPr>
                  <w:rFonts w:ascii="Times New Roman" w:cs="Times New Roman" w:eastAsia="Times New Roman" w:hAnsi="Times New Roman"/>
                  <w:sz w:val="18"/>
                  <w:szCs w:val="18"/>
                  <w:color w:val="0000EE"/>
                  <w:w w:val="98"/>
                </w:rPr>
                <w:t>Certification of Chief Financial Officer pursuant to Rule 13a-14(a) as adopted pursuant to Section 302 of the Sarbanes-Oxley Act of 2002 (*)</w:t>
              </w:r>
            </w:hyperlink>
          </w:p>
        </w:tc>
        <w:tc>
          <w:tcPr>
            <w:tcW w:w="540" w:type="dxa"/>
            <w:vAlign w:val="bottom"/>
            <w:gridSpan w:val="3"/>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72"/>
        </w:trPr>
        <w:tc>
          <w:tcPr>
            <w:tcW w:w="10560" w:type="dxa"/>
            <w:vAlign w:val="bottom"/>
            <w:gridSpan w:val="10"/>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 of</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192"/>
        </w:trPr>
        <w:tc>
          <w:tcPr>
            <w:tcW w:w="70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96"/>
              </w:rPr>
            </w:pPr>
            <w:hyperlink w:anchor="page96">
              <w:r>
                <w:rPr>
                  <w:rFonts w:ascii="Times New Roman" w:cs="Times New Roman" w:eastAsia="Times New Roman" w:hAnsi="Times New Roman"/>
                  <w:sz w:val="18"/>
                  <w:szCs w:val="18"/>
                  <w:color w:val="0000EE"/>
                  <w:w w:val="96"/>
                </w:rPr>
                <w:t>2002 (**)</w:t>
              </w:r>
            </w:hyperlink>
          </w:p>
        </w:tc>
        <w:tc>
          <w:tcPr>
            <w:tcW w:w="4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55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12"/>
        </w:trPr>
        <w:tc>
          <w:tcPr>
            <w:tcW w:w="10560" w:type="dxa"/>
            <w:vAlign w:val="bottom"/>
            <w:gridSpan w:val="10"/>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 of</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192"/>
        </w:trPr>
        <w:tc>
          <w:tcPr>
            <w:tcW w:w="70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96"/>
              </w:rPr>
            </w:pPr>
            <w:hyperlink w:anchor="page97">
              <w:r>
                <w:rPr>
                  <w:rFonts w:ascii="Times New Roman" w:cs="Times New Roman" w:eastAsia="Times New Roman" w:hAnsi="Times New Roman"/>
                  <w:sz w:val="18"/>
                  <w:szCs w:val="18"/>
                  <w:color w:val="0000EE"/>
                  <w:w w:val="96"/>
                </w:rPr>
                <w:t>2002 (**)</w:t>
              </w:r>
            </w:hyperlink>
          </w:p>
        </w:tc>
        <w:tc>
          <w:tcPr>
            <w:tcW w:w="4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55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2"/>
        </w:trPr>
        <w:tc>
          <w:tcPr>
            <w:tcW w:w="10560" w:type="dxa"/>
            <w:vAlign w:val="bottom"/>
            <w:gridSpan w:val="10"/>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Mine Safety Disclosure (*)</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1920" w:type="dxa"/>
            <w:vAlign w:val="bottom"/>
            <w:gridSpan w:val="5"/>
            <w:shd w:val="clear" w:color="auto" w:fill="0000EE"/>
          </w:tcPr>
          <w:p>
            <w:pPr>
              <w:spacing w:after="0" w:line="20" w:lineRule="exact"/>
              <w:rPr>
                <w:sz w:val="1"/>
                <w:szCs w:val="1"/>
                <w:color w:val="auto"/>
              </w:rPr>
            </w:pPr>
          </w:p>
        </w:tc>
        <w:tc>
          <w:tcPr>
            <w:tcW w:w="86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3"/>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212529"/>
              </w:rPr>
              <w:t>Inline XBRL Instance Document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color w:val="212529"/>
              </w:rPr>
              <w:t>.INS</w:t>
            </w:r>
          </w:p>
        </w:tc>
      </w:tr>
      <w:tr>
        <w:trPr>
          <w:trHeight w:val="332"/>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Document </w:t>
            </w:r>
            <w:r>
              <w:rPr>
                <w:rFonts w:ascii="Times New Roman" w:cs="Times New Roman" w:eastAsia="Times New Roman" w:hAnsi="Times New Roman"/>
                <w:sz w:val="18"/>
                <w:szCs w:val="18"/>
                <w:color w:val="21252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101.SCH</w:t>
            </w:r>
          </w:p>
        </w:tc>
      </w:tr>
      <w:tr>
        <w:trPr>
          <w:trHeight w:val="332"/>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Calculation Linkbase Document </w:t>
            </w:r>
            <w:r>
              <w:rPr>
                <w:rFonts w:ascii="Times New Roman" w:cs="Times New Roman" w:eastAsia="Times New Roman" w:hAnsi="Times New Roman"/>
                <w:sz w:val="18"/>
                <w:szCs w:val="18"/>
                <w:color w:val="21252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101.CAL</w:t>
            </w:r>
          </w:p>
        </w:tc>
      </w:tr>
      <w:tr>
        <w:trPr>
          <w:trHeight w:val="332"/>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Definition Linkbase Document </w:t>
            </w:r>
            <w:r>
              <w:rPr>
                <w:rFonts w:ascii="Times New Roman" w:cs="Times New Roman" w:eastAsia="Times New Roman" w:hAnsi="Times New Roman"/>
                <w:sz w:val="18"/>
                <w:szCs w:val="18"/>
                <w:color w:val="21252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r>
      <w:tr>
        <w:trPr>
          <w:trHeight w:val="332"/>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Label Linkbase Document </w:t>
            </w:r>
            <w:r>
              <w:rPr>
                <w:rFonts w:ascii="Times New Roman" w:cs="Times New Roman" w:eastAsia="Times New Roman" w:hAnsi="Times New Roman"/>
                <w:sz w:val="18"/>
                <w:szCs w:val="18"/>
                <w:color w:val="21252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101.LAB</w:t>
            </w:r>
          </w:p>
        </w:tc>
      </w:tr>
      <w:tr>
        <w:trPr>
          <w:trHeight w:val="332"/>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Presentation Linkbase Document </w:t>
            </w:r>
            <w:r>
              <w:rPr>
                <w:rFonts w:ascii="Times New Roman" w:cs="Times New Roman" w:eastAsia="Times New Roman" w:hAnsi="Times New Roman"/>
                <w:sz w:val="18"/>
                <w:szCs w:val="18"/>
                <w:color w:val="21252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r>
      <w:tr>
        <w:trPr>
          <w:trHeight w:val="332"/>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4"/>
        </w:trPr>
        <w:tc>
          <w:tcPr>
            <w:tcW w:w="105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 Filed with this Form 10-K.</w:t>
            </w:r>
          </w:p>
        </w:tc>
        <w:tc>
          <w:tcPr>
            <w:tcW w:w="860" w:type="dxa"/>
            <w:vAlign w:val="bottom"/>
          </w:tcPr>
          <w:p>
            <w:pPr>
              <w:spacing w:after="0"/>
              <w:rPr>
                <w:sz w:val="24"/>
                <w:szCs w:val="24"/>
                <w:color w:val="auto"/>
              </w:rPr>
            </w:pPr>
          </w:p>
        </w:tc>
      </w:tr>
      <w:tr>
        <w:trPr>
          <w:trHeight w:val="208"/>
        </w:trPr>
        <w:tc>
          <w:tcPr>
            <w:tcW w:w="105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 Furnished with this Form 10-K</w:t>
            </w:r>
          </w:p>
        </w:tc>
        <w:tc>
          <w:tcPr>
            <w:tcW w:w="860" w:type="dxa"/>
            <w:vAlign w:val="bottom"/>
          </w:tcPr>
          <w:p>
            <w:pPr>
              <w:spacing w:after="0"/>
              <w:rPr>
                <w:sz w:val="18"/>
                <w:szCs w:val="18"/>
                <w:color w:val="auto"/>
              </w:rPr>
            </w:pPr>
          </w:p>
        </w:tc>
      </w:tr>
      <w:tr>
        <w:trPr>
          <w:trHeight w:val="212"/>
        </w:trPr>
        <w:tc>
          <w:tcPr>
            <w:tcW w:w="105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 Management contracts or compensatory plans or arrangements.</w:t>
            </w:r>
          </w:p>
        </w:tc>
        <w:tc>
          <w:tcPr>
            <w:tcW w:w="860" w:type="dxa"/>
            <w:vAlign w:val="bottom"/>
          </w:tcPr>
          <w:p>
            <w:pPr>
              <w:spacing w:after="0"/>
              <w:rPr>
                <w:sz w:val="18"/>
                <w:szCs w:val="18"/>
                <w:color w:val="auto"/>
              </w:rPr>
            </w:pPr>
          </w:p>
        </w:tc>
      </w:tr>
    </w:tbl>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 Schlumberger Limited and its subsidiaries on a consolidated basis. Schlumberger agrees, pursuant to Item 601(b)(4)(iii) of Regulation S-K, that it will furnish a copy of any such instrument to the SEC upon request.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72745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7274560" cy="4254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5" w:lineRule="exact"/>
        <w:rPr>
          <w:sz w:val="20"/>
          <w:szCs w:val="20"/>
          <w:color w:val="auto"/>
        </w:rPr>
      </w:pPr>
    </w:p>
    <w:p>
      <w:pPr>
        <w:spacing w:after="0"/>
        <w:tabs>
          <w:tab w:leader="none" w:pos="540" w:val="left"/>
          <w:tab w:leader="none" w:pos="7220" w:val="left"/>
        </w:tabs>
        <w:rPr>
          <w:sz w:val="20"/>
          <w:szCs w:val="20"/>
          <w:color w:val="auto"/>
        </w:rPr>
      </w:pPr>
      <w:r>
        <w:rPr>
          <w:rFonts w:ascii="Times New Roman" w:cs="Times New Roman" w:eastAsia="Times New Roman" w:hAnsi="Times New Roman"/>
          <w:sz w:val="18"/>
          <w:szCs w:val="18"/>
          <w:color w:val="auto"/>
        </w:rPr>
        <w:t>Date:</w:t>
        <w:tab/>
        <w:t>January 22, 2020</w:t>
      </w:r>
      <w:r>
        <w:rPr>
          <w:sz w:val="20"/>
          <w:szCs w:val="20"/>
          <w:color w:val="auto"/>
        </w:rPr>
        <w:tab/>
      </w: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CHLUMBERGER</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3"/>
          <w:szCs w:val="13"/>
          <w:color w:val="auto"/>
        </w:rPr>
        <w:t>IMITED</w:t>
      </w:r>
    </w:p>
    <w:p>
      <w:pPr>
        <w:spacing w:after="0" w:line="218" w:lineRule="exact"/>
        <w:rPr>
          <w:sz w:val="20"/>
          <w:szCs w:val="20"/>
          <w:color w:val="auto"/>
        </w:rPr>
      </w:pPr>
    </w:p>
    <w:p>
      <w:pPr>
        <w:jc w:val="center"/>
        <w:ind w:left="6740"/>
        <w:spacing w:after="0"/>
        <w:tabs>
          <w:tab w:leader="none" w:pos="220" w:val="left"/>
        </w:tabs>
        <w:rPr>
          <w:sz w:val="20"/>
          <w:szCs w:val="20"/>
          <w:color w:val="auto"/>
        </w:rPr>
      </w:pPr>
      <w:r>
        <w:rPr>
          <w:rFonts w:ascii="Times New Roman" w:cs="Times New Roman" w:eastAsia="Times New Roman" w:hAnsi="Times New Roman"/>
          <w:sz w:val="18"/>
          <w:szCs w:val="18"/>
          <w:color w:val="auto"/>
        </w:rPr>
        <w:t>By:</w:t>
        <w:tab/>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H</w:t>
      </w:r>
      <w:r>
        <w:rPr>
          <w:rFonts w:ascii="Times New Roman" w:cs="Times New Roman" w:eastAsia="Times New Roman" w:hAnsi="Times New Roman"/>
          <w:sz w:val="13"/>
          <w:szCs w:val="13"/>
          <w:color w:val="auto"/>
        </w:rPr>
        <w:t>OWARD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15240</wp:posOffset>
            </wp:positionV>
            <wp:extent cx="26549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2654935" cy="8255"/>
                    </a:xfrm>
                    <a:prstGeom prst="rect">
                      <a:avLst/>
                    </a:prstGeom>
                    <a:noFill/>
                  </pic:spPr>
                </pic:pic>
              </a:graphicData>
            </a:graphic>
          </wp:anchor>
        </w:drawing>
      </w:r>
    </w:p>
    <w:p>
      <w:pPr>
        <w:ind w:left="7240"/>
        <w:spacing w:after="0"/>
        <w:rPr>
          <w:sz w:val="20"/>
          <w:szCs w:val="20"/>
          <w:color w:val="auto"/>
        </w:rPr>
      </w:pPr>
      <w:r>
        <w:rPr>
          <w:rFonts w:ascii="Times New Roman" w:cs="Times New Roman" w:eastAsia="Times New Roman" w:hAnsi="Times New Roman"/>
          <w:sz w:val="14"/>
          <w:szCs w:val="14"/>
          <w:b w:val="1"/>
          <w:bCs w:val="1"/>
          <w:color w:val="auto"/>
        </w:rPr>
        <w:t>Howard Guild</w:t>
      </w:r>
    </w:p>
    <w:p>
      <w:pPr>
        <w:ind w:left="7240"/>
        <w:spacing w:after="0"/>
        <w:rPr>
          <w:sz w:val="20"/>
          <w:szCs w:val="20"/>
          <w:color w:val="auto"/>
        </w:rPr>
      </w:pPr>
      <w:r>
        <w:rPr>
          <w:rFonts w:ascii="Times New Roman" w:cs="Times New Roman" w:eastAsia="Times New Roman" w:hAnsi="Times New Roman"/>
          <w:sz w:val="14"/>
          <w:szCs w:val="14"/>
          <w:b w:val="1"/>
          <w:bCs w:val="1"/>
          <w:color w:val="auto"/>
        </w:rPr>
        <w:t>Chief Accounting Officer</w:t>
      </w:r>
    </w:p>
    <w:p>
      <w:pPr>
        <w:spacing w:after="0" w:line="22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00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1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Olivier Le Peuch</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3"/>
                <w:szCs w:val="13"/>
                <w:color w:val="auto"/>
                <w:w w:val="97"/>
              </w:rPr>
              <w:t>S</w:t>
            </w:r>
            <w:r>
              <w:rPr>
                <w:rFonts w:ascii="Times New Roman" w:cs="Times New Roman" w:eastAsia="Times New Roman" w:hAnsi="Times New Roman"/>
                <w:sz w:val="18"/>
                <w:szCs w:val="18"/>
                <w:color w:val="auto"/>
                <w:w w:val="97"/>
              </w:rPr>
              <w:t>/ S</w:t>
            </w:r>
            <w:r>
              <w:rPr>
                <w:rFonts w:ascii="Times New Roman" w:cs="Times New Roman" w:eastAsia="Times New Roman" w:hAnsi="Times New Roman"/>
                <w:sz w:val="13"/>
                <w:szCs w:val="13"/>
                <w:color w:val="auto"/>
                <w:w w:val="97"/>
              </w:rPr>
              <w:t>IMON</w:t>
            </w:r>
            <w:r>
              <w:rPr>
                <w:rFonts w:ascii="Times New Roman" w:cs="Times New Roman" w:eastAsia="Times New Roman" w:hAnsi="Times New Roman"/>
                <w:sz w:val="18"/>
                <w:szCs w:val="18"/>
                <w:color w:val="auto"/>
                <w:w w:val="97"/>
              </w:rPr>
              <w:t xml:space="preserve"> A</w:t>
            </w:r>
            <w:r>
              <w:rPr>
                <w:rFonts w:ascii="Times New Roman" w:cs="Times New Roman" w:eastAsia="Times New Roman" w:hAnsi="Times New Roman"/>
                <w:sz w:val="13"/>
                <w:szCs w:val="13"/>
                <w:color w:val="auto"/>
                <w:w w:val="97"/>
              </w:rPr>
              <w:t>YAT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Executive Vice President and Chief Financial Officer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Simon Ayat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3"/>
                <w:szCs w:val="13"/>
                <w:color w:val="auto"/>
                <w:w w:val="99"/>
              </w:rPr>
              <w:t>S</w:t>
            </w:r>
            <w:r>
              <w:rPr>
                <w:rFonts w:ascii="Times New Roman" w:cs="Times New Roman" w:eastAsia="Times New Roman" w:hAnsi="Times New Roman"/>
                <w:sz w:val="18"/>
                <w:szCs w:val="18"/>
                <w:color w:val="auto"/>
                <w:w w:val="99"/>
              </w:rPr>
              <w:t>/ H</w:t>
            </w:r>
            <w:r>
              <w:rPr>
                <w:rFonts w:ascii="Times New Roman" w:cs="Times New Roman" w:eastAsia="Times New Roman" w:hAnsi="Times New Roman"/>
                <w:sz w:val="13"/>
                <w:szCs w:val="13"/>
                <w:color w:val="auto"/>
                <w:w w:val="99"/>
              </w:rPr>
              <w:t>OWARD</w:t>
            </w:r>
            <w:r>
              <w:rPr>
                <w:rFonts w:ascii="Times New Roman" w:cs="Times New Roman" w:eastAsia="Times New Roman" w:hAnsi="Times New Roman"/>
                <w:sz w:val="18"/>
                <w:szCs w:val="18"/>
                <w:color w:val="auto"/>
                <w:w w:val="99"/>
              </w:rPr>
              <w:t xml:space="preserve"> G</w:t>
            </w:r>
            <w:r>
              <w:rPr>
                <w:rFonts w:ascii="Times New Roman" w:cs="Times New Roman" w:eastAsia="Times New Roman" w:hAnsi="Times New Roman"/>
                <w:sz w:val="13"/>
                <w:szCs w:val="13"/>
                <w:color w:val="auto"/>
                <w:w w:val="99"/>
              </w:rPr>
              <w:t>UILD</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Howard Guild</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 L.S. Currie</w:t>
            </w:r>
          </w:p>
        </w:tc>
        <w:tc>
          <w:tcPr>
            <w:tcW w:w="4000" w:type="dxa"/>
            <w:vAlign w:val="bottom"/>
          </w:tcPr>
          <w:p>
            <w:pPr>
              <w:spacing w:after="0"/>
              <w:rPr>
                <w:sz w:val="19"/>
                <w:szCs w:val="19"/>
                <w:color w:val="auto"/>
              </w:rPr>
            </w:pP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Patrick de La Chevardière</w:t>
            </w:r>
          </w:p>
        </w:tc>
        <w:tc>
          <w:tcPr>
            <w:tcW w:w="4000" w:type="dxa"/>
            <w:vAlign w:val="bottom"/>
          </w:tcPr>
          <w:p>
            <w:pPr>
              <w:spacing w:after="0"/>
              <w:rPr>
                <w:sz w:val="19"/>
                <w:szCs w:val="19"/>
                <w:color w:val="auto"/>
              </w:rPr>
            </w:pP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Miguel Galuccio</w:t>
            </w:r>
          </w:p>
        </w:tc>
        <w:tc>
          <w:tcPr>
            <w:tcW w:w="4000" w:type="dxa"/>
            <w:vAlign w:val="bottom"/>
          </w:tcPr>
          <w:p>
            <w:pPr>
              <w:spacing w:after="0"/>
              <w:rPr>
                <w:sz w:val="19"/>
                <w:szCs w:val="19"/>
                <w:color w:val="auto"/>
              </w:rPr>
            </w:pP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Nikolay Kudryavtsev</w:t>
            </w:r>
          </w:p>
        </w:tc>
        <w:tc>
          <w:tcPr>
            <w:tcW w:w="4000" w:type="dxa"/>
            <w:vAlign w:val="bottom"/>
          </w:tcPr>
          <w:p>
            <w:pPr>
              <w:spacing w:after="0"/>
              <w:rPr>
                <w:sz w:val="19"/>
                <w:szCs w:val="19"/>
                <w:color w:val="auto"/>
              </w:rPr>
            </w:pP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Tatiana Mitrova</w:t>
            </w:r>
          </w:p>
        </w:tc>
        <w:tc>
          <w:tcPr>
            <w:tcW w:w="4000" w:type="dxa"/>
            <w:vAlign w:val="bottom"/>
          </w:tcPr>
          <w:p>
            <w:pPr>
              <w:spacing w:after="0"/>
              <w:rPr>
                <w:sz w:val="19"/>
                <w:szCs w:val="19"/>
                <w:color w:val="auto"/>
              </w:rPr>
            </w:pP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Indra K. Nooyi</w:t>
            </w:r>
          </w:p>
        </w:tc>
        <w:tc>
          <w:tcPr>
            <w:tcW w:w="4000" w:type="dxa"/>
            <w:vAlign w:val="bottom"/>
          </w:tcPr>
          <w:p>
            <w:pPr>
              <w:spacing w:after="0"/>
              <w:rPr>
                <w:sz w:val="19"/>
                <w:szCs w:val="19"/>
                <w:color w:val="auto"/>
              </w:rPr>
            </w:pP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Lubna S. Olayan</w:t>
            </w:r>
          </w:p>
        </w:tc>
        <w:tc>
          <w:tcPr>
            <w:tcW w:w="4000" w:type="dxa"/>
            <w:vAlign w:val="bottom"/>
          </w:tcPr>
          <w:p>
            <w:pPr>
              <w:spacing w:after="0"/>
              <w:rPr>
                <w:sz w:val="19"/>
                <w:szCs w:val="19"/>
                <w:color w:val="auto"/>
              </w:rPr>
            </w:pP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Mark G. Papa</w:t>
            </w:r>
          </w:p>
        </w:tc>
        <w:tc>
          <w:tcPr>
            <w:tcW w:w="4000" w:type="dxa"/>
            <w:vAlign w:val="bottom"/>
          </w:tcPr>
          <w:p>
            <w:pPr>
              <w:spacing w:after="0"/>
              <w:rPr>
                <w:sz w:val="19"/>
                <w:szCs w:val="19"/>
                <w:color w:val="auto"/>
              </w:rPr>
            </w:pP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Leo Rafael Reif</w:t>
            </w:r>
          </w:p>
        </w:tc>
        <w:tc>
          <w:tcPr>
            <w:tcW w:w="4000" w:type="dxa"/>
            <w:vAlign w:val="bottom"/>
          </w:tcPr>
          <w:p>
            <w:pPr>
              <w:spacing w:after="0"/>
              <w:rPr>
                <w:sz w:val="19"/>
                <w:szCs w:val="19"/>
                <w:color w:val="auto"/>
              </w:rPr>
            </w:pP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Henri Seydoux</w:t>
            </w:r>
          </w:p>
        </w:tc>
        <w:tc>
          <w:tcPr>
            <w:tcW w:w="4000" w:type="dxa"/>
            <w:vAlign w:val="bottom"/>
          </w:tcPr>
          <w:p>
            <w:pPr>
              <w:spacing w:after="0"/>
              <w:rPr>
                <w:sz w:val="19"/>
                <w:szCs w:val="19"/>
                <w:color w:val="auto"/>
              </w:rPr>
            </w:pP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Jeff W. Sheets</w:t>
            </w:r>
          </w:p>
        </w:tc>
        <w:tc>
          <w:tcPr>
            <w:tcW w:w="4000" w:type="dxa"/>
            <w:vAlign w:val="bottom"/>
          </w:tcPr>
          <w:p>
            <w:pPr>
              <w:spacing w:after="0"/>
              <w:rPr>
                <w:sz w:val="19"/>
                <w:szCs w:val="19"/>
                <w:color w:val="auto"/>
              </w:rPr>
            </w:pPr>
          </w:p>
        </w:tc>
      </w:tr>
      <w:tr>
        <w:trPr>
          <w:trHeight w:val="313"/>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3"/>
                <w:szCs w:val="13"/>
                <w:color w:val="auto"/>
              </w:rPr>
              <w:t>LEXANDER</w:t>
            </w:r>
            <w:r>
              <w:rPr>
                <w:rFonts w:ascii="Times New Roman" w:cs="Times New Roman" w:eastAsia="Times New Roman" w:hAnsi="Times New Roman"/>
                <w:sz w:val="18"/>
                <w:szCs w:val="18"/>
                <w:color w:val="auto"/>
              </w:rPr>
              <w:t xml:space="preserve"> C. J</w:t>
            </w:r>
            <w:r>
              <w:rPr>
                <w:rFonts w:ascii="Times New Roman" w:cs="Times New Roman" w:eastAsia="Times New Roman" w:hAnsi="Times New Roman"/>
                <w:sz w:val="13"/>
                <w:szCs w:val="13"/>
                <w:color w:val="auto"/>
              </w:rPr>
              <w:t>UDEN</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January 22, 2020</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*By Alexander C. Juden, Attorney-in-Fact</w:t>
            </w:r>
          </w:p>
        </w:tc>
        <w:tc>
          <w:tcPr>
            <w:tcW w:w="4000" w:type="dxa"/>
            <w:vAlign w:val="bottom"/>
          </w:tcPr>
          <w:p>
            <w:pPr>
              <w:spacing w:after="0"/>
              <w:rPr>
                <w:sz w:val="19"/>
                <w:szCs w:val="19"/>
                <w:color w:val="auto"/>
              </w:rPr>
            </w:pPr>
          </w:p>
        </w:tc>
      </w:tr>
      <w:tr>
        <w:trPr>
          <w:trHeight w:val="645"/>
        </w:trPr>
        <w:tc>
          <w:tcPr>
            <w:tcW w:w="560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w:t>
            </w:r>
          </w:p>
        </w:tc>
      </w:tr>
    </w:tbl>
    <w:p>
      <w:pPr>
        <w:sectPr>
          <w:pgSz w:w="11900" w:h="16838" w:orient="portrait"/>
          <w:cols w:equalWidth="0" w:num="1">
            <w:col w:w="11420"/>
          </w:cols>
          <w:pgMar w:left="240" w:top="119"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0" w:lineRule="exact"/>
        <w:rPr>
          <w:sz w:val="20"/>
          <w:szCs w:val="20"/>
          <w:color w:val="auto"/>
        </w:rPr>
      </w:pPr>
    </w:p>
    <w:p>
      <w:pPr>
        <w:ind w:right="40" w:firstLine="439"/>
        <w:spacing w:after="0" w:line="274" w:lineRule="auto"/>
        <w:rPr>
          <w:sz w:val="20"/>
          <w:szCs w:val="20"/>
          <w:color w:val="auto"/>
        </w:rPr>
      </w:pPr>
      <w:r>
        <w:rPr>
          <w:rFonts w:ascii="Times New Roman" w:cs="Times New Roman" w:eastAsia="Times New Roman" w:hAnsi="Times New Roman"/>
          <w:sz w:val="18"/>
          <w:szCs w:val="18"/>
          <w:color w:val="auto"/>
        </w:rPr>
        <w:t>We may issue an aggregate of 4,500,000,000 shares of common stock, par value $0.01 per share. We may also issue an aggregate of 200,000,000 shares of preferred stock, par value $0.01 per share. No shares of preferred stock have been issued.</w:t>
      </w:r>
    </w:p>
    <w:p>
      <w:pPr>
        <w:spacing w:after="0" w:line="165" w:lineRule="exact"/>
        <w:rPr>
          <w:sz w:val="20"/>
          <w:szCs w:val="20"/>
          <w:color w:val="auto"/>
        </w:rPr>
      </w:pPr>
    </w:p>
    <w:p>
      <w:pPr>
        <w:ind w:right="320" w:firstLine="439"/>
        <w:spacing w:after="0" w:line="274" w:lineRule="auto"/>
        <w:rPr>
          <w:sz w:val="20"/>
          <w:szCs w:val="20"/>
          <w:color w:val="auto"/>
        </w:rPr>
      </w:pPr>
      <w:r>
        <w:rPr>
          <w:rFonts w:ascii="Times New Roman" w:cs="Times New Roman" w:eastAsia="Times New Roman" w:hAnsi="Times New Roman"/>
          <w:sz w:val="18"/>
          <w:szCs w:val="18"/>
          <w:color w:val="auto"/>
        </w:rPr>
        <w:t>The principal United States market for our common stock is the New York Stock Exchange, where it is traded under the symbol “SLB.” Our common stock is also listed for trading on the Euronext Paris, the London Stock Exchange and the SIX Swiss Exchange.</w:t>
      </w:r>
    </w:p>
    <w:p>
      <w:pPr>
        <w:spacing w:after="0" w:line="165" w:lineRule="exact"/>
        <w:rPr>
          <w:sz w:val="20"/>
          <w:szCs w:val="20"/>
          <w:color w:val="auto"/>
        </w:rPr>
      </w:pPr>
    </w:p>
    <w:p>
      <w:pPr>
        <w:ind w:right="120" w:firstLine="439"/>
        <w:spacing w:after="0" w:line="274" w:lineRule="auto"/>
        <w:rPr>
          <w:sz w:val="20"/>
          <w:szCs w:val="20"/>
          <w:color w:val="auto"/>
        </w:rPr>
      </w:pPr>
      <w:r>
        <w:rPr>
          <w:rFonts w:ascii="Times New Roman" w:cs="Times New Roman" w:eastAsia="Times New Roman" w:hAnsi="Times New Roman"/>
          <w:sz w:val="18"/>
          <w:szCs w:val="18"/>
          <w:color w:val="auto"/>
        </w:rPr>
        <w:t>The following description of our common stock is not complete and is qualified in its entirety by reference to our Articles of Incorporation and Amended and Restated By-Laws, each as amended to date and filed as exhibits to our Annual Reports on Form 10-K and Quarterly Reports on Form 10-Q.</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18"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18"/>
          <w:szCs w:val="18"/>
          <w:color w:val="auto"/>
        </w:rPr>
        <w:t>All outstanding shares of common stock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the common stock. The amount of dividends payable with respect to any fiscal year is determined by Schlumberger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our net asset value) at least equals the nominal capital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aggregate par value of our outstanding shares) and as a result of the distribution will not fall below the nominal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18" w:lineRule="exact"/>
        <w:rPr>
          <w:sz w:val="20"/>
          <w:szCs w:val="20"/>
          <w:color w:val="auto"/>
        </w:rPr>
      </w:pPr>
    </w:p>
    <w:p>
      <w:pPr>
        <w:ind w:right="42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Entitlement to Vote. </w:t>
      </w:r>
      <w:r>
        <w:rPr>
          <w:rFonts w:ascii="Times New Roman" w:cs="Times New Roman" w:eastAsia="Times New Roman" w:hAnsi="Times New Roman"/>
          <w:sz w:val="18"/>
          <w:szCs w:val="18"/>
          <w:color w:val="auto"/>
        </w:rPr>
        <w:t>Each holder of common stock and each holder of preferred stock (if issued and outstanding) is entitled to one vote for each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in that holder’s name. Voting rights may be exercised in person or by proxy.</w:t>
      </w:r>
    </w:p>
    <w:p>
      <w:pPr>
        <w:spacing w:after="0" w:line="159"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Quorum. </w:t>
      </w:r>
      <w:r>
        <w:rPr>
          <w:rFonts w:ascii="Times New Roman" w:cs="Times New Roman" w:eastAsia="Times New Roman" w:hAnsi="Times New Roman"/>
          <w:sz w:val="18"/>
          <w:szCs w:val="18"/>
          <w:color w:val="auto"/>
        </w:rPr>
        <w:t>No action may be taken at any general meeting of Schlumberger stockholders unless a quorum consisting of the holders of at least one-half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 disposition of our assets or our liquidation or the amendment of our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84" w:lineRule="exact"/>
        <w:rPr>
          <w:sz w:val="20"/>
          <w:szCs w:val="20"/>
          <w:color w:val="auto"/>
        </w:rPr>
      </w:pPr>
    </w:p>
    <w:p>
      <w:pPr>
        <w:ind w:right="26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Required Vote. </w:t>
      </w:r>
      <w:r>
        <w:rPr>
          <w:rFonts w:ascii="Times New Roman" w:cs="Times New Roman" w:eastAsia="Times New Roman" w:hAnsi="Times New Roman"/>
          <w:sz w:val="18"/>
          <w:szCs w:val="18"/>
          <w:color w:val="auto"/>
        </w:rPr>
        <w:t>In general, any action requiring the approval of Schlumberger stockholders may be authorized by a majority of the votes cast (excluding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abstentions) at any meeting at which a quorum is present (subject to the quorum exception described above).</w:t>
      </w:r>
    </w:p>
    <w:p>
      <w:pPr>
        <w:spacing w:after="0" w:line="161" w:lineRule="exact"/>
        <w:rPr>
          <w:sz w:val="20"/>
          <w:szCs w:val="20"/>
          <w:color w:val="auto"/>
        </w:rPr>
      </w:pPr>
    </w:p>
    <w:p>
      <w:pPr>
        <w:ind w:right="120" w:firstLine="439"/>
        <w:spacing w:after="0" w:line="260" w:lineRule="auto"/>
        <w:rPr>
          <w:sz w:val="20"/>
          <w:szCs w:val="20"/>
          <w:color w:val="auto"/>
        </w:rPr>
      </w:pPr>
      <w:r>
        <w:rPr>
          <w:rFonts w:ascii="Times New Roman" w:cs="Times New Roman" w:eastAsia="Times New Roman" w:hAnsi="Times New Roman"/>
          <w:sz w:val="18"/>
          <w:szCs w:val="18"/>
          <w:color w:val="auto"/>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330200</wp:posOffset>
            </wp:positionV>
            <wp:extent cx="729107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71" w:name="page72"/>
    <w:bookmarkEnd w:id="71"/>
    <w:p>
      <w:pPr>
        <w:jc w:val="both"/>
        <w:ind w:right="140" w:firstLine="439"/>
        <w:spacing w:after="0" w:line="282" w:lineRule="auto"/>
        <w:rPr>
          <w:sz w:val="20"/>
          <w:szCs w:val="20"/>
          <w:color w:val="auto"/>
        </w:rPr>
      </w:pPr>
      <w:r>
        <w:rPr>
          <w:rFonts w:ascii="Times New Roman" w:cs="Times New Roman" w:eastAsia="Times New Roman" w:hAnsi="Times New Roman"/>
          <w:sz w:val="17"/>
          <w:szCs w:val="17"/>
          <w:color w:val="auto"/>
        </w:rPr>
        <w:t>The sale or disposition of all or substantially all of our assets must be approved by the holders of at least a majority of the shares outstanding and entitled to vote, except that under our Articles of Incorporation this requirement does not apply to a reorganization or rearrangement of us or any of our subsidiaries or any of our assets in any transaction that does not result in any diminution of the beneficial interest of Schlumberger stockholders in our assets.</w:t>
      </w:r>
    </w:p>
    <w:p>
      <w:pPr>
        <w:spacing w:after="0" w:line="160" w:lineRule="exact"/>
        <w:rPr>
          <w:sz w:val="20"/>
          <w:szCs w:val="20"/>
          <w:color w:val="auto"/>
        </w:rPr>
      </w:pPr>
    </w:p>
    <w:p>
      <w:pPr>
        <w:ind w:right="180" w:firstLine="439"/>
        <w:spacing w:after="0" w:line="260" w:lineRule="auto"/>
        <w:rPr>
          <w:sz w:val="20"/>
          <w:szCs w:val="20"/>
          <w:color w:val="auto"/>
        </w:rPr>
      </w:pPr>
      <w:r>
        <w:rPr>
          <w:rFonts w:ascii="Times New Roman" w:cs="Times New Roman" w:eastAsia="Times New Roman" w:hAnsi="Times New Roman"/>
          <w:sz w:val="18"/>
          <w:szCs w:val="18"/>
          <w:color w:val="auto"/>
        </w:rPr>
        <w:t>Under our Articles of Incorporation, our board of directors may move our corporate seat to, or convert us into a legal entity under the laws of, another jurisdiction, and may change our corporate domicile from Curaçao to another jurisdiction to the extent allowed by applicable law. In certain cases, stockholder approval of such action may not be required under applicable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and Other Rights</w:t>
      </w:r>
    </w:p>
    <w:p>
      <w:pPr>
        <w:spacing w:after="0" w:line="220" w:lineRule="exact"/>
        <w:rPr>
          <w:sz w:val="20"/>
          <w:szCs w:val="20"/>
          <w:color w:val="auto"/>
        </w:rPr>
      </w:pPr>
    </w:p>
    <w:p>
      <w:pPr>
        <w:ind w:right="80" w:firstLine="439"/>
        <w:spacing w:after="0" w:line="255" w:lineRule="auto"/>
        <w:rPr>
          <w:sz w:val="20"/>
          <w:szCs w:val="20"/>
          <w:color w:val="auto"/>
        </w:rPr>
      </w:pPr>
      <w:r>
        <w:rPr>
          <w:rFonts w:ascii="Times New Roman" w:cs="Times New Roman" w:eastAsia="Times New Roman" w:hAnsi="Times New Roman"/>
          <w:sz w:val="18"/>
          <w:szCs w:val="18"/>
          <w:color w:val="auto"/>
        </w:rPr>
        <w:t>The shares of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upon Liquidation</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of liquidation, each share of common stock is entitled to equal rights after satisfaction of any preferred stock liquidation preference.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220" w:lineRule="exact"/>
        <w:rPr>
          <w:sz w:val="20"/>
          <w:szCs w:val="20"/>
          <w:color w:val="auto"/>
        </w:rPr>
      </w:pPr>
    </w:p>
    <w:p>
      <w:pPr>
        <w:ind w:right="40" w:firstLine="439"/>
        <w:spacing w:after="0" w:line="274" w:lineRule="auto"/>
        <w:rPr>
          <w:sz w:val="20"/>
          <w:szCs w:val="20"/>
          <w:color w:val="auto"/>
        </w:rPr>
      </w:pPr>
      <w:r>
        <w:rPr>
          <w:rFonts w:ascii="Times New Roman" w:cs="Times New Roman" w:eastAsia="Times New Roman" w:hAnsi="Times New Roman"/>
          <w:sz w:val="18"/>
          <w:szCs w:val="18"/>
          <w:color w:val="auto"/>
        </w:rPr>
        <w:t>We may for our own account purchase shares of common stock so long as one share of common stock remains outstanding and our equity before and after such a purchase at least equals its nominal capital.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Provisions and Anti-Takeover Effects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but Unissued Preferred Stock</w:t>
      </w:r>
    </w:p>
    <w:p>
      <w:pPr>
        <w:spacing w:after="0" w:line="222" w:lineRule="exact"/>
        <w:rPr>
          <w:sz w:val="20"/>
          <w:szCs w:val="20"/>
          <w:color w:val="auto"/>
        </w:rPr>
      </w:pPr>
    </w:p>
    <w:p>
      <w:pPr>
        <w:ind w:right="20" w:firstLine="439"/>
        <w:spacing w:after="0" w:line="253" w:lineRule="auto"/>
        <w:rPr>
          <w:sz w:val="20"/>
          <w:szCs w:val="20"/>
          <w:color w:val="auto"/>
        </w:rPr>
      </w:pPr>
      <w:r>
        <w:rPr>
          <w:rFonts w:ascii="Times New Roman" w:cs="Times New Roman" w:eastAsia="Times New Roman" w:hAnsi="Times New Roman"/>
          <w:sz w:val="18"/>
          <w:szCs w:val="18"/>
          <w:color w:val="auto"/>
        </w:rPr>
        <w:t>The board of directors has the authority to issue shares of preferred stock in one or more series with such terms as the board determines, provided that they satisfy the provisions set forth in our Articles of Incorporation, including that the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certain other securities, and (6) may contain optional or mandatory redemption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222"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Directors are elected at a general meeting of stockholders by a majority of votes cast by stockholders entitled to vote, except that directors are to be elected by a plurality of voting power in certain elections where the number of nominees exceeds the number of directors to be elected. The number of directors constituting the whole board of directors may not be fewer than five nor more than 24, as fixed from time to time by the board of directors, subject to approval of stockholders of the Company. The maximum number of persons constituting the whole board of directors will, until changed at any succeeding general meeting of stockholders, be the number so fixed. If the number of directors elected by stockholders is smaller than the maximum number of directors as fixed by the board of directors in accordance with our Articles of Incorporation, the board of directors may be authorized, but not obligated, to appoint additional directors such that the total number of directors does not exceed the maximum number of directors as fixed by the board of directors and approved by our stockholders, any such appointment to be effective until the next annual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222" w:lineRule="exact"/>
        <w:rPr>
          <w:sz w:val="20"/>
          <w:szCs w:val="20"/>
          <w:color w:val="auto"/>
        </w:rPr>
      </w:pPr>
    </w:p>
    <w:p>
      <w:pPr>
        <w:ind w:right="40" w:firstLine="439"/>
        <w:spacing w:after="0" w:line="266" w:lineRule="auto"/>
        <w:rPr>
          <w:sz w:val="20"/>
          <w:szCs w:val="20"/>
          <w:color w:val="auto"/>
        </w:rPr>
      </w:pPr>
      <w:r>
        <w:rPr>
          <w:rFonts w:ascii="Times New Roman" w:cs="Times New Roman" w:eastAsia="Times New Roman" w:hAnsi="Times New Roman"/>
          <w:sz w:val="17"/>
          <w:szCs w:val="17"/>
          <w:color w:val="auto"/>
        </w:rPr>
        <w:t>In accordance with applicable law, all general meetings of Schlumberger stockholders must be held in Curaçao. The annual general meeting of Schlumberger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(i) by one or more Schlumberger stockholders representing at least 10% of the votes that can be cast on the topics they wish to be addressed at such meeting and that have a reasonable interest in having such meeting convened, (ii) by one or more holders of shares representing in the aggregate a majority of shares then outstanding and (iii) in certain circumstances if all of the directors are prevented from or incapable of serving, by any person or persons holding in the aggregate at least 5% of the outstanding shares of common stock for the purpose of electing a board of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2" w:lineRule="exact"/>
        <w:rPr>
          <w:sz w:val="20"/>
          <w:szCs w:val="20"/>
          <w:color w:val="auto"/>
        </w:rPr>
      </w:pPr>
    </w:p>
    <w:p>
      <w:pPr>
        <w:ind w:right="100" w:firstLine="439"/>
        <w:spacing w:after="0" w:line="274" w:lineRule="auto"/>
        <w:rPr>
          <w:sz w:val="20"/>
          <w:szCs w:val="20"/>
          <w:color w:val="auto"/>
        </w:rPr>
      </w:pPr>
      <w:r>
        <w:rPr>
          <w:rFonts w:ascii="Times New Roman" w:cs="Times New Roman" w:eastAsia="Times New Roman" w:hAnsi="Times New Roman"/>
          <w:sz w:val="18"/>
          <w:szCs w:val="18"/>
          <w:color w:val="auto"/>
        </w:rPr>
        <w:t>Under Curaçao law, stockholders may not act by written consent without a meeting, unless all directors and all stockholders entitled to vote on the matter have consented to the taking of such action by the general meeting of stockholders by written consent.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Requirements for Stockholder Business and Nominations</w:t>
      </w:r>
    </w:p>
    <w:p>
      <w:pPr>
        <w:spacing w:after="0" w:line="222" w:lineRule="exact"/>
        <w:rPr>
          <w:sz w:val="20"/>
          <w:szCs w:val="20"/>
          <w:color w:val="auto"/>
        </w:rPr>
      </w:pPr>
    </w:p>
    <w:p>
      <w:pPr>
        <w:ind w:right="100" w:firstLine="439"/>
        <w:spacing w:after="0" w:line="275" w:lineRule="auto"/>
        <w:rPr>
          <w:sz w:val="20"/>
          <w:szCs w:val="20"/>
          <w:color w:val="auto"/>
        </w:rPr>
      </w:pPr>
      <w:r>
        <w:rPr>
          <w:rFonts w:ascii="Times New Roman" w:cs="Times New Roman" w:eastAsia="Times New Roman" w:hAnsi="Times New Roman"/>
          <w:sz w:val="17"/>
          <w:szCs w:val="17"/>
          <w:color w:val="auto"/>
        </w:rPr>
        <w:t>For stockholder proposals to be introduced for consideration at an annual general meeting of stockholders other than pursuant to Securities Exchange Act Rule 14a-8 and for stockholder candidates to be nominated for election as directors other than pursuant to our proxy access bylaw provisions, notice generally must be delivered to the Secretary of Schlumberger at our executive offices not later than 120 days nor earlier than 150 days before the first anniversary of the date of the preceding year’s annual general meeting of stockholders. Any such notice must otherwise satisfy the requirements of our Restated By-Laws.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Restated By-Laws</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Restated By-Laws may be amended only by the vote of a majority of the board of directors.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Buy-Out</w:t>
      </w:r>
    </w:p>
    <w:p>
      <w:pPr>
        <w:spacing w:after="0" w:line="222"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Under our Articles of Incorporation, any one person, or any two or more legal entities belonging to the same group, holding shares representing at least 90% of our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568" w:right="25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1"/>
          <w:szCs w:val="21"/>
          <w:b w:val="1"/>
          <w:bCs w:val="1"/>
          <w:color w:val="auto"/>
        </w:rPr>
        <w:t>Exhibit 10.30</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NON-COMPETITION AND NON-SOLICITATION AGREEMENT</w:t>
      </w:r>
    </w:p>
    <w:p>
      <w:pPr>
        <w:sectPr>
          <w:pgSz w:w="11900" w:h="16838" w:orient="portrait"/>
          <w:cols w:equalWidth="0" w:num="1">
            <w:col w:w="11420"/>
          </w:cols>
          <w:pgMar w:left="240" w:top="108" w:right="239" w:bottom="1440" w:gutter="0" w:footer="0" w:header="0"/>
        </w:sectPr>
      </w:pPr>
    </w:p>
    <w:p>
      <w:pPr>
        <w:spacing w:after="0" w:line="193" w:lineRule="exact"/>
        <w:rPr>
          <w:sz w:val="20"/>
          <w:szCs w:val="20"/>
          <w:color w:val="auto"/>
        </w:rPr>
      </w:pPr>
    </w:p>
    <w:p>
      <w:pPr>
        <w:jc w:val="both"/>
        <w:ind w:firstLine="1756"/>
        <w:spacing w:after="0" w:line="257" w:lineRule="exact"/>
        <w:rPr>
          <w:sz w:val="20"/>
          <w:szCs w:val="20"/>
          <w:color w:val="auto"/>
        </w:rPr>
      </w:pPr>
      <w:r>
        <w:rPr>
          <w:rFonts w:ascii="Times New Roman" w:cs="Times New Roman" w:eastAsia="Times New Roman" w:hAnsi="Times New Roman"/>
          <w:sz w:val="21"/>
          <w:szCs w:val="21"/>
          <w:color w:val="auto"/>
        </w:rPr>
        <w:t>THIS EMPLOYMENT, NON-COMPETITION AND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SOLICITATION amended, the “Agreement”) is effective as of January 22, 2020 (the “Effective Date”), by and </w:t>
      </w:r>
      <w:r>
        <w:rPr>
          <w:rFonts w:ascii="Times New Roman" w:cs="Times New Roman" w:eastAsia="Times New Roman" w:hAnsi="Times New Roman"/>
          <w:sz w:val="21"/>
          <w:szCs w:val="21"/>
          <w:b w:val="1"/>
          <w:bCs w:val="1"/>
          <w:color w:val="auto"/>
        </w:rPr>
        <w:t>LIMITED</w:t>
      </w:r>
      <w:r>
        <w:rPr>
          <w:rFonts w:ascii="Times New Roman" w:cs="Times New Roman" w:eastAsia="Times New Roman" w:hAnsi="Times New Roman"/>
          <w:sz w:val="21"/>
          <w:szCs w:val="21"/>
          <w:color w:val="auto"/>
        </w:rPr>
        <w:t>, a Curaçao company (the “Company”), and</w:t>
      </w:r>
      <w:r>
        <w:rPr>
          <w:rFonts w:ascii="Times New Roman" w:cs="Times New Roman" w:eastAsia="Times New Roman" w:hAnsi="Times New Roman"/>
          <w:sz w:val="21"/>
          <w:szCs w:val="21"/>
          <w:b w:val="1"/>
          <w:bCs w:val="1"/>
          <w:color w:val="auto"/>
        </w:rPr>
        <w:t xml:space="preserve"> Simon Ayat</w:t>
      </w:r>
      <w:r>
        <w:rPr>
          <w:rFonts w:ascii="Times New Roman" w:cs="Times New Roman" w:eastAsia="Times New Roman" w:hAnsi="Times New Roman"/>
          <w:sz w:val="21"/>
          <w:szCs w:val="21"/>
          <w:color w:val="auto"/>
        </w:rPr>
        <w:t>, an individual currently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spacing w:after="0" w:line="255" w:lineRule="auto"/>
        <w:rPr>
          <w:sz w:val="20"/>
          <w:szCs w:val="20"/>
          <w:color w:val="auto"/>
        </w:rPr>
      </w:pPr>
      <w:r>
        <w:rPr>
          <w:rFonts w:ascii="Times New Roman" w:cs="Times New Roman" w:eastAsia="Times New Roman" w:hAnsi="Times New Roman"/>
          <w:sz w:val="21"/>
          <w:szCs w:val="21"/>
          <w:color w:val="auto"/>
        </w:rPr>
        <w:t xml:space="preserve">AGREEMENT  (as  may  be between </w:t>
      </w:r>
      <w:r>
        <w:rPr>
          <w:rFonts w:ascii="Times New Roman" w:cs="Times New Roman" w:eastAsia="Times New Roman" w:hAnsi="Times New Roman"/>
          <w:sz w:val="21"/>
          <w:szCs w:val="21"/>
          <w:b w:val="1"/>
          <w:bCs w:val="1"/>
          <w:color w:val="auto"/>
        </w:rPr>
        <w:t>SCHLUMBERGER</w:t>
      </w:r>
      <w:r>
        <w:rPr>
          <w:rFonts w:ascii="Times New Roman" w:cs="Times New Roman" w:eastAsia="Times New Roman" w:hAnsi="Times New Roman"/>
          <w:sz w:val="21"/>
          <w:szCs w:val="21"/>
          <w:color w:val="auto"/>
        </w:rPr>
        <w:t xml:space="preserve"> residing  in  Houston,  Texas</w:t>
      </w:r>
    </w:p>
    <w:p>
      <w:pPr>
        <w:spacing w:after="0" w:line="398" w:lineRule="exact"/>
        <w:rPr>
          <w:sz w:val="20"/>
          <w:szCs w:val="20"/>
          <w:color w:val="auto"/>
        </w:rPr>
      </w:pPr>
    </w:p>
    <w:p>
      <w:pPr>
        <w:sectPr>
          <w:pgSz w:w="11900" w:h="16838" w:orient="portrait"/>
          <w:cols w:equalWidth="0" w:num="2">
            <w:col w:w="8740" w:space="40"/>
            <w:col w:w="2640"/>
          </w:cols>
          <w:pgMar w:left="240" w:top="108" w:right="239" w:bottom="1440" w:gutter="0" w:footer="0" w:header="0"/>
          <w:type w:val="continuous"/>
        </w:sectPr>
      </w:pPr>
    </w:p>
    <w:p>
      <w:pPr>
        <w:jc w:val="both"/>
        <w:ind w:firstLine="6"/>
        <w:spacing w:after="0" w:line="249" w:lineRule="exact"/>
        <w:tabs>
          <w:tab w:leader="none" w:pos="796" w:val="left"/>
        </w:tabs>
        <w:numPr>
          <w:ilvl w:val="0"/>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Employment of Executive</w:t>
      </w:r>
      <w:r>
        <w:rPr>
          <w:rFonts w:ascii="Times New Roman" w:cs="Times New Roman" w:eastAsia="Times New Roman" w:hAnsi="Times New Roman"/>
          <w:sz w:val="21"/>
          <w:szCs w:val="21"/>
          <w:color w:val="auto"/>
        </w:rPr>
        <w:t>. In consideration of the mutual covenants and agreements herein contained, including Executive’s execution of a release of claims as provided in as Exhibit A to this Agreement, the Company and Executive enter into an agreement retaining Executive’s services as described herein, securing Executive’s non-competition and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solicitation covenants, establishing certain incentive, tenure and performance criteria related to such employment, and otherwise fixing Executive’s benefits and compensation, all subject to the terms and conditions of this Agreement.</w:t>
      </w:r>
    </w:p>
    <w:p>
      <w:pPr>
        <w:spacing w:after="0" w:line="177" w:lineRule="exact"/>
        <w:rPr>
          <w:rFonts w:ascii="Times New Roman" w:cs="Times New Roman" w:eastAsia="Times New Roman" w:hAnsi="Times New Roman"/>
          <w:sz w:val="21"/>
          <w:szCs w:val="21"/>
          <w:color w:val="010000"/>
        </w:rPr>
      </w:pPr>
    </w:p>
    <w:p>
      <w:pPr>
        <w:jc w:val="both"/>
        <w:ind w:firstLine="6"/>
        <w:spacing w:after="0" w:line="241" w:lineRule="auto"/>
        <w:tabs>
          <w:tab w:leader="none" w:pos="796" w:val="left"/>
        </w:tabs>
        <w:numPr>
          <w:ilvl w:val="0"/>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 and Extent of Services</w:t>
      </w:r>
      <w:r>
        <w:rPr>
          <w:rFonts w:ascii="Times New Roman" w:cs="Times New Roman" w:eastAsia="Times New Roman" w:hAnsi="Times New Roman"/>
          <w:sz w:val="21"/>
          <w:szCs w:val="21"/>
          <w:color w:val="auto"/>
        </w:rPr>
        <w:t>. The term will commence on the Effective Date, following the filing of the Company’s 2019 Annual Report on Form 10-K, and will continue until the close of business on January 21, 2022 (the “Term”). During the Term, Executive will be employed by the Company and will have the title of Senior Strategic Advisor, reporting to the Company’s Chief Executive Officer (the “CEO”), and shall provide services as requested for 50% of his business time. This Agreement does not constitute a guarantee of continued employment but instead provides for certain obligations of, and rights and benefits for, Executive during the Term, and in the event his employment with the Company terminates under the circumstances described herein. Effective as of the Effective Date, Executive hereby resigns from his position as Executive Vice President and Chief Financial officer of Schlumberger Limited, as well any other offices or directorships at the Company and its affiliates. At the expiration of the Term, or if Executive’s employment is terminated sooner pursuant to Section 4, effective as of such termination, Executive’s employment with the Company and all of its subsidiaries shall terminate.</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Nothing herein will prohibit Executive, during the Term, from being engaged as a consultant or employee to organizations and businesses or to be appointed to their boards of directors, except those identified as Unauthorized Competitors (as defined in Section 5). Executive covenants that he will not accept employment with any oil and gas related company without the prior written approval of the CEO. For the avoidance of doubt, “oil and gas related company” expressly excludes any Unauthorized Competitor.</w:t>
      </w:r>
    </w:p>
    <w:p>
      <w:pPr>
        <w:spacing w:after="0" w:line="166" w:lineRule="exact"/>
        <w:rPr>
          <w:sz w:val="20"/>
          <w:szCs w:val="20"/>
          <w:color w:val="auto"/>
        </w:rPr>
      </w:pPr>
    </w:p>
    <w:p>
      <w:pPr>
        <w:ind w:left="800" w:hanging="794"/>
        <w:spacing w:after="0"/>
        <w:tabs>
          <w:tab w:leader="none" w:pos="800"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Employment and Payment and Benefits</w:t>
      </w:r>
      <w:r>
        <w:rPr>
          <w:rFonts w:ascii="Times New Roman" w:cs="Times New Roman" w:eastAsia="Times New Roman" w:hAnsi="Times New Roman"/>
          <w:sz w:val="21"/>
          <w:szCs w:val="21"/>
          <w:color w:val="auto"/>
        </w:rPr>
        <w:t>:</w:t>
      </w:r>
    </w:p>
    <w:p>
      <w:pPr>
        <w:spacing w:after="0" w:line="205" w:lineRule="exact"/>
        <w:rPr>
          <w:rFonts w:ascii="Times New Roman" w:cs="Times New Roman" w:eastAsia="Times New Roman" w:hAnsi="Times New Roman"/>
          <w:sz w:val="21"/>
          <w:szCs w:val="21"/>
          <w:color w:val="010000"/>
        </w:rPr>
      </w:pPr>
    </w:p>
    <w:p>
      <w:pPr>
        <w:jc w:val="both"/>
        <w:ind w:left="1760" w:hanging="878"/>
        <w:spacing w:after="0" w:line="247" w:lineRule="auto"/>
        <w:tabs>
          <w:tab w:leader="none" w:pos="1760" w:val="left"/>
        </w:tabs>
        <w:numPr>
          <w:ilvl w:val="1"/>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Base Salary</w:t>
      </w:r>
      <w:r>
        <w:rPr>
          <w:rFonts w:ascii="Times New Roman" w:cs="Times New Roman" w:eastAsia="Times New Roman" w:hAnsi="Times New Roman"/>
          <w:sz w:val="21"/>
          <w:szCs w:val="21"/>
          <w:color w:val="auto"/>
        </w:rPr>
        <w:t>. During the Term, or if Executive’s employment is terminated sooner pursuant to Section 4, until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termination, Executive will be entitled to payment of annual base salary of $1,000,000, paid subject to applicable withholding, to be paid in accordance with the Company’s standard payroll practices for employees. The base salary amount shall be inclusive of any perquisite allowance, such that no additional amount will be paid to Executive for any perquisite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313690</wp:posOffset>
            </wp:positionV>
            <wp:extent cx="729107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74" w:name="page75"/>
    <w:bookmarkEnd w:id="74"/>
    <w:p>
      <w:pPr>
        <w:ind w:left="3818"/>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878" w:hanging="878"/>
        <w:spacing w:after="0"/>
        <w:tabs>
          <w:tab w:leader="none" w:pos="878"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Welfare Benefits</w:t>
      </w:r>
      <w:r>
        <w:rPr>
          <w:rFonts w:ascii="Times New Roman" w:cs="Times New Roman" w:eastAsia="Times New Roman" w:hAnsi="Times New Roman"/>
          <w:sz w:val="21"/>
          <w:szCs w:val="21"/>
          <w:color w:val="auto"/>
        </w:rPr>
        <w:t>. During the Term, or if Executive’s employment is terminated sooner pursuant to Section 4,</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until such termination, Executive will be eligible to participate in the Company’s group health, welfare and insurance plans (e.g., medical, dental, vision, life insurance, short- and long-term disability, etc.) (collectively, “Company Welfare Plans”) on a basis comparable to that of other United States employees of the Company from time to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Executive accepts employment with another entity, or engages on a substantially full-time basis as a consultant with any other entity, then Executive will no longer be eligible to participate in, and shall cease participating in, all Company Welfare Plans, effective as of the date of such acceptance of employment or commencement of such consulting services, regardless whether this Agreement remains in effect after such date as permitted by the second paragraph of Section 4(d). For the avoidance of doubt, the non-competition covenant contained in Section (5)(b)(i) is not the subject of this proviso, and nothing in this Section 3(b) shall be construed to vitiate Section (5)(b)(i) or any other provision of this Agreement relating to Unauthorized Competitors. Following his retirement at the end of the Term, Executive will be eligible to elect coverage at his cost under and subject to the terms of the Company’s retiree medical plan as such plan may be amended from time to time. Executive will not participate in any other Company Welfare Plans.</w:t>
      </w:r>
    </w:p>
    <w:p>
      <w:pPr>
        <w:spacing w:after="0" w:line="176" w:lineRule="exact"/>
        <w:rPr>
          <w:rFonts w:ascii="Times New Roman" w:cs="Times New Roman" w:eastAsia="Times New Roman" w:hAnsi="Times New Roman"/>
          <w:sz w:val="21"/>
          <w:szCs w:val="21"/>
          <w:color w:val="010000"/>
        </w:rPr>
      </w:pPr>
    </w:p>
    <w:p>
      <w:pPr>
        <w:jc w:val="both"/>
        <w:ind w:left="878" w:hanging="878"/>
        <w:spacing w:after="0" w:line="247" w:lineRule="auto"/>
        <w:tabs>
          <w:tab w:leader="none" w:pos="878"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 xml:space="preserve">Pension and Profit Sharing. </w:t>
      </w:r>
      <w:r>
        <w:rPr>
          <w:rFonts w:ascii="Times New Roman" w:cs="Times New Roman" w:eastAsia="Times New Roman" w:hAnsi="Times New Roman"/>
          <w:sz w:val="21"/>
          <w:szCs w:val="21"/>
          <w:color w:val="auto"/>
        </w:rPr>
        <w:t>During the Term, or if Executive’s employment is terminated sooner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Section 4, until such termination, Executive will continue to accrue additional benefits under the Company’s qualified and non-qualified pension and profit-sharing plans. Payments under the Company’s non-qualified pension and profit-sharing plans will be made in accordance with the terms of the relevant plan upon separation from service with the Company.</w:t>
      </w:r>
    </w:p>
    <w:p>
      <w:pPr>
        <w:spacing w:after="0" w:line="164" w:lineRule="exact"/>
        <w:rPr>
          <w:rFonts w:ascii="Times New Roman" w:cs="Times New Roman" w:eastAsia="Times New Roman" w:hAnsi="Times New Roman"/>
          <w:sz w:val="21"/>
          <w:szCs w:val="21"/>
          <w:color w:val="010000"/>
        </w:rPr>
      </w:pPr>
    </w:p>
    <w:p>
      <w:pPr>
        <w:ind w:left="878" w:hanging="878"/>
        <w:spacing w:after="0"/>
        <w:tabs>
          <w:tab w:leader="none" w:pos="878"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Incentive Plans.</w:t>
      </w:r>
    </w:p>
    <w:p>
      <w:pPr>
        <w:spacing w:after="0" w:line="213" w:lineRule="exact"/>
        <w:rPr>
          <w:rFonts w:ascii="Times New Roman" w:cs="Times New Roman" w:eastAsia="Times New Roman" w:hAnsi="Times New Roman"/>
          <w:sz w:val="21"/>
          <w:szCs w:val="21"/>
          <w:color w:val="010000"/>
        </w:rPr>
      </w:pPr>
    </w:p>
    <w:p>
      <w:pPr>
        <w:jc w:val="both"/>
        <w:ind w:left="1758" w:hanging="882"/>
        <w:spacing w:after="0" w:line="242" w:lineRule="auto"/>
        <w:tabs>
          <w:tab w:leader="none" w:pos="1758" w:val="left"/>
        </w:tabs>
        <w:numPr>
          <w:ilvl w:val="1"/>
          <w:numId w:val="57"/>
        </w:numPr>
        <w:rPr>
          <w:rFonts w:ascii="Times New Roman" w:cs="Times New Roman" w:eastAsia="Times New Roman" w:hAnsi="Times New Roman"/>
          <w:sz w:val="21"/>
          <w:szCs w:val="21"/>
          <w:i w:val="1"/>
          <w:iCs w:val="1"/>
          <w:color w:val="010000"/>
        </w:rPr>
      </w:pPr>
      <w:r>
        <w:rPr>
          <w:rFonts w:ascii="Times New Roman" w:cs="Times New Roman" w:eastAsia="Times New Roman" w:hAnsi="Times New Roman"/>
          <w:sz w:val="21"/>
          <w:szCs w:val="21"/>
          <w:color w:val="auto"/>
        </w:rPr>
        <w:t>Executive will be entitled to a long-term incentive (“LTI”) grant in January 2020 (the “January 2020 LTI Grant”) the target LTI dollar value of which will be equal to 100% of Executive’s aggregate LTI target dollar grant in January 2019, and will vest, if at all, only after a three-year performance period. Following that award, Executive will not receive any other new grants of LTI awards. During the Term, or if Executive’s employment is terminated sooner pursuant to Section 4, until such termination, Executive will continue to vest in the 2020 LTI Grant and LTI awards previously granted to Executive under the Company’s stock incentive plans (each, a “Plan,” and collectively, the “Plans”) in accordance with, and subject to the terms of, the terms of those Plans and any applicable agreements.</w:t>
      </w:r>
    </w:p>
    <w:p>
      <w:pPr>
        <w:spacing w:after="0" w:line="176" w:lineRule="exact"/>
        <w:rPr>
          <w:sz w:val="20"/>
          <w:szCs w:val="20"/>
          <w:color w:val="auto"/>
        </w:rPr>
      </w:pPr>
    </w:p>
    <w:p>
      <w:pPr>
        <w:ind w:left="4778"/>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70485</wp:posOffset>
            </wp:positionV>
            <wp:extent cx="729107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538"/>
          </w:cols>
          <w:pgMar w:left="1122" w:top="108" w:right="239" w:bottom="1440" w:gutter="0" w:footer="0" w:header="0"/>
        </w:sectPr>
      </w:pPr>
    </w:p>
    <w:bookmarkStart w:id="75" w:name="page76"/>
    <w:bookmarkEnd w:id="75"/>
    <w:p>
      <w:pPr>
        <w:ind w:left="3818"/>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758" w:hanging="882"/>
        <w:spacing w:after="0" w:line="239" w:lineRule="auto"/>
        <w:tabs>
          <w:tab w:leader="none" w:pos="1758"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for termination of Executive’s employment for Cause pursuant to Section 4(c) (including, for the avoidance of doubt, termination due to breach of the covenant not to compete), Executive shall, pursuant to the terms of Executive’s stock option and PSU award agreements, be deemed to have terminated his employment with the Company at the end of the Term (or if Executive’s employment is terminated sooner pursuant to Section 4 (other than Section 4(c)), then upon such termination) due to “Retirement,” as defined in the applicable agreements and Plan rules. Accordingly, Executive shall, with respect to outstanding and vested stock options as of the end of the Term (or if Executive’s employment is terminated sooner pursuant to Section 4 (other than Section 4(c)), have 60 months or the term of the applicable options, whichever period is shorter, to exercise any such options, in accordance with, and subject to, the applicable agreements and Plan rules. In addition, (1) any PSUs outstanding as of the date of such termination will continue to vest as if Executive were employed through the end of the performance period applicable to such PSUs, (2) any PSUs and RSUs that have vested as of the end of the Term (or if Executive’s employment is terminated sooner pursuant to Section 4 (other than Section 4(c)), then upon such termination) will convert (to the extent not already converted) into common stock of the Company in accordance with, and subject to, the applicable agreements and Plan rules; and (3) any stock options and RSUs that are unvested as of the date of such termination will be forfeited.</w:t>
      </w:r>
    </w:p>
    <w:p>
      <w:pPr>
        <w:spacing w:after="0" w:line="186" w:lineRule="exact"/>
        <w:rPr>
          <w:rFonts w:ascii="Times New Roman" w:cs="Times New Roman" w:eastAsia="Times New Roman" w:hAnsi="Times New Roman"/>
          <w:sz w:val="21"/>
          <w:szCs w:val="21"/>
          <w:color w:val="010000"/>
        </w:rPr>
      </w:pPr>
    </w:p>
    <w:p>
      <w:pPr>
        <w:jc w:val="both"/>
        <w:ind w:left="1758" w:hanging="882"/>
        <w:spacing w:after="0" w:line="249" w:lineRule="auto"/>
        <w:tabs>
          <w:tab w:leader="none" w:pos="1758"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the year 2019, Executive will be eligible for a cash incentive bonus based on achievement of the personal and financial performance targets that were approved by the Compensation Committee of the Board of Directors of the Company in early 2019, with the date of payment of such annual cash incentive award being the same as the date of payment for the other officers of the Company.</w:t>
      </w:r>
    </w:p>
    <w:p>
      <w:pPr>
        <w:spacing w:after="0" w:line="165" w:lineRule="exact"/>
        <w:rPr>
          <w:rFonts w:ascii="Times New Roman" w:cs="Times New Roman" w:eastAsia="Times New Roman" w:hAnsi="Times New Roman"/>
          <w:sz w:val="21"/>
          <w:szCs w:val="21"/>
          <w:color w:val="010000"/>
        </w:rPr>
      </w:pPr>
    </w:p>
    <w:p>
      <w:pPr>
        <w:jc w:val="both"/>
        <w:ind w:left="1758" w:hanging="882"/>
        <w:spacing w:after="0" w:line="260" w:lineRule="auto"/>
        <w:tabs>
          <w:tab w:leader="none" w:pos="1758"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From and after the Effective Date, Executive will not be eligible to participate in, or receive any, annual incentive or bonus program or payout of any kind, other than as described in Section 3(d)(iii) above.</w:t>
      </w:r>
    </w:p>
    <w:p>
      <w:pPr>
        <w:spacing w:after="0" w:line="200" w:lineRule="exact"/>
        <w:rPr>
          <w:sz w:val="20"/>
          <w:szCs w:val="20"/>
          <w:color w:val="auto"/>
        </w:rPr>
      </w:pPr>
    </w:p>
    <w:p>
      <w:pPr>
        <w:spacing w:after="0" w:line="202" w:lineRule="exact"/>
        <w:rPr>
          <w:sz w:val="20"/>
          <w:szCs w:val="20"/>
          <w:color w:val="auto"/>
        </w:rPr>
      </w:pPr>
    </w:p>
    <w:p>
      <w:pPr>
        <w:jc w:val="both"/>
        <w:ind w:left="878" w:hanging="878"/>
        <w:spacing w:after="0" w:line="257" w:lineRule="auto"/>
        <w:tabs>
          <w:tab w:leader="none" w:pos="878" w:val="left"/>
        </w:tabs>
        <w:numPr>
          <w:ilvl w:val="0"/>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Vacation</w:t>
      </w:r>
      <w:r>
        <w:rPr>
          <w:rFonts w:ascii="Times New Roman" w:cs="Times New Roman" w:eastAsia="Times New Roman" w:hAnsi="Times New Roman"/>
          <w:sz w:val="21"/>
          <w:szCs w:val="21"/>
          <w:color w:val="auto"/>
        </w:rPr>
        <w:t>. As soon as administratively practicable following the Effective Date, the Company shall pay Executive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cash amount representing his accrued and unused vacation accumulated as of January 21, 2020. During the Term, Executive will not be eligible to accrue vacation pay.</w:t>
      </w:r>
    </w:p>
    <w:p>
      <w:pPr>
        <w:spacing w:after="0" w:line="157" w:lineRule="exact"/>
        <w:rPr>
          <w:sz w:val="20"/>
          <w:szCs w:val="20"/>
          <w:color w:val="auto"/>
        </w:rPr>
      </w:pPr>
    </w:p>
    <w:p>
      <w:pPr>
        <w:ind w:left="4778"/>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70485</wp:posOffset>
            </wp:positionV>
            <wp:extent cx="729107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538"/>
          </w:cols>
          <w:pgMar w:left="1122" w:top="108"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760" w:hanging="878"/>
        <w:spacing w:after="0" w:line="245" w:lineRule="auto"/>
        <w:tabs>
          <w:tab w:leader="none" w:pos="1760" w:val="left"/>
        </w:tabs>
        <w:numPr>
          <w:ilvl w:val="1"/>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Expense Reimbursement</w:t>
      </w:r>
      <w:r>
        <w:rPr>
          <w:rFonts w:ascii="Times New Roman" w:cs="Times New Roman" w:eastAsia="Times New Roman" w:hAnsi="Times New Roman"/>
          <w:sz w:val="21"/>
          <w:szCs w:val="21"/>
          <w:color w:val="auto"/>
        </w:rPr>
        <w:t>. The Company shall reimburse Executive for actual and reasonable business expenses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incurred in the normal course of performing his duties hereunder, following delivery of supporting documentation therefor. Executive shall submit all invoices for such incurred costs to the Company no later than 30 days prior to the end of the taxable year following the taxable year in which they were incurred. The Company shall reimburse Executive for any undisputed costs within 30 days of receipt of such invoices and supporting documentation as requested.</w:t>
      </w:r>
    </w:p>
    <w:p>
      <w:pPr>
        <w:spacing w:after="0" w:line="166" w:lineRule="exact"/>
        <w:rPr>
          <w:rFonts w:ascii="Times New Roman" w:cs="Times New Roman" w:eastAsia="Times New Roman" w:hAnsi="Times New Roman"/>
          <w:sz w:val="21"/>
          <w:szCs w:val="21"/>
          <w:color w:val="010000"/>
        </w:rPr>
      </w:pPr>
    </w:p>
    <w:p>
      <w:pPr>
        <w:jc w:val="both"/>
        <w:ind w:left="1760" w:hanging="878"/>
        <w:spacing w:after="0" w:line="245" w:lineRule="auto"/>
        <w:tabs>
          <w:tab w:leader="none" w:pos="1760" w:val="left"/>
        </w:tabs>
        <w:numPr>
          <w:ilvl w:val="1"/>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No Other Compensation or Benefits</w:t>
      </w:r>
      <w:r>
        <w:rPr>
          <w:rFonts w:ascii="Times New Roman" w:cs="Times New Roman" w:eastAsia="Times New Roman" w:hAnsi="Times New Roman"/>
          <w:sz w:val="21"/>
          <w:szCs w:val="21"/>
          <w:color w:val="auto"/>
        </w:rPr>
        <w:t>. Executive acknowledges and agrees that, except as expressly set forth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this Agreement, he will not be entitled to participate in any employee benefit plan or arrangement, or to receive any other compensation associated or in connection with his services during the Term. The Company will not, by reason of this Section 3, be obligated to institute, maintain or refrain from changing, amending or discontinuing, any incentive compensation, employee benefit or stock incentive program or plan, so long as such actions are similarly applicable to covered employees generally.</w:t>
      </w:r>
    </w:p>
    <w:p>
      <w:pPr>
        <w:spacing w:after="0" w:line="170" w:lineRule="exact"/>
        <w:rPr>
          <w:rFonts w:ascii="Times New Roman" w:cs="Times New Roman" w:eastAsia="Times New Roman" w:hAnsi="Times New Roman"/>
          <w:sz w:val="21"/>
          <w:szCs w:val="21"/>
          <w:color w:val="010000"/>
        </w:rPr>
      </w:pPr>
    </w:p>
    <w:p>
      <w:pPr>
        <w:jc w:val="both"/>
        <w:ind w:left="880" w:hanging="874"/>
        <w:spacing w:after="0" w:line="246" w:lineRule="auto"/>
        <w:tabs>
          <w:tab w:leader="none" w:pos="880" w:val="left"/>
        </w:tabs>
        <w:numPr>
          <w:ilvl w:val="0"/>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Executive’s employment with Employee will be considered “at will” and be terminated (i) upon Executive’s death; (ii) upon Executive’s Disability (as defined in Section 4(b)); (iii) for Cause (as defined in Section 4(c)); (iv) upon mutual agreement, as set forth in Section 4(d); or (v) upon Executive’s retirement (as described in Section 4(e)). Should Executive’s employment terminate prior to the end of the Term, the following provisions of this Section 4 will govern the rights of Executive under this Agreement:</w:t>
      </w:r>
    </w:p>
    <w:p>
      <w:pPr>
        <w:spacing w:after="0" w:line="165" w:lineRule="exact"/>
        <w:rPr>
          <w:rFonts w:ascii="Times New Roman" w:cs="Times New Roman" w:eastAsia="Times New Roman" w:hAnsi="Times New Roman"/>
          <w:sz w:val="21"/>
          <w:szCs w:val="21"/>
          <w:color w:val="010000"/>
        </w:rPr>
      </w:pPr>
    </w:p>
    <w:p>
      <w:pPr>
        <w:jc w:val="both"/>
        <w:ind w:left="1760" w:hanging="878"/>
        <w:spacing w:after="0" w:line="250" w:lineRule="auto"/>
        <w:tabs>
          <w:tab w:leader="none" w:pos="1760"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Termination Due to Death</w:t>
      </w:r>
      <w:r>
        <w:rPr>
          <w:rFonts w:ascii="Times New Roman" w:cs="Times New Roman" w:eastAsia="Times New Roman" w:hAnsi="Times New Roman"/>
          <w:sz w:val="21"/>
          <w:szCs w:val="21"/>
          <w:color w:val="auto"/>
        </w:rPr>
        <w:t>. In the event Executive’s employment terminates during the Term as a result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161" w:lineRule="exact"/>
        <w:rPr>
          <w:rFonts w:ascii="Times New Roman" w:cs="Times New Roman" w:eastAsia="Times New Roman" w:hAnsi="Times New Roman"/>
          <w:sz w:val="21"/>
          <w:szCs w:val="21"/>
          <w:color w:val="010000"/>
        </w:rPr>
      </w:pPr>
    </w:p>
    <w:p>
      <w:pPr>
        <w:jc w:val="both"/>
        <w:ind w:left="1760" w:hanging="878"/>
        <w:spacing w:after="0" w:line="245" w:lineRule="auto"/>
        <w:tabs>
          <w:tab w:leader="none" w:pos="1760"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Termination Due to Disability</w:t>
      </w:r>
      <w:r>
        <w:rPr>
          <w:rFonts w:ascii="Times New Roman" w:cs="Times New Roman" w:eastAsia="Times New Roman" w:hAnsi="Times New Roman"/>
          <w:sz w:val="21"/>
          <w:szCs w:val="21"/>
          <w:color w:val="auto"/>
        </w:rPr>
        <w:t>. Executive’s employment during the Term will terminate upon Executive’s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Disability, which for purposes of this Agreement means that Executive is unable to perform the normal duties of his job due to an illness or injury (as determined pursuant to the terms of the Company’s long-term disability plan covering Executives), Executive shall receive any base salary and benefits accrued but unpaid as of the date of his termination due to Disability, plus any amounts payable on account of Executive's Disability pursuant to any other plan or program of the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29107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7" w:name="page78"/>
    <w:bookmarkEnd w:id="77"/>
    <w:p>
      <w:pPr>
        <w:ind w:left="3818"/>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878" w:hanging="878"/>
        <w:spacing w:after="0" w:line="245" w:lineRule="auto"/>
        <w:tabs>
          <w:tab w:leader="none" w:pos="878"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Termination by the Company for Cause</w:t>
      </w:r>
      <w:r>
        <w:rPr>
          <w:rFonts w:ascii="Times New Roman" w:cs="Times New Roman" w:eastAsia="Times New Roman" w:hAnsi="Times New Roman"/>
          <w:sz w:val="21"/>
          <w:szCs w:val="21"/>
          <w:color w:val="auto"/>
        </w:rPr>
        <w:t>. In the event the Company terminates Executive’s employment during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Term for Cause, as defined below, he shall, subject to Section 5(d), be entitled to any other amounts earned, accrued or owing as of the date of termination of employment under the applicable employee benefit plans or programs of the Company. “Cause” means Executive’s dishonesty relating to his employment with the Company, conviction of a felony, willful unauthorized disclosure of Confidential Information of the Company, or breach of any of Executive’s obligations and restrictive covenants set forth in Section 5.</w:t>
      </w:r>
    </w:p>
    <w:p>
      <w:pPr>
        <w:spacing w:after="0" w:line="166" w:lineRule="exact"/>
        <w:rPr>
          <w:rFonts w:ascii="Times New Roman" w:cs="Times New Roman" w:eastAsia="Times New Roman" w:hAnsi="Times New Roman"/>
          <w:sz w:val="21"/>
          <w:szCs w:val="21"/>
          <w:color w:val="010000"/>
        </w:rPr>
      </w:pPr>
    </w:p>
    <w:p>
      <w:pPr>
        <w:jc w:val="both"/>
        <w:ind w:left="878" w:hanging="878"/>
        <w:spacing w:after="0" w:line="245" w:lineRule="auto"/>
        <w:tabs>
          <w:tab w:leader="none" w:pos="878"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Voluntary Termination and Termination Due to Mutual Agreement</w:t>
      </w:r>
      <w:r>
        <w:rPr>
          <w:rFonts w:ascii="Times New Roman" w:cs="Times New Roman" w:eastAsia="Times New Roman" w:hAnsi="Times New Roman"/>
          <w:sz w:val="21"/>
          <w:szCs w:val="21"/>
          <w:color w:val="auto"/>
        </w:rPr>
        <w:t>. Upon 15 days’ prior written notice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(unless otherwise waived by the Company in writing), Executive may voluntarily terminate his employment with the Company. A voluntary termination pursuant to this Section 4(d) shall not include a termination under Section 4 (a), 4 (b) or 4 (c) above, and shall not be deemed a breach of this Agreement by Executive (except if Executive accepts employment or other prohibited association with an Unauthorized Competitor during the Term).</w:t>
      </w:r>
    </w:p>
    <w:p>
      <w:pPr>
        <w:spacing w:after="0" w:line="170" w:lineRule="exact"/>
        <w:rPr>
          <w:rFonts w:ascii="Times New Roman" w:cs="Times New Roman" w:eastAsia="Times New Roman" w:hAnsi="Times New Roman"/>
          <w:sz w:val="21"/>
          <w:szCs w:val="21"/>
          <w:color w:val="010000"/>
        </w:rPr>
      </w:pPr>
    </w:p>
    <w:p>
      <w:pPr>
        <w:jc w:val="both"/>
        <w:ind w:left="878"/>
        <w:spacing w:after="0" w:line="249"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Executive voluntarily terminates his employment with the Company during the Term, and (1) does not become employed by an Unauthorized Competitor or otherwise breach Section 5(b)(i), or (2) becomes employed by an oil &amp; gas related company, for which employment the Executive, will have received written pre-approval of the CEO prior to acceptance of employment, he shall be entitled to:</w:t>
      </w:r>
    </w:p>
    <w:p>
      <w:pPr>
        <w:spacing w:after="0" w:line="165" w:lineRule="exact"/>
        <w:rPr>
          <w:rFonts w:ascii="Times New Roman" w:cs="Times New Roman" w:eastAsia="Times New Roman" w:hAnsi="Times New Roman"/>
          <w:sz w:val="21"/>
          <w:szCs w:val="21"/>
          <w:color w:val="010000"/>
        </w:rPr>
      </w:pPr>
    </w:p>
    <w:p>
      <w:pPr>
        <w:ind w:left="878" w:firstLine="2"/>
        <w:spacing w:after="0" w:line="272" w:lineRule="auto"/>
        <w:tabs>
          <w:tab w:leader="none" w:pos="1715" w:val="left"/>
        </w:tabs>
        <w:numPr>
          <w:ilvl w:val="1"/>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Subject to Sections 3(b) and 3(c), other benefits for which he is eligible in accordance with applicable plans or programs of the Company;</w:t>
      </w:r>
    </w:p>
    <w:p>
      <w:pPr>
        <w:spacing w:after="0" w:line="142" w:lineRule="exact"/>
        <w:rPr>
          <w:rFonts w:ascii="Times New Roman" w:cs="Times New Roman" w:eastAsia="Times New Roman" w:hAnsi="Times New Roman"/>
          <w:sz w:val="21"/>
          <w:szCs w:val="21"/>
          <w:color w:val="010000"/>
        </w:rPr>
      </w:pPr>
    </w:p>
    <w:p>
      <w:pPr>
        <w:ind w:left="878" w:firstLine="2"/>
        <w:spacing w:after="0" w:line="272" w:lineRule="auto"/>
        <w:tabs>
          <w:tab w:leader="none" w:pos="1774" w:val="left"/>
        </w:tabs>
        <w:numPr>
          <w:ilvl w:val="1"/>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exercise any stock options granted under a plan of the Company that vested during the Term (and prior to his termination date) as per the Plan rules.</w:t>
      </w:r>
    </w:p>
    <w:p>
      <w:pPr>
        <w:spacing w:after="0" w:line="138" w:lineRule="exact"/>
        <w:rPr>
          <w:rFonts w:ascii="Times New Roman" w:cs="Times New Roman" w:eastAsia="Times New Roman" w:hAnsi="Times New Roman"/>
          <w:sz w:val="21"/>
          <w:szCs w:val="21"/>
          <w:color w:val="010000"/>
        </w:rPr>
      </w:pPr>
    </w:p>
    <w:p>
      <w:pPr>
        <w:jc w:val="both"/>
        <w:ind w:left="878" w:hanging="878"/>
        <w:spacing w:after="0" w:line="250" w:lineRule="auto"/>
        <w:tabs>
          <w:tab w:leader="none" w:pos="878"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 xml:space="preserve">Retirement at the End of the Term. </w:t>
      </w:r>
      <w:r>
        <w:rPr>
          <w:rFonts w:ascii="Times New Roman" w:cs="Times New Roman" w:eastAsia="Times New Roman" w:hAnsi="Times New Roman"/>
          <w:sz w:val="21"/>
          <w:szCs w:val="21"/>
          <w:color w:val="auto"/>
        </w:rPr>
        <w:t>In the event the Executive remains employed until the end of the Term,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parties agree he shall retire as of such date. Executive acknowledges and agrees that he shall not be entitled to any severance or termination indemnity payment of any kind other than as specifically provided above and under the terms of this Agreement.</w:t>
      </w:r>
    </w:p>
    <w:p>
      <w:pPr>
        <w:spacing w:after="0" w:line="166" w:lineRule="exact"/>
        <w:rPr>
          <w:sz w:val="20"/>
          <w:szCs w:val="20"/>
          <w:color w:val="auto"/>
        </w:rPr>
      </w:pPr>
    </w:p>
    <w:p>
      <w:pPr>
        <w:ind w:left="4778"/>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70485</wp:posOffset>
            </wp:positionV>
            <wp:extent cx="729107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538"/>
          </w:cols>
          <w:pgMar w:left="1122" w:top="108" w:right="2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hanging="874"/>
        <w:spacing w:after="0"/>
        <w:tabs>
          <w:tab w:leader="none" w:pos="880" w:val="left"/>
        </w:tabs>
        <w:numPr>
          <w:ilvl w:val="0"/>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Confidentiality, Return of Property, and Covenant Not to Compete</w:t>
      </w:r>
      <w:r>
        <w:rPr>
          <w:rFonts w:ascii="Times New Roman" w:cs="Times New Roman" w:eastAsia="Times New Roman" w:hAnsi="Times New Roman"/>
          <w:sz w:val="21"/>
          <w:szCs w:val="21"/>
          <w:color w:val="auto"/>
        </w:rPr>
        <w:t>.</w:t>
      </w:r>
    </w:p>
    <w:p>
      <w:pPr>
        <w:spacing w:after="0" w:line="205" w:lineRule="exact"/>
        <w:rPr>
          <w:rFonts w:ascii="Times New Roman" w:cs="Times New Roman" w:eastAsia="Times New Roman" w:hAnsi="Times New Roman"/>
          <w:sz w:val="21"/>
          <w:szCs w:val="21"/>
          <w:color w:val="010000"/>
        </w:rPr>
      </w:pPr>
    </w:p>
    <w:p>
      <w:pPr>
        <w:jc w:val="both"/>
        <w:ind w:left="1760" w:hanging="878"/>
        <w:spacing w:after="0"/>
        <w:tabs>
          <w:tab w:leader="none" w:pos="1760"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Confidentiality</w:t>
      </w:r>
      <w:r>
        <w:rPr>
          <w:rFonts w:ascii="Times New Roman" w:cs="Times New Roman" w:eastAsia="Times New Roman" w:hAnsi="Times New Roman"/>
          <w:sz w:val="21"/>
          <w:szCs w:val="21"/>
          <w:color w:val="auto"/>
        </w:rPr>
        <w:t>. Executive acknowledges that the Company has provided and will provide Executive with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Confidential Information (as defined below). Executive agrees that in return for this and other consideration provided under this Agreement he will not disclose or make available to any other person or entity, or use for his own personal gain, monetary or otherwise, any Confidential Information, except for such disclosures as required in the performance of his duties hereunder. For purposes of this Agreement, “Confidential Information” means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74" w:lineRule="exact"/>
        <w:rPr>
          <w:rFonts w:ascii="Times New Roman" w:cs="Times New Roman" w:eastAsia="Times New Roman" w:hAnsi="Times New Roman"/>
          <w:sz w:val="21"/>
          <w:szCs w:val="21"/>
          <w:color w:val="010000"/>
        </w:rPr>
      </w:pPr>
    </w:p>
    <w:p>
      <w:pPr>
        <w:jc w:val="both"/>
        <w:ind w:left="1760" w:hanging="878"/>
        <w:spacing w:after="0" w:line="243" w:lineRule="auto"/>
        <w:tabs>
          <w:tab w:leader="none" w:pos="1760"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Restrictive Covenants</w:t>
      </w:r>
      <w:r>
        <w:rPr>
          <w:rFonts w:ascii="Times New Roman" w:cs="Times New Roman" w:eastAsia="Times New Roman" w:hAnsi="Times New Roman"/>
          <w:sz w:val="21"/>
          <w:szCs w:val="21"/>
          <w:color w:val="auto"/>
        </w:rPr>
        <w:t>. Executive acknowledges that the skills, processes and information developed at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are highly proprietary and global in nature and could be utilized directly and to the Company’s detriment (or the detriment of any of the Company’s affiliates or ventures) by several other businesses. Accordingly, (1) in consideration for the Confidential Information previously provided by the Company to Executive, (2) as part of the consideration for the payment and benefits to be paid to Executive hereunder, (3) to protect the Confidential Information of the Company disclosed or entrusted to Executive by the Company or created or developed by Executive for the Company and (4) as an additional incentive for the Company to enter into this Agreement, Executive agrees to be bound by the following restrictive covenants:</w:t>
      </w:r>
    </w:p>
    <w:p>
      <w:pPr>
        <w:spacing w:after="0" w:line="167" w:lineRule="exact"/>
        <w:rPr>
          <w:rFonts w:ascii="Times New Roman" w:cs="Times New Roman" w:eastAsia="Times New Roman" w:hAnsi="Times New Roman"/>
          <w:sz w:val="21"/>
          <w:szCs w:val="21"/>
          <w:color w:val="010000"/>
        </w:rPr>
      </w:pPr>
    </w:p>
    <w:p>
      <w:pPr>
        <w:jc w:val="both"/>
        <w:ind w:left="1760" w:firstLine="745"/>
        <w:spacing w:after="0" w:line="244" w:lineRule="auto"/>
        <w:tabs>
          <w:tab w:leader="none" w:pos="3340" w:val="left"/>
        </w:tabs>
        <w:numPr>
          <w:ilvl w:val="2"/>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Covenant not to Compete</w:t>
      </w:r>
      <w:r>
        <w:rPr>
          <w:rFonts w:ascii="Times New Roman" w:cs="Times New Roman" w:eastAsia="Times New Roman" w:hAnsi="Times New Roman"/>
          <w:sz w:val="21"/>
          <w:szCs w:val="21"/>
          <w:color w:val="auto"/>
        </w:rPr>
        <w:t>. During the Term and for a period of 12 months thereafter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“Restricted Period”), Executive shall not accept employment with or otherwise render services, directly or indirectly, anywhere in the world, to any Unauthorized Competitor, whether as a director, officer, agent, employee, independent contractor or consultant, become a 10% or greater partner or owner of any Unauthorized Competitor, or take any action inconsistent with the fiduciary relationship of an employee to his employer. In order to protect the Company’s goodwill and other legitimate business interests, provide greater flexibility to Executive in obtaining other employment and to provide both parties with greater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29107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9" w:name="page80"/>
    <w:bookmarkEnd w:id="79"/>
    <w:p>
      <w:pPr>
        <w:ind w:left="350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560"/>
        <w:spacing w:after="0" w:line="246" w:lineRule="auto"/>
        <w:rPr>
          <w:sz w:val="20"/>
          <w:szCs w:val="20"/>
          <w:color w:val="auto"/>
        </w:rPr>
      </w:pPr>
      <w:r>
        <w:rPr>
          <w:rFonts w:ascii="Times New Roman" w:cs="Times New Roman" w:eastAsia="Times New Roman" w:hAnsi="Times New Roman"/>
          <w:sz w:val="21"/>
          <w:szCs w:val="21"/>
          <w:color w:val="auto"/>
        </w:rPr>
        <w:t>certainty as to their obligations hereunder, the parties agree that Executive shall not be prohibited from accepting employment or otherwise rendering any services, anywhere in the world with any company or other enterprise except an Unauthorized Competitor; provided, however, that before Executive may accept employment or a service engagement with any oil and gas related company that is not an Unauthorized Competitor, Executive must have received written pre-approval from the Company’s CEO.</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color w:val="auto"/>
        </w:rPr>
        <w:t>For purposes of this Agreement, “Unauthorized Competitor” means the following entities:</w:t>
      </w:r>
    </w:p>
    <w:p>
      <w:pPr>
        <w:spacing w:after="0" w:line="210" w:lineRule="exact"/>
        <w:rPr>
          <w:sz w:val="20"/>
          <w:szCs w:val="20"/>
          <w:color w:val="auto"/>
        </w:rPr>
      </w:pPr>
    </w:p>
    <w:p>
      <w:pPr>
        <w:ind w:left="2320" w:hanging="886"/>
        <w:spacing w:after="0"/>
        <w:tabs>
          <w:tab w:leader="none" w:pos="232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Halliburton Company</w:t>
      </w:r>
    </w:p>
    <w:p>
      <w:pPr>
        <w:spacing w:after="0" w:line="21" w:lineRule="exact"/>
        <w:rPr>
          <w:rFonts w:ascii="Times New Roman" w:cs="Times New Roman" w:eastAsia="Times New Roman" w:hAnsi="Times New Roman"/>
          <w:sz w:val="21"/>
          <w:szCs w:val="21"/>
          <w:color w:val="010000"/>
        </w:rPr>
      </w:pPr>
    </w:p>
    <w:p>
      <w:pPr>
        <w:ind w:left="2320" w:hanging="886"/>
        <w:spacing w:after="0" w:line="237" w:lineRule="auto"/>
        <w:tabs>
          <w:tab w:leader="none" w:pos="232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Baker Hughes Company</w:t>
      </w:r>
    </w:p>
    <w:p>
      <w:pPr>
        <w:ind w:left="2320" w:hanging="886"/>
        <w:spacing w:after="0" w:line="237" w:lineRule="auto"/>
        <w:tabs>
          <w:tab w:leader="none" w:pos="232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Weatherford International Limited plc</w:t>
      </w:r>
    </w:p>
    <w:p>
      <w:pPr>
        <w:ind w:left="2320" w:hanging="886"/>
        <w:spacing w:after="0" w:line="237" w:lineRule="auto"/>
        <w:tabs>
          <w:tab w:leader="none" w:pos="232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Archer Limited</w:t>
      </w:r>
    </w:p>
    <w:p>
      <w:pPr>
        <w:ind w:left="2320" w:hanging="886"/>
        <w:spacing w:after="0" w:line="237" w:lineRule="auto"/>
        <w:tabs>
          <w:tab w:leader="none" w:pos="232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Oilserv Limited</w:t>
      </w:r>
    </w:p>
    <w:p>
      <w:pPr>
        <w:ind w:left="2320" w:hanging="886"/>
        <w:spacing w:after="0" w:line="237" w:lineRule="auto"/>
        <w:tabs>
          <w:tab w:leader="none" w:pos="232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Aker Solutions ASA</w:t>
      </w:r>
    </w:p>
    <w:p>
      <w:pPr>
        <w:ind w:left="2320" w:hanging="886"/>
        <w:spacing w:after="0" w:line="237" w:lineRule="auto"/>
        <w:tabs>
          <w:tab w:leader="none" w:pos="232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TechnipFMC plc</w:t>
      </w:r>
    </w:p>
    <w:p>
      <w:pPr>
        <w:ind w:left="2320" w:hanging="886"/>
        <w:spacing w:after="0" w:line="237" w:lineRule="auto"/>
        <w:tabs>
          <w:tab w:leader="none" w:pos="232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National Oilwell Varco, Inc.</w:t>
      </w:r>
    </w:p>
    <w:p>
      <w:pPr>
        <w:ind w:left="2320" w:hanging="886"/>
        <w:spacing w:after="0" w:line="237" w:lineRule="auto"/>
        <w:tabs>
          <w:tab w:leader="none" w:pos="232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National Energy Services Reunited Corp.</w:t>
      </w:r>
    </w:p>
    <w:p>
      <w:pPr>
        <w:ind w:left="2320" w:hanging="886"/>
        <w:spacing w:after="0" w:line="237" w:lineRule="auto"/>
        <w:tabs>
          <w:tab w:leader="none" w:pos="232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entity engaged in seismic data acquisition, processing and reservoir geosciences services to the oil and natural gas industry</w:t>
      </w:r>
    </w:p>
    <w:p>
      <w:pPr>
        <w:ind w:left="2320" w:hanging="886"/>
        <w:spacing w:after="0"/>
        <w:tabs>
          <w:tab w:leader="none" w:pos="232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other oilfield equipment and services company,</w:t>
      </w:r>
    </w:p>
    <w:p>
      <w:pPr>
        <w:spacing w:after="0" w:line="186" w:lineRule="exact"/>
        <w:rPr>
          <w:sz w:val="20"/>
          <w:szCs w:val="20"/>
          <w:color w:val="auto"/>
        </w:rPr>
      </w:pPr>
    </w:p>
    <w:p>
      <w:pPr>
        <w:ind w:left="560"/>
        <w:spacing w:after="0" w:line="272" w:lineRule="auto"/>
        <w:rPr>
          <w:sz w:val="20"/>
          <w:szCs w:val="20"/>
          <w:color w:val="auto"/>
        </w:rPr>
      </w:pPr>
      <w:r>
        <w:rPr>
          <w:rFonts w:ascii="Times New Roman" w:cs="Times New Roman" w:eastAsia="Times New Roman" w:hAnsi="Times New Roman"/>
          <w:sz w:val="21"/>
          <w:szCs w:val="21"/>
          <w:color w:val="auto"/>
        </w:rPr>
        <w:t>and includes any and all of their parents, subsidiaries, affiliates, joint ventures or divisions, as of the date of this Agreement as well as any of their successors or assigns.</w:t>
      </w:r>
    </w:p>
    <w:p>
      <w:pPr>
        <w:spacing w:after="0" w:line="139" w:lineRule="exact"/>
        <w:rPr>
          <w:sz w:val="20"/>
          <w:szCs w:val="20"/>
          <w:color w:val="auto"/>
        </w:rPr>
      </w:pPr>
    </w:p>
    <w:p>
      <w:pPr>
        <w:jc w:val="both"/>
        <w:ind w:left="560" w:firstLine="745"/>
        <w:spacing w:after="0" w:line="250" w:lineRule="auto"/>
        <w:tabs>
          <w:tab w:leader="none" w:pos="2199"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Nonsolicitation</w:t>
      </w:r>
      <w:r>
        <w:rPr>
          <w:rFonts w:ascii="Times New Roman" w:cs="Times New Roman" w:eastAsia="Times New Roman" w:hAnsi="Times New Roman"/>
          <w:sz w:val="21"/>
          <w:szCs w:val="21"/>
          <w:color w:val="auto"/>
        </w:rPr>
        <w:t>. Executive further agrees that during the Restricted Period, he shall not at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time, directly or indirectly, induce, entice or solicit (or attempt to induce, entice or solicit) any employee of the Company or any of its affiliates or ventures to leave the employment of the Company or any of its affiliates or ventures.</w:t>
      </w:r>
    </w:p>
    <w:p>
      <w:pPr>
        <w:spacing w:after="0" w:line="1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70485</wp:posOffset>
            </wp:positionV>
            <wp:extent cx="729107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80" w:name="page81"/>
    <w:bookmarkEnd w:id="80"/>
    <w:p>
      <w:pPr>
        <w:ind w:left="350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560" w:firstLine="745"/>
        <w:spacing w:after="0" w:line="241" w:lineRule="auto"/>
        <w:tabs>
          <w:tab w:leader="none" w:pos="2258"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Nondisparagement</w:t>
      </w:r>
      <w:r>
        <w:rPr>
          <w:rFonts w:ascii="Times New Roman" w:cs="Times New Roman" w:eastAsia="Times New Roman" w:hAnsi="Times New Roman"/>
          <w:sz w:val="21"/>
          <w:szCs w:val="21"/>
          <w:color w:val="auto"/>
        </w:rPr>
        <w:t>. Executive agrees that he shall not, directly or indirectly, whether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writing, orally or electronically, make any negative, derogatory or other comment that could reasonably be expected to be detrimental to the Company or any of its affiliates, their business or operations, or to any of its or their current or former employees, officers or directors. Executive consents to the Company showing this Agreement to any third party believed by the Company to be a prospective or actual employer of Employee, and to insisting on Employee's compliance with the terms of this Agreement. Notwithstanding the foregoing, nothing in this Agreement, including the confidentiality provisions above, limits Employee’s ability to communicate with the Securities and Exchange Commission (or any other governmental agency) regarding any possible violations of law, to otherwise participate in any investigation or proceeding that may be conducted by a governmental agency (including providing documents or other information without notice to the Company), or to receive any award for information provided to a governmental agency.</w:t>
      </w:r>
    </w:p>
    <w:p>
      <w:pPr>
        <w:spacing w:after="0" w:line="173" w:lineRule="exact"/>
        <w:rPr>
          <w:rFonts w:ascii="Times New Roman" w:cs="Times New Roman" w:eastAsia="Times New Roman" w:hAnsi="Times New Roman"/>
          <w:sz w:val="21"/>
          <w:szCs w:val="21"/>
          <w:color w:val="010000"/>
        </w:rPr>
      </w:pPr>
    </w:p>
    <w:p>
      <w:pPr>
        <w:jc w:val="both"/>
        <w:ind w:left="560" w:firstLine="745"/>
        <w:spacing w:after="0" w:line="242" w:lineRule="auto"/>
        <w:tabs>
          <w:tab w:leader="none" w:pos="2246"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Acknowledgement; Covenants Ancillary to Other Agreements</w:t>
      </w:r>
      <w:r>
        <w:rPr>
          <w:rFonts w:ascii="Times New Roman" w:cs="Times New Roman" w:eastAsia="Times New Roman" w:hAnsi="Times New Roman"/>
          <w:sz w:val="21"/>
          <w:szCs w:val="21"/>
          <w:color w:val="auto"/>
        </w:rPr>
        <w:t>. Executive expressly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recognizes that Executive was a high-level, executive employee who was provided with access to Confidential Information of the Company as part of Executive’s employment. Executive acknowledges that the restrictive covenants contained in Section 5(b), for which he received consideration from the Company as provided in Section 3, are ancillary to otherwise enforceable provisions of this Agreement with respect to the protection of Confidential Information, and that the restrictive covenants contain limitations, as applicable, as to time, geographical area and scope of activity to be restrained that are reasonable, and do not impose a greater restraint than is necessary to protect the good will or other business interests of the Company, such as the Company’s need to protect its Confidential Information.</w:t>
      </w:r>
    </w:p>
    <w:p>
      <w:pPr>
        <w:spacing w:after="0" w:line="200" w:lineRule="exact"/>
        <w:rPr>
          <w:rFonts w:ascii="Times New Roman" w:cs="Times New Roman" w:eastAsia="Times New Roman" w:hAnsi="Times New Roman"/>
          <w:sz w:val="21"/>
          <w:szCs w:val="21"/>
          <w:color w:val="010000"/>
        </w:rPr>
      </w:pPr>
    </w:p>
    <w:p>
      <w:pPr>
        <w:spacing w:after="0" w:line="214" w:lineRule="exact"/>
        <w:rPr>
          <w:rFonts w:ascii="Times New Roman" w:cs="Times New Roman" w:eastAsia="Times New Roman" w:hAnsi="Times New Roman"/>
          <w:sz w:val="21"/>
          <w:szCs w:val="21"/>
          <w:color w:val="010000"/>
        </w:rPr>
      </w:pPr>
    </w:p>
    <w:p>
      <w:pPr>
        <w:ind w:left="2180" w:hanging="875"/>
        <w:spacing w:after="0"/>
        <w:tabs>
          <w:tab w:leader="none" w:pos="2180"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Return of Property</w:t>
      </w:r>
      <w:r>
        <w:rPr>
          <w:rFonts w:ascii="Times New Roman" w:cs="Times New Roman" w:eastAsia="Times New Roman" w:hAnsi="Times New Roman"/>
          <w:sz w:val="21"/>
          <w:szCs w:val="21"/>
          <w:color w:val="auto"/>
        </w:rPr>
        <w:t>. Executive agrees that at the time of leaving the Company’s employ, if not</w:t>
      </w:r>
    </w:p>
    <w:p>
      <w:pPr>
        <w:spacing w:after="0" w:line="25" w:lineRule="exact"/>
        <w:rPr>
          <w:rFonts w:ascii="Times New Roman" w:cs="Times New Roman" w:eastAsia="Times New Roman" w:hAnsi="Times New Roman"/>
          <w:sz w:val="21"/>
          <w:szCs w:val="21"/>
          <w:color w:val="010000"/>
        </w:rPr>
      </w:pPr>
    </w:p>
    <w:p>
      <w:pPr>
        <w:jc w:val="both"/>
        <w:ind w:left="560"/>
        <w:spacing w:after="0" w:line="23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sooner, he will: (A) deliver to the Company all (and will not keep in his possession, recreate or deliver to anyone else, any)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 and (B) return to a Company representative all computers and electronic storage devices including thumb drives, back-up devices, etc. that contain Company information. To the extent that Executive owns electronic devices that contain company information (e.g. personal computers, phones or home computers), Executive agrees to allow access to such devices to Company IT personnel to remove the Company information. To the extent Company-owned electronic devices contain Executive personal information, Executive and Company agree to cooperate in the removal or copying of the personal information to a separate device for Executive. Executive agrees to sign an inventory of the devices returned and steps to taken to remove Company information from Executive’s personal computers and devices.</w:t>
      </w:r>
    </w:p>
    <w:p>
      <w:pPr>
        <w:spacing w:after="0" w:line="1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70485</wp:posOffset>
            </wp:positionV>
            <wp:extent cx="729107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760" w:firstLine="745"/>
        <w:spacing w:after="0" w:line="250" w:lineRule="auto"/>
        <w:tabs>
          <w:tab w:leader="none" w:pos="3446" w:val="left"/>
        </w:tabs>
        <w:numPr>
          <w:ilvl w:val="2"/>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Survival</w:t>
      </w:r>
      <w:r>
        <w:rPr>
          <w:rFonts w:ascii="Times New Roman" w:cs="Times New Roman" w:eastAsia="Times New Roman" w:hAnsi="Times New Roman"/>
          <w:sz w:val="21"/>
          <w:szCs w:val="21"/>
          <w:color w:val="auto"/>
        </w:rPr>
        <w:t>. Executive further acknowledges that if his employment terminates prior to the end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Term pursuant to Section 4 of this Agreement, the restrictive covenant provisions of this Agreement will extend throughout the remainder of the Restricted Period (except for the restrictive covenant contained in Section 5(b)(iii), which has no time limitation).</w:t>
      </w:r>
    </w:p>
    <w:p>
      <w:pPr>
        <w:spacing w:after="0" w:line="161" w:lineRule="exact"/>
        <w:rPr>
          <w:rFonts w:ascii="Times New Roman" w:cs="Times New Roman" w:eastAsia="Times New Roman" w:hAnsi="Times New Roman"/>
          <w:sz w:val="21"/>
          <w:szCs w:val="21"/>
          <w:color w:val="010000"/>
        </w:rPr>
      </w:pPr>
    </w:p>
    <w:p>
      <w:pPr>
        <w:jc w:val="both"/>
        <w:ind w:left="1760" w:hanging="878"/>
        <w:spacing w:after="0" w:line="243" w:lineRule="auto"/>
        <w:tabs>
          <w:tab w:leader="none" w:pos="1760"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Employment by Affiliates</w:t>
      </w:r>
      <w:r>
        <w:rPr>
          <w:rFonts w:ascii="Times New Roman" w:cs="Times New Roman" w:eastAsia="Times New Roman" w:hAnsi="Times New Roman"/>
          <w:sz w:val="21"/>
          <w:szCs w:val="21"/>
          <w:color w:val="auto"/>
        </w:rPr>
        <w:t>. Notwithstanding any provision of this Agreement to the contrary, for purposes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determining whether Executive has terminated employment hereunder, “employment” means employment as an employee with the Company or any affiliate. For purposes of this Agreement, the term “affiliate” means (i) Schlumberger Limited, a Curaçao company, (ii) any entity in which the equity interests owned or controlled directly or indirectly by Schlumberger Limited represent 40% or more of the voting power of the issued and outstanding equity interest of such entity, and (iii) any other company controlled by, controlling or under common control with the Company within the meaning of Section 414 of the Internal Revenue Code of 1986, as amended (the “Code”).</w:t>
      </w:r>
    </w:p>
    <w:p>
      <w:pPr>
        <w:spacing w:after="0" w:line="167" w:lineRule="exact"/>
        <w:rPr>
          <w:rFonts w:ascii="Times New Roman" w:cs="Times New Roman" w:eastAsia="Times New Roman" w:hAnsi="Times New Roman"/>
          <w:sz w:val="21"/>
          <w:szCs w:val="21"/>
          <w:color w:val="010000"/>
        </w:rPr>
      </w:pPr>
    </w:p>
    <w:p>
      <w:pPr>
        <w:jc w:val="both"/>
        <w:ind w:left="1760" w:hanging="878"/>
        <w:spacing w:after="0"/>
        <w:tabs>
          <w:tab w:leader="none" w:pos="1760"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Remedies</w:t>
      </w:r>
      <w:r>
        <w:rPr>
          <w:rFonts w:ascii="Times New Roman" w:cs="Times New Roman" w:eastAsia="Times New Roman" w:hAnsi="Times New Roman"/>
          <w:sz w:val="21"/>
          <w:szCs w:val="21"/>
          <w:color w:val="auto"/>
        </w:rPr>
        <w:t>. Executive acknowledges that in the event of a breach by Executive of any of restrictive covenants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contained in this Section 5, the covenants may be enforced by temporary restraining order, preliminary or temporary injunction and permanent injunction, in addition to any other remedies that may be available by law. In that connection, Executive acknowledges that in the event of any such breach, the Company will suffer irreparable injury for which there is no adequate legal remedy, in part because damages caused by the breach may be difficult to prove with any reasonable degree of certainty. Executive further agrees that in the event that (x) the Company determines that Executive has breached any term of this Section 5 or (y) all or any part of this Section 5 is held or found invalid or unenforceable for any reason whatsoever by a court of competent jurisdiction in an action between Executive and the Company, in addition to any other remedies at law or in equity the Company may have available to it, the Company may immediately stop payment or issuance of any future amounts, including shares of Company common stock under otherwise vested equity incentive awards, due pursuant to Section 3, and may in its sole discretion require that Executive repay to the Company, within five business days of receipt of written demand therefor, an amount equal to the payments or benefits received by Executive pursuant to Section 3. The repayment required by the foregoing provision shall be net of any taxes withheld on the original payments to Executive.</w:t>
      </w:r>
    </w:p>
    <w:p>
      <w:pPr>
        <w:spacing w:after="0" w:line="178" w:lineRule="exact"/>
        <w:rPr>
          <w:rFonts w:ascii="Times New Roman" w:cs="Times New Roman" w:eastAsia="Times New Roman" w:hAnsi="Times New Roman"/>
          <w:sz w:val="21"/>
          <w:szCs w:val="21"/>
          <w:color w:val="010000"/>
        </w:rPr>
      </w:pPr>
    </w:p>
    <w:p>
      <w:pPr>
        <w:jc w:val="both"/>
        <w:ind w:firstLine="6"/>
        <w:spacing w:after="0" w:line="255" w:lineRule="auto"/>
        <w:tabs>
          <w:tab w:leader="none" w:pos="796" w:val="left"/>
        </w:tabs>
        <w:numPr>
          <w:ilvl w:val="0"/>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Company and Executive shall each be responsible for their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29107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
        <w:spacing w:after="0" w:line="255" w:lineRule="auto"/>
        <w:tabs>
          <w:tab w:leader="none" w:pos="796"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For purposes of this Agreement, all notices and all other communications provided for herein shall be in writing and shall be deemed to have been duly given when personally delivered or when mailed by registered or certified mail, return receipt requested, postage prepaid, addressed as follows:</w:t>
      </w:r>
    </w:p>
    <w:p>
      <w:pPr>
        <w:sectPr>
          <w:pgSz w:w="11900" w:h="16838" w:orient="portrait"/>
          <w:cols w:equalWidth="0" w:num="1">
            <w:col w:w="11420"/>
          </w:cols>
          <w:pgMar w:left="240" w:top="108" w:right="239" w:bottom="1440" w:gutter="0" w:footer="0" w:header="0"/>
        </w:sectPr>
      </w:pPr>
    </w:p>
    <w:p>
      <w:pPr>
        <w:spacing w:after="0" w:line="15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Schlumberger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5599 San Felipe, 17th Floor</w:t>
      </w:r>
    </w:p>
    <w:p>
      <w:pPr>
        <w:spacing w:after="0" w:line="237" w:lineRule="auto"/>
        <w:rPr>
          <w:sz w:val="20"/>
          <w:szCs w:val="20"/>
          <w:color w:val="auto"/>
        </w:rPr>
      </w:pPr>
      <w:r>
        <w:rPr>
          <w:rFonts w:ascii="Times New Roman" w:cs="Times New Roman" w:eastAsia="Times New Roman" w:hAnsi="Times New Roman"/>
          <w:sz w:val="21"/>
          <w:szCs w:val="21"/>
          <w:color w:val="auto"/>
        </w:rPr>
        <w:t>Houston, TX 77056</w:t>
      </w:r>
    </w:p>
    <w:p>
      <w:pPr>
        <w:spacing w:after="0"/>
        <w:rPr>
          <w:sz w:val="20"/>
          <w:szCs w:val="20"/>
          <w:color w:val="auto"/>
        </w:rPr>
      </w:pPr>
      <w:r>
        <w:rPr>
          <w:rFonts w:ascii="Times New Roman" w:cs="Times New Roman" w:eastAsia="Times New Roman" w:hAnsi="Times New Roman"/>
          <w:sz w:val="21"/>
          <w:szCs w:val="21"/>
          <w:color w:val="auto"/>
        </w:rPr>
        <w:t>ATTENTION: HR Manager SL</w:t>
      </w:r>
    </w:p>
    <w:p>
      <w:pPr>
        <w:spacing w:after="0" w:line="200" w:lineRule="exact"/>
        <w:rPr>
          <w:sz w:val="20"/>
          <w:szCs w:val="20"/>
          <w:color w:val="auto"/>
        </w:rPr>
      </w:pPr>
    </w:p>
    <w:p>
      <w:pPr>
        <w:sectPr>
          <w:pgSz w:w="11900" w:h="16838" w:orient="portrait"/>
          <w:cols w:equalWidth="0" w:num="2">
            <w:col w:w="3800" w:space="720"/>
            <w:col w:w="6900"/>
          </w:cols>
          <w:pgMar w:left="240" w:top="108" w:right="239" w:bottom="1440" w:gutter="0" w:footer="0" w:header="0"/>
          <w:type w:val="continuous"/>
        </w:sectPr>
      </w:pP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1"/>
          <w:szCs w:val="21"/>
          <w:color w:val="auto"/>
        </w:rPr>
        <w:t>If to Executive: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Simon Ayat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1100 Uptown Park Boulevard, #111</w:t>
      </w:r>
    </w:p>
    <w:p>
      <w:pPr>
        <w:spacing w:after="0"/>
        <w:rPr>
          <w:sz w:val="20"/>
          <w:szCs w:val="20"/>
          <w:color w:val="auto"/>
        </w:rPr>
      </w:pPr>
      <w:r>
        <w:rPr>
          <w:rFonts w:ascii="Times New Roman" w:cs="Times New Roman" w:eastAsia="Times New Roman" w:hAnsi="Times New Roman"/>
          <w:sz w:val="21"/>
          <w:szCs w:val="21"/>
          <w:color w:val="auto"/>
        </w:rPr>
        <w:t>Houston, Texas 77056</w:t>
      </w:r>
    </w:p>
    <w:p>
      <w:pPr>
        <w:spacing w:after="0" w:line="186" w:lineRule="exact"/>
        <w:rPr>
          <w:sz w:val="20"/>
          <w:szCs w:val="20"/>
          <w:color w:val="auto"/>
        </w:rPr>
      </w:pPr>
    </w:p>
    <w:p>
      <w:pPr>
        <w:sectPr>
          <w:pgSz w:w="11900" w:h="16838" w:orient="portrait"/>
          <w:cols w:equalWidth="0" w:num="2">
            <w:col w:w="3800" w:space="720"/>
            <w:col w:w="6900"/>
          </w:cols>
          <w:pgMar w:left="240" w:top="108" w:right="239" w:bottom="1440" w:gutter="0" w:footer="0" w:header="0"/>
          <w:type w:val="continuous"/>
        </w:sectPr>
      </w:pPr>
    </w:p>
    <w:p>
      <w:pPr>
        <w:spacing w:after="0" w:line="272" w:lineRule="auto"/>
        <w:rPr>
          <w:sz w:val="20"/>
          <w:szCs w:val="20"/>
          <w:color w:val="auto"/>
        </w:rPr>
      </w:pPr>
      <w:r>
        <w:rPr>
          <w:rFonts w:ascii="Times New Roman" w:cs="Times New Roman" w:eastAsia="Times New Roman" w:hAnsi="Times New Roman"/>
          <w:sz w:val="21"/>
          <w:szCs w:val="21"/>
          <w:color w:val="auto"/>
        </w:rPr>
        <w:t>or to such other address as either party may furnish to the other in writing in accordance herewith, except that notices of changes of address shall be effective only upon receipt.</w:t>
      </w:r>
    </w:p>
    <w:p>
      <w:pPr>
        <w:spacing w:after="0" w:line="143" w:lineRule="exact"/>
        <w:rPr>
          <w:sz w:val="20"/>
          <w:szCs w:val="20"/>
          <w:color w:val="auto"/>
        </w:rPr>
      </w:pPr>
    </w:p>
    <w:p>
      <w:pPr>
        <w:jc w:val="both"/>
        <w:ind w:firstLine="6"/>
        <w:spacing w:after="0" w:line="243" w:lineRule="auto"/>
        <w:tabs>
          <w:tab w:leader="none" w:pos="796" w:val="left"/>
        </w:tabs>
        <w:numPr>
          <w:ilvl w:val="0"/>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Applicable Law; Venue</w:t>
      </w:r>
      <w:r>
        <w:rPr>
          <w:rFonts w:ascii="Times New Roman" w:cs="Times New Roman" w:eastAsia="Times New Roman" w:hAnsi="Times New Roman"/>
          <w:sz w:val="21"/>
          <w:szCs w:val="21"/>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 Any suit, action or other legal proceeding arising out of this Agreement shall be brought in the United States District Court for the Southern District of Texas, Houston Division, or, if such court does not have jurisdiction or will not accept jurisdiction, in any court of general jurisdiction in Harris County, Texas. Each of Executive and the Company consents to the jurisdiction of any such court in any such suit, action, or proceeding and waives any objection that it may have to the laying of venue of any such suit, action, or proceeding in any such court.</w:t>
      </w:r>
    </w:p>
    <w:p>
      <w:pPr>
        <w:spacing w:after="0" w:line="173" w:lineRule="exact"/>
        <w:rPr>
          <w:rFonts w:ascii="Times New Roman" w:cs="Times New Roman" w:eastAsia="Times New Roman" w:hAnsi="Times New Roman"/>
          <w:sz w:val="21"/>
          <w:szCs w:val="21"/>
          <w:color w:val="010000"/>
        </w:rPr>
      </w:pPr>
    </w:p>
    <w:p>
      <w:pPr>
        <w:jc w:val="both"/>
        <w:ind w:firstLine="6"/>
        <w:spacing w:after="0" w:line="255" w:lineRule="auto"/>
        <w:tabs>
          <w:tab w:leader="none" w:pos="796" w:val="left"/>
        </w:tabs>
        <w:numPr>
          <w:ilvl w:val="0"/>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159" w:lineRule="exact"/>
        <w:rPr>
          <w:rFonts w:ascii="Times New Roman" w:cs="Times New Roman" w:eastAsia="Times New Roman" w:hAnsi="Times New Roman"/>
          <w:sz w:val="21"/>
          <w:szCs w:val="21"/>
          <w:color w:val="010000"/>
        </w:rPr>
      </w:pPr>
    </w:p>
    <w:p>
      <w:pPr>
        <w:ind w:firstLine="6"/>
        <w:spacing w:after="0" w:line="272" w:lineRule="auto"/>
        <w:tabs>
          <w:tab w:leader="none" w:pos="903" w:val="left"/>
        </w:tabs>
        <w:numPr>
          <w:ilvl w:val="0"/>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Company may withhold from any benefits payable under this Agreement all federal, state, city or other taxes as may be required pursuant to any law or governmental regulation or ruling.</w:t>
      </w:r>
    </w:p>
    <w:p>
      <w:pPr>
        <w:spacing w:after="0" w:line="142" w:lineRule="exact"/>
        <w:rPr>
          <w:rFonts w:ascii="Times New Roman" w:cs="Times New Roman" w:eastAsia="Times New Roman" w:hAnsi="Times New Roman"/>
          <w:sz w:val="21"/>
          <w:szCs w:val="21"/>
          <w:color w:val="010000"/>
        </w:rPr>
      </w:pPr>
    </w:p>
    <w:p>
      <w:pPr>
        <w:jc w:val="both"/>
        <w:ind w:firstLine="6"/>
        <w:spacing w:after="0" w:line="244" w:lineRule="auto"/>
        <w:tabs>
          <w:tab w:leader="none" w:pos="895" w:val="left"/>
        </w:tabs>
        <w:numPr>
          <w:ilvl w:val="0"/>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Assignment; Successors</w:t>
      </w:r>
      <w:r>
        <w:rPr>
          <w:rFonts w:ascii="Times New Roman" w:cs="Times New Roman" w:eastAsia="Times New Roman" w:hAnsi="Times New Roman"/>
          <w:sz w:val="21"/>
          <w:szCs w:val="21"/>
          <w:color w:val="auto"/>
        </w:rPr>
        <w:t>. Executive’s right to receive payments or benefits hereunder shall not be assignable or transferable, whether by pledge, creation, or a security interest or otherwise, whether voluntary, involuntary, by operation of law or otherwise, other than, as provided in Section 4(a),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29107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This Agreement shall be binding upon and inure to the benefit of the Company, its successors and assigns (including, without limitation, any entity into or with which the Company may merge or consolidate).</w:t>
      </w:r>
    </w:p>
    <w:p>
      <w:pPr>
        <w:spacing w:after="0" w:line="143" w:lineRule="exact"/>
        <w:rPr>
          <w:sz w:val="20"/>
          <w:szCs w:val="20"/>
          <w:color w:val="auto"/>
        </w:rPr>
      </w:pPr>
    </w:p>
    <w:p>
      <w:pPr>
        <w:jc w:val="both"/>
        <w:ind w:firstLine="6"/>
        <w:spacing w:after="0" w:line="244" w:lineRule="auto"/>
        <w:tabs>
          <w:tab w:leader="none" w:pos="903" w:val="left"/>
        </w:tabs>
        <w:numPr>
          <w:ilvl w:val="0"/>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Effect of Prior Agreements</w:t>
      </w:r>
      <w:r>
        <w:rPr>
          <w:rFonts w:ascii="Times New Roman" w:cs="Times New Roman" w:eastAsia="Times New Roman" w:hAnsi="Times New Roman"/>
          <w:sz w:val="21"/>
          <w:szCs w:val="21"/>
          <w:color w:val="auto"/>
        </w:rPr>
        <w:t>. This Agreement, together with Exhibit A attached hereto, contains the entire understanding between the parties hereto and supersedes any prior employment, non-competition or severance or other agreement between the Company or any predecessor of the Company and Executive. Each party to this Agreement agrees that (i) no other party to this Agreement (including its agents and representatives) has made any representation, warranty, covenant or agreement to or with such party relating to the subject matter hereof, and (ii) such party has not relied upon any representation, warranty, covenant or agreement relating to the subject matter hereof.</w:t>
      </w:r>
    </w:p>
    <w:p>
      <w:pPr>
        <w:spacing w:after="0" w:line="172" w:lineRule="exact"/>
        <w:rPr>
          <w:rFonts w:ascii="Times New Roman" w:cs="Times New Roman" w:eastAsia="Times New Roman" w:hAnsi="Times New Roman"/>
          <w:sz w:val="21"/>
          <w:szCs w:val="21"/>
          <w:color w:val="010000"/>
        </w:rPr>
      </w:pPr>
    </w:p>
    <w:p>
      <w:pPr>
        <w:jc w:val="both"/>
        <w:ind w:firstLine="6"/>
        <w:spacing w:after="0" w:line="242" w:lineRule="auto"/>
        <w:tabs>
          <w:tab w:leader="none" w:pos="903" w:val="left"/>
        </w:tabs>
        <w:numPr>
          <w:ilvl w:val="0"/>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Release of Claims</w:t>
      </w:r>
      <w:r>
        <w:rPr>
          <w:rFonts w:ascii="Times New Roman" w:cs="Times New Roman" w:eastAsia="Times New Roman" w:hAnsi="Times New Roman"/>
          <w:sz w:val="21"/>
          <w:szCs w:val="21"/>
          <w:color w:val="auto"/>
        </w:rPr>
        <w:t>. In consideration for the compensation and other benefits provided pursuant to this Agreement, Executive has executed a “Waiver and Release” in the form attached hereto as Exhibit A. Executive acknowledges that he was given copies of this Agreement and the Waiver and Release on October 13, 2019, and was given at least 21 days to consider whether to sign the Agreement and the Waiver and Release. The Company’s obligations under this Agreement are expressly conditioned on Executive’s execution and delivery of the Waiver and Release within the time period set forth therein, as well as Executive’s non-revocation of the Waiver and Release by the time provided therein. Executive’s failure to timely execute and deliver such Waiver and Release, or Executive’s revocation of the Waiver and Release within the seven-day period provided in the Waiver and Release, will void the Company’s obligations hereunder.</w:t>
      </w:r>
    </w:p>
    <w:p>
      <w:pPr>
        <w:spacing w:after="0" w:line="175" w:lineRule="exact"/>
        <w:rPr>
          <w:rFonts w:ascii="Times New Roman" w:cs="Times New Roman" w:eastAsia="Times New Roman" w:hAnsi="Times New Roman"/>
          <w:sz w:val="21"/>
          <w:szCs w:val="21"/>
          <w:color w:val="010000"/>
        </w:rPr>
      </w:pPr>
    </w:p>
    <w:p>
      <w:pPr>
        <w:jc w:val="both"/>
        <w:ind w:firstLine="6"/>
        <w:spacing w:after="0"/>
        <w:tabs>
          <w:tab w:leader="none" w:pos="903" w:val="left"/>
        </w:tabs>
        <w:numPr>
          <w:ilvl w:val="0"/>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Each payment under this Agreement, including each payment in a series of installment payments, is intended to be a separate payment for purposes of Treas. Reg. § 1.409A-2(b), and is intended to be: (i) exempt from Section 409A of the Code, the regulations and other binding guidance promulgated thereunder (“Section 409A”), including, but not limited to, by compliance with the short-term deferral exemption as specified in Treas. Reg. § 1.409A-1(b)(4) and the involuntary separation pay exception within the meaning of Treas. Reg. § 1.409A-1(b)(9)(iii), or (ii) in compliance with Section 409A, including, but not limited to, being paid pursuant to a fixed schedule or specified date pursuant to Treas. Reg. § 1.409A-3(a) and the provisions of this Agreement will be administered, interpreted and construed accordingly. Notwithstanding the foregoing provisions of this Agreement, if the payment of any severance compensation or severance benefits under Section 3 would be subject to additional taxes and interest under Section 409A because the timing of such payment is not delayed as provided in Section 409A(a)(2)(B)(i) of the Code, and Executive constitutes a specified employee within the meaning of Section 409A(a)(2)(B)(i) of the Code, then any such payments that Executive would otherwise be entitled to during the first six months following Executive’s separation from service within the meaning of Section 409A(a)(2)(A)(i) of the Code shall be accumulated and paid on the date that is six months after Executive’s separation from service (or if such payment date does not fall on a business day of the Company, the next following business day of the Company), or such earlier date upon which such amount can be paid under Section 409A without being subject to such additional taxes and interest.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29107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
        <w:spacing w:after="0" w:line="255" w:lineRule="auto"/>
        <w:tabs>
          <w:tab w:leader="none" w:pos="903"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No failure by either party hereto at any time to give notice of any breach by the other party of, or to require compliance with, any condition or provision of this Agreement shall be deemed a waiver of similar or dissimilar provisions or conditions at the same or at any prior or subsequent time.</w:t>
      </w:r>
    </w:p>
    <w:p>
      <w:pPr>
        <w:spacing w:after="0" w:line="159" w:lineRule="exact"/>
        <w:rPr>
          <w:rFonts w:ascii="Times New Roman" w:cs="Times New Roman" w:eastAsia="Times New Roman" w:hAnsi="Times New Roman"/>
          <w:sz w:val="21"/>
          <w:szCs w:val="21"/>
          <w:color w:val="010000"/>
        </w:rPr>
      </w:pPr>
    </w:p>
    <w:p>
      <w:pPr>
        <w:jc w:val="both"/>
        <w:ind w:firstLine="6"/>
        <w:spacing w:after="0" w:line="249" w:lineRule="auto"/>
        <w:tabs>
          <w:tab w:leader="none" w:pos="903"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or more counterparts, each of which shall be deemed to be an original, but all of which together will constitute one and the same Agreement. Delivery of an executed counterpart of a signature page of this Agreement by fax copy or scan/email or other electronic transmission (e.g., PDF) shall be effective as delivery of a manually-executed counterpart of this Agreement.</w:t>
      </w:r>
    </w:p>
    <w:p>
      <w:pPr>
        <w:spacing w:after="0" w:line="165" w:lineRule="exact"/>
        <w:rPr>
          <w:rFonts w:ascii="Times New Roman" w:cs="Times New Roman" w:eastAsia="Times New Roman" w:hAnsi="Times New Roman"/>
          <w:sz w:val="21"/>
          <w:szCs w:val="21"/>
          <w:color w:val="010000"/>
        </w:rPr>
      </w:pPr>
    </w:p>
    <w:p>
      <w:pPr>
        <w:ind w:left="900" w:hanging="894"/>
        <w:spacing w:after="0"/>
        <w:tabs>
          <w:tab w:leader="none" w:pos="900"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Section headings have been inserted for purposes of convenience and shall not be used for interpretive</w:t>
      </w:r>
    </w:p>
    <w:p>
      <w:pPr>
        <w:spacing w:after="0" w:line="21"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purposes.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29107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1756"/>
        <w:spacing w:after="0" w:line="272" w:lineRule="auto"/>
        <w:rPr>
          <w:sz w:val="20"/>
          <w:szCs w:val="20"/>
          <w:color w:val="auto"/>
        </w:rPr>
      </w:pPr>
      <w:r>
        <w:rPr>
          <w:rFonts w:ascii="Times New Roman" w:cs="Times New Roman" w:eastAsia="Times New Roman" w:hAnsi="Times New Roman"/>
          <w:sz w:val="21"/>
          <w:szCs w:val="21"/>
          <w:color w:val="auto"/>
        </w:rPr>
        <w:t>IN WITNESS WHEREOF, the parties have caused this Agreement to be executed on the dates set forth below their respective signatures, but effective as of the date and year first above written.</w:t>
      </w:r>
    </w:p>
    <w:p>
      <w:pPr>
        <w:spacing w:after="0" w:line="1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SCHLUMBERGER LIMITED</w:t>
      </w:r>
    </w:p>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color w:val="auto"/>
        </w:rPr>
        <w:t>/s/ Gavin Rennick</w:t>
      </w:r>
    </w:p>
    <w:p>
      <w:pPr>
        <w:spacing w:after="0" w:line="29" w:lineRule="exact"/>
        <w:rPr>
          <w:sz w:val="20"/>
          <w:szCs w:val="20"/>
          <w:color w:val="auto"/>
        </w:rPr>
      </w:pPr>
    </w:p>
    <w:tbl>
      <w:tblPr>
        <w:tblLayout w:type="fixed"/>
        <w:tblInd w:w="5720" w:type="dxa"/>
        <w:tblCellMar>
          <w:top w:w="0" w:type="dxa"/>
          <w:left w:w="0" w:type="dxa"/>
          <w:bottom w:w="0" w:type="dxa"/>
          <w:right w:w="0" w:type="dxa"/>
        </w:tblCellMar>
      </w:tblPr>
      <w:tr>
        <w:trPr>
          <w:trHeight w:val="205"/>
        </w:trPr>
        <w:tc>
          <w:tcPr>
            <w:tcW w:w="460" w:type="dxa"/>
            <w:vAlign w:val="bottom"/>
          </w:tcPr>
          <w:p>
            <w:pPr>
              <w:spacing w:after="0"/>
              <w:rPr>
                <w:sz w:val="17"/>
                <w:szCs w:val="17"/>
                <w:color w:val="auto"/>
              </w:rPr>
            </w:pPr>
          </w:p>
        </w:tc>
        <w:tc>
          <w:tcPr>
            <w:tcW w:w="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21"/>
                <w:szCs w:val="21"/>
                <w:color w:val="auto"/>
              </w:rPr>
              <w:t>Name:</w:t>
            </w:r>
          </w:p>
        </w:tc>
        <w:tc>
          <w:tcPr>
            <w:tcW w:w="442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21"/>
                <w:szCs w:val="21"/>
                <w:color w:val="auto"/>
              </w:rPr>
              <w:t>Gavin Rennick</w:t>
            </w:r>
          </w:p>
        </w:tc>
      </w:tr>
      <w:tr>
        <w:trPr>
          <w:trHeight w:val="239"/>
        </w:trPr>
        <w:tc>
          <w:tcPr>
            <w:tcW w:w="460" w:type="dxa"/>
            <w:vAlign w:val="bottom"/>
          </w:tcPr>
          <w:p>
            <w:pPr>
              <w:spacing w:after="0"/>
              <w:rPr>
                <w:sz w:val="20"/>
                <w:szCs w:val="20"/>
                <w:color w:val="auto"/>
              </w:rPr>
            </w:pPr>
          </w:p>
        </w:tc>
        <w:tc>
          <w:tcPr>
            <w:tcW w:w="820" w:type="dxa"/>
            <w:vAlign w:val="bottom"/>
          </w:tcPr>
          <w:p>
            <w:pPr>
              <w:spacing w:after="0" w:line="239" w:lineRule="exact"/>
              <w:rPr>
                <w:sz w:val="20"/>
                <w:szCs w:val="20"/>
                <w:color w:val="auto"/>
              </w:rPr>
            </w:pPr>
            <w:r>
              <w:rPr>
                <w:rFonts w:ascii="Times New Roman" w:cs="Times New Roman" w:eastAsia="Times New Roman" w:hAnsi="Times New Roman"/>
                <w:sz w:val="21"/>
                <w:szCs w:val="21"/>
                <w:color w:val="auto"/>
              </w:rPr>
              <w:t>Title:</w:t>
            </w:r>
          </w:p>
        </w:tc>
        <w:tc>
          <w:tcPr>
            <w:tcW w:w="4420" w:type="dxa"/>
            <w:vAlign w:val="bottom"/>
          </w:tcPr>
          <w:p>
            <w:pPr>
              <w:ind w:left="80"/>
              <w:spacing w:after="0" w:line="239" w:lineRule="exact"/>
              <w:rPr>
                <w:sz w:val="20"/>
                <w:szCs w:val="20"/>
                <w:color w:val="auto"/>
              </w:rPr>
            </w:pPr>
            <w:r>
              <w:rPr>
                <w:rFonts w:ascii="Times New Roman" w:cs="Times New Roman" w:eastAsia="Times New Roman" w:hAnsi="Times New Roman"/>
                <w:sz w:val="21"/>
                <w:szCs w:val="21"/>
                <w:color w:val="auto"/>
              </w:rPr>
              <w:t>Vice President, Human Resources</w:t>
            </w:r>
          </w:p>
        </w:tc>
      </w:tr>
      <w:tr>
        <w:trPr>
          <w:trHeight w:val="277"/>
        </w:trPr>
        <w:tc>
          <w:tcPr>
            <w:tcW w:w="4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44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December 9, 2019</w:t>
            </w:r>
          </w:p>
        </w:tc>
      </w:tr>
      <w:tr>
        <w:trPr>
          <w:trHeight w:val="664"/>
        </w:trPr>
        <w:tc>
          <w:tcPr>
            <w:tcW w:w="1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EXECUTIVE</w:t>
            </w:r>
          </w:p>
        </w:tc>
        <w:tc>
          <w:tcPr>
            <w:tcW w:w="4420" w:type="dxa"/>
            <w:vAlign w:val="bottom"/>
          </w:tcPr>
          <w:p>
            <w:pPr>
              <w:spacing w:after="0"/>
              <w:rPr>
                <w:sz w:val="24"/>
                <w:szCs w:val="24"/>
                <w:color w:val="auto"/>
              </w:rPr>
            </w:pPr>
          </w:p>
        </w:tc>
      </w:tr>
    </w:tbl>
    <w:p>
      <w:pPr>
        <w:spacing w:after="0" w:line="38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i w:val="1"/>
          <w:iCs w:val="1"/>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18415</wp:posOffset>
            </wp:positionV>
            <wp:extent cx="3624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3624580"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Name: Simon Ayat</w:t>
      </w:r>
    </w:p>
    <w:p>
      <w:pPr>
        <w:ind w:left="5720"/>
        <w:spacing w:after="0"/>
        <w:tabs>
          <w:tab w:leader="none" w:pos="6360" w:val="left"/>
        </w:tabs>
        <w:rPr>
          <w:sz w:val="20"/>
          <w:szCs w:val="20"/>
          <w:color w:val="auto"/>
        </w:rPr>
      </w:pPr>
      <w:r>
        <w:rPr>
          <w:rFonts w:ascii="Times New Roman" w:cs="Times New Roman" w:eastAsia="Times New Roman" w:hAnsi="Times New Roman"/>
          <w:sz w:val="21"/>
          <w:szCs w:val="21"/>
          <w:color w:val="auto"/>
        </w:rPr>
        <w:t>Date:</w:t>
        <w:tab/>
        <w:t>December 9, 2019</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29107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Exhibit A</w:t>
      </w:r>
    </w:p>
    <w:p>
      <w:pPr>
        <w:spacing w:after="0" w:line="2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SCHLUMBERGER LIMITED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WAIVER AND RELEASE</w:t>
      </w:r>
    </w:p>
    <w:p>
      <w:pPr>
        <w:spacing w:after="0" w:line="1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Schlumberger Limited has offered to pay or confer to me, as applicable, certain remuneration and benefits (collectively, the “Consideration”) pursuant to, and subject to the limitations set forth in, my Employment Agreement with Schlumberger Limited effective as of January 22, 2020 (the “Agreement”), which is in addition to any remuneration or benefits to which I am already entitled. The Consideration was offered to me in exchange for my agreement, among other things, to waive all of my claims against and release Schlumberger Limited and its predecessors, successors and assigns (collectively referred to as the “Company”), all of the affiliates (including parents and subsidiaries) of the Company (collectively referred to as the “Affiliates”) and the Company’s and Affiliates’ directors and officers, employees and agents, employee benefit plans and the fiduciaries and agents of such plans (collectively, with the Company and Affiliates, referred to as the “Corporate Group”) from any and all claims, demands, actions, liabilities and damages arising out of or relating in any way to my employment with or separation from the Company or the Affiliates; provided, however, that this Waiver and Release shall not apply to any claim or cause of action to enforce or interpret any provision contained in the Agreement. I have read this Waiver and Release and the Agreement (which, together, are referred to herein as the “Agreement Materials”) and the Agreement is incorporated herein by reference. The payment and delivery, as applicable, of the Consideration is voluntary on the part of the Company and is not required by any legal obligation other than the Agreement. I choose to accept this offer.</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 understand that signing this Waiver and Release is an important legal act. I acknowledge that the Company has advised me in writing to consult an attorney before signing this Waiver and Release. I understand that, in order to be eligible for the Consideration, I must sign and return this Waiver and Release by 5 p.m. on January 24, 2020 to: General Counsel, Schlumberger Limited, 5599 San Felipe, 17th Floor, Houston, TX 77056. I acknowledge that I have been given at least 21 days to consider whether to sign the Agreement and whether to execute this Waiver and Release.</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In exchange for the payment and, as applicable, the delivery to me of the Consideration, which is in addition to any remuneration or benefits to which I am already entitled, I, among other things, (1) agree never to institute, maintain or prosecute, or induce or assist in the instigation, commencement, maintenance or prosecution of any action, suit, proceeding or administrative charge in any forum regarding or relating in any way to my employment with or separation from the Company or the Affiliates, and (2) knowingly and voluntarily waive all claims and release the Corporate Group from any and all claims, demands, actions, liabilities, and damages, whether known or unknown, arising out of or relating in any way to my employment with or separation from the Company or the Affiliates, except to the extent that my rights are vested under the terms of employee benefit plans sponsored by the Company or the Affiliates and except with respect to such rights or claims as may arise after the date this Waiver and Release is executed. This Waiver and Release includes, but is not limited to, claims and causes of action under: Title VII of the Civil Rights Act of 1964, as amended (“Title VII”); the Age Discrimination in Employment Act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29107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of 1967, as amended, including the Older Workers Benefit Protection Act of 1990 (“ADEA’’); the Civil Rights Act of 1866, as amended; the Civil Rights Act of 1991; the Americans with Disabilities Act of 1990 (“ADA”); the Energy Reorganization Act, as amended, 42 U.S.C. § 5851; the Workers Adjustment and Retraining Notification Act of 1988; the Pregnancy Discrimination Act of 1978; the Employee Retirement Income Security Act of 1974, as amended; the Family and Medical Leave Act of 1993; the Occupational Safety and Health Act; claims in connection with workers’ compensation; and/or contract, tort, defamation, slander, wrongful termination or any other state or federal regulatory, statutory or common law. Further, I expressly represent that no promise or agreement which is not expressed in the Agreement Materials has been made to me in executing this Waiver and Release, and that I am relying on my own judgment in executing this Waiver and Release, and that I am not relying on any statement or representation of the Company, any of the Affiliates or any other member of the Corporate Group or any of their agents. I agree that this Waiver and Release is valid, fair, adequate and reasonable, is with my full knowledge and consent, was not procured through fraud, duress or mistake and has not had the effect of misleading, misinforming or failing to inform me. Notwithstanding the above, nothing in this Waiver and Release is intended to (i) release or affect in any way any board resolution or by-law of the Company or other agreement between me and the Company which may provide for indemnity and/or director and officer insurance coverage relating to any potential claim against me arising out of my role as an officer and employee of the Company, (ii) release or affect in any way any claims arising under the Agreement or (iii) prevent me from filing a complaint with, providing information to, or testifying or otherwise assisting in any investigation or proceeding brought by any state, federal or local regulatory or law enforcement agency or legislative body, or (iv) prevent me from filing any claims that are not permitted to be waived or released under applicable law. However, I further agree and covenant that I will not seek or accept any personal, equitable or monetary relief from the Corporate Group in any action, suit, proceeding or administrative charge filed on my behalf by any person, organization or other entity against the Corporate Group. Notwithstanding the foregoing, I understand and the Company agrees, that nothing in the Agreement or this Waiver and Release prohibits me from reporting to any governmental authority information concerning possible violations of law or regulation, making other disclosures that are protected under the whistleblower provisions of federal law or regulation or receiving an award for information provided to any government agency (collectively the “Protected Disclosures”). This Agreement and the Waiver and Release do not limit my right to receive an award for information provided to any governmental agencies. Pursuant to the Defend Trade Secrets Act of 2016, I understand that I will not be held criminally or civilly liable under any federal or state trade secret law for the disclosure of any secret or Confidential Information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29107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I acknowledge that payment and, as applicable, the delivery of the Consideration to me by the Company is not an admission by the Company or any other member of the Corporate Group that they engaged in any wrongful or unlawful act or that the Company or any member of the Corporate Group violated any federal or state law or regulation. Except as provided in the Agreement Materials, I acknowledge that neither the Company nor any other member of the Corporate Group has promised me continued employment or represented to me that I will be rehired in the future. I acknowledge that the Company and I contemplate an unequivocal, complete and final dissolution of my employment relationship following the Term (as defined in the Agreement) or if my employment is terminated sooner pursuant to Section 4 of the Agreement, upon such termination. I acknowledge that this Waiver and Release does not create any right on my part to be rehired by the Company or the Affiliates and I hereby waive any right to future employment by the Company or any other member of the Corporate Group.</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Subject to the provisions above regarding Protected Disclosures, both the Company and I agree to refrain from any criticisms or disparaging comments about each other or in any way relating to my employment or separation and the Company and I specifically acknowledge that our willingness to enter into this Waiver and Release is in anticipation of our fidelity to this commitment. The above is not intended to restrict me from seeking or engaging in other employment (subject to my noncompetition covenant contained in the Agreement) and, in that connection, from (i) disclosing to prospective employers the restrictive covenants in the Agreement to which I am bound (including as to non-competition, non-solicitation and non-disparagement) or (ii) making confidential disclosure to potential employers of such facts or opinions as I may elect to convey, nor is it intended to restrict the Company from conducting such confidential internal communications as may be necessary to manage this resignation in a businesslike way.</w:t>
      </w:r>
    </w:p>
    <w:p>
      <w:pPr>
        <w:spacing w:after="0" w:line="1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and the other Agreement Materials set forth the entire understanding and agreement between me and the Company or any other member of the Corporate Group concerning the subject matter of this Waiver and Release and supersede any prior or contemporaneous oral and written agreements or representations, if any, between me and the Company or any other member of the Corporate Group. I understand that for a period of 7 calendar days following the date that I sign this Waiver and Release, I may revoke my acceptance of the offer, provided that my written statement of revocation is received on or before that seventh day by the Vice President, Human Resources, of Schlumberger Limited – Houston, in which case the Waiver and Release will not become effective. In the event I revoke my acceptance of this offer, the Company shall have no obligation to pay, or otherwise deliver to me, any part of the Consideration. I understand that failure to revoke my acceptance of the offer within seven (7) calendar days from the date I sign this Waiver and Release will result in this Waiver and Release being permanent and irrevocable.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29107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any other member of the Corporate Group which occur after the date of the execution of this Waiver and Release.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35483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3548380" cy="8255"/>
                    </a:xfrm>
                    <a:prstGeom prst="rect">
                      <a:avLst/>
                    </a:prstGeom>
                    <a:noFill/>
                  </pic:spPr>
                </pic:pic>
              </a:graphicData>
            </a:graphic>
          </wp:anchor>
        </w:drawing>
      </w:r>
    </w:p>
    <w:p>
      <w:pPr>
        <w:spacing w:after="0" w:line="12"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21"/>
          <w:szCs w:val="21"/>
          <w:color w:val="auto"/>
        </w:rPr>
        <w:t>Employee’s Printed Name</w:t>
      </w:r>
      <w:r>
        <w:rPr>
          <w:sz w:val="20"/>
          <w:szCs w:val="20"/>
          <w:color w:val="auto"/>
        </w:rPr>
        <w:tab/>
      </w:r>
      <w:r>
        <w:rPr>
          <w:rFonts w:ascii="Times New Roman" w:cs="Times New Roman" w:eastAsia="Times New Roman" w:hAnsi="Times New Roman"/>
          <w:sz w:val="21"/>
          <w:szCs w:val="21"/>
          <w:color w:val="auto"/>
        </w:rPr>
        <w:t>Name: Gavin Rennick</w:t>
      </w:r>
    </w:p>
    <w:p>
      <w:pPr>
        <w:ind w:left="5820"/>
        <w:spacing w:after="0"/>
        <w:rPr>
          <w:sz w:val="20"/>
          <w:szCs w:val="20"/>
          <w:color w:val="auto"/>
        </w:rPr>
      </w:pPr>
      <w:r>
        <w:rPr>
          <w:rFonts w:ascii="Times New Roman" w:cs="Times New Roman" w:eastAsia="Times New Roman" w:hAnsi="Times New Roman"/>
          <w:sz w:val="21"/>
          <w:szCs w:val="21"/>
          <w:color w:val="auto"/>
        </w:rPr>
        <w:t>Company Representative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20" w:type="dxa"/>
            <w:vAlign w:val="bottom"/>
            <w:gridSpan w:val="2"/>
          </w:tcPr>
          <w:p>
            <w:pPr>
              <w:spacing w:after="0"/>
              <w:rPr>
                <w:sz w:val="20"/>
                <w:szCs w:val="20"/>
                <w:color w:val="auto"/>
              </w:rPr>
            </w:pPr>
            <w:r>
              <w:rPr>
                <w:rFonts w:ascii="Times New Roman" w:cs="Times New Roman" w:eastAsia="Times New Roman" w:hAnsi="Times New Roman"/>
                <w:sz w:val="21"/>
                <w:szCs w:val="21"/>
                <w:i w:val="1"/>
                <w:iCs w:val="1"/>
                <w:color w:val="auto"/>
              </w:rPr>
              <w:t>/s/ Simon Ayat</w:t>
            </w:r>
          </w:p>
        </w:tc>
        <w:tc>
          <w:tcPr>
            <w:tcW w:w="560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/s/ Gavin Rennick</w:t>
            </w:r>
          </w:p>
        </w:tc>
      </w:tr>
      <w:tr>
        <w:trPr>
          <w:trHeight w:val="271"/>
        </w:trPr>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rPr>
              <w:t>Employee’s Signature</w:t>
            </w:r>
          </w:p>
        </w:tc>
        <w:tc>
          <w:tcPr>
            <w:tcW w:w="220" w:type="dxa"/>
            <w:vAlign w:val="bottom"/>
          </w:tcPr>
          <w:p>
            <w:pPr>
              <w:spacing w:after="0"/>
              <w:rPr>
                <w:sz w:val="23"/>
                <w:szCs w:val="23"/>
                <w:color w:val="auto"/>
              </w:rPr>
            </w:pPr>
          </w:p>
        </w:tc>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rPr>
              <w:t>Company’s Signature Date: December 9, 2019</w:t>
            </w: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December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35483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354838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Employee’s Signature Date: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420"/>
          </w:cols>
          <w:pgMar w:left="240" w:top="108"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Subsidiaries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Listed below are the significant subsidiaries of the Registrant as of December 31, 2019,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2019.</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B.V., Netherlands</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Cameron Lux I SARL, Luxembourg</w:t>
      </w:r>
    </w:p>
    <w:p>
      <w:pPr>
        <w:spacing w:after="0" w:line="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OneSubsea SARL, Luxembourg</w:t>
      </w:r>
    </w:p>
    <w:p>
      <w:pPr>
        <w:spacing w:after="0" w:line="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Schlumberger Canada Limited, Canada</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SA, France</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Services Petroliers Schlumberger, France</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Norge AS, Norway</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Holdings Corporation, Delaware</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Cameron International Corporation, Delaware</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Technology Corporation, Texas</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Smith International Inc., Delaware</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UK Limited, UK</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Plc, UK</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Schlumberger Oilfield UK Plc, UK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Oilfield Holdings Limited, BVI</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Holdings II Limited, BVI</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Dowell Schlumberger Corporation, BVI</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Logelco, Inc., Panama</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Middle East SA., Panama</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Offshore Services Limited, BVI</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Overseas, SA, Panama</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Seaco, Inc., Panama</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Schlumberger Oilfield Eastern Ltd., BVI</w:t>
      </w:r>
    </w:p>
    <w:p>
      <w:pPr>
        <w:sectPr>
          <w:pgSz w:w="11900" w:h="16838" w:orient="portrait"/>
          <w:cols w:equalWidth="0" w:num="1">
            <w:col w:w="11420"/>
          </w:cols>
          <w:pgMar w:left="240" w:top="331"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6"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333-104225; 333-115277; 333-124534; 333-151920; 333-173055, as amended by post-effective amendment on Form S-8; 333-188589; 333-188590; 333-218181; 333-218182; and 333-231025); on Form S-3 (Nos. 333-221161 and 333-231029); on Form S-4 (No. 333-97899); and on Form S-4 as amended by post-effective amendment on Form S-8 (Nos. 333-207260 and 333-166326) of Schlumberger Limited of our report dated January 22, 2020 relating to the consolidated financial statements and the effectiveness of internal control over financial reporting, which appears in this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8288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2020</w:t>
      </w:r>
    </w:p>
    <w:p>
      <w:pPr>
        <w:sectPr>
          <w:pgSz w:w="11900" w:h="16838" w:orient="portrait"/>
          <w:cols w:equalWidth="0" w:num="1">
            <w:col w:w="11420"/>
          </w:cols>
          <w:pgMar w:left="240" w:top="331"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Each of the undersigned, in the capacity or capacities set forth below his or her signature as a member of the Board of Directors and/or an officer of Schlumberger Limited, a Curaçao company, hereby appoints Howard Guild and Alexander C. Juden,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2019, and any amendment or amendments to any such Annual Report on Form 10-K, and any agreements, consents or waivers related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420"/>
          </w:cols>
          <w:pgMar w:left="240" w:top="3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 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200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3220085" cy="8255"/>
                    </a:xfrm>
                    <a:prstGeom prst="rect">
                      <a:avLst/>
                    </a:prstGeom>
                    <a:noFill/>
                  </pic:spPr>
                </pic:pic>
              </a:graphicData>
            </a:graphic>
          </wp:anchor>
        </w:drawing>
      </w:r>
    </w:p>
    <w:p>
      <w:pPr>
        <w:spacing w:after="0" w:line="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Peter L.S. Currie</w:t>
      </w:r>
    </w:p>
    <w:p>
      <w:pPr>
        <w:spacing w:after="0" w:line="1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 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200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3220085" cy="8255"/>
                    </a:xfrm>
                    <a:prstGeom prst="rect">
                      <a:avLst/>
                    </a:prstGeom>
                    <a:noFill/>
                  </pic:spPr>
                </pic:pic>
              </a:graphicData>
            </a:graphic>
          </wp:anchor>
        </w:drawing>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Patrick de La Chevardière</w:t>
      </w:r>
    </w:p>
    <w:p>
      <w:pPr>
        <w:spacing w:after="0" w:line="1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7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 Miguel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200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3220085" cy="8255"/>
                    </a:xfrm>
                    <a:prstGeom prst="rect">
                      <a:avLst/>
                    </a:prstGeom>
                    <a:noFill/>
                  </pic:spPr>
                </pic:pic>
              </a:graphicData>
            </a:graphic>
          </wp:anchor>
        </w:drawing>
      </w:r>
    </w:p>
    <w:p>
      <w:pPr>
        <w:spacing w:after="0" w:line="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Miguel Galuccio</w:t>
      </w:r>
    </w:p>
    <w:p>
      <w:pPr>
        <w:spacing w:after="0" w:line="1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5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200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3220085" cy="8255"/>
                    </a:xfrm>
                    <a:prstGeom prst="rect">
                      <a:avLst/>
                    </a:prstGeom>
                    <a:noFill/>
                  </pic:spPr>
                </pic:pic>
              </a:graphicData>
            </a:graphic>
          </wp:anchor>
        </w:drawing>
      </w:r>
    </w:p>
    <w:p>
      <w:pPr>
        <w:spacing w:after="0" w:line="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Nikolay Kudryavtsev</w:t>
      </w:r>
    </w:p>
    <w:p>
      <w:pPr>
        <w:spacing w:after="0" w:line="1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5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200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3220085" cy="8255"/>
                    </a:xfrm>
                    <a:prstGeom prst="rect">
                      <a:avLst/>
                    </a:prstGeom>
                    <a:noFill/>
                  </pic:spPr>
                </pic:pic>
              </a:graphicData>
            </a:graphic>
          </wp:anchor>
        </w:drawing>
      </w:r>
    </w:p>
    <w:p>
      <w:pPr>
        <w:spacing w:after="0" w:line="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Olivier Le Peuch</w:t>
      </w:r>
    </w:p>
    <w:p>
      <w:pPr>
        <w:spacing w:after="0" w:line="1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200" w:lineRule="exact"/>
        <w:rPr>
          <w:sz w:val="20"/>
          <w:szCs w:val="20"/>
          <w:color w:val="auto"/>
        </w:rPr>
      </w:pPr>
    </w:p>
    <w:p>
      <w:pPr>
        <w:spacing w:after="0" w:line="2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Tatiana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200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3220085" cy="8255"/>
                    </a:xfrm>
                    <a:prstGeom prst="rect">
                      <a:avLst/>
                    </a:prstGeom>
                    <a:noFill/>
                  </pic:spPr>
                </pic:pic>
              </a:graphicData>
            </a:graphic>
          </wp:anchor>
        </w:drawing>
      </w:r>
    </w:p>
    <w:p>
      <w:pPr>
        <w:spacing w:after="0" w:line="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Tatiana Mitrova</w:t>
      </w:r>
    </w:p>
    <w:p>
      <w:pPr>
        <w:spacing w:after="0" w:line="1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Indra K. Nooyi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15240</wp:posOffset>
            </wp:positionV>
            <wp:extent cx="32283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Indra K. Nooyi</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15240</wp:posOffset>
            </wp:positionV>
            <wp:extent cx="32283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Lubna S. Olayan</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Mark G. Papa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15240</wp:posOffset>
            </wp:positionV>
            <wp:extent cx="32283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Mark G. Papa</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Chairman</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15240</wp:posOffset>
            </wp:positionV>
            <wp:extent cx="32283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Leo Rafael Reif</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15240</wp:posOffset>
            </wp:positionV>
            <wp:extent cx="32283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Henri Seydoux</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Jeff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15240</wp:posOffset>
            </wp:positionV>
            <wp:extent cx="32283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Jeff W. Sheets</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ectPr>
          <w:pgSz w:w="11900" w:h="16838" w:orient="portrait"/>
          <w:cols w:equalWidth="0" w:num="2">
            <w:col w:w="7440" w:space="720"/>
            <w:col w:w="3260"/>
          </w:cols>
          <w:pgMar w:left="240" w:top="332" w:right="2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January 17, 2020</w:t>
      </w:r>
    </w:p>
    <w:p>
      <w:pPr>
        <w:sectPr>
          <w:pgSz w:w="11900" w:h="16838" w:orient="portrait"/>
          <w:cols w:equalWidth="0" w:num="1">
            <w:col w:w="11420"/>
          </w:cols>
          <w:pgMar w:left="240" w:top="332" w:right="23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Le Peuch, certify that:</w:t>
      </w:r>
    </w:p>
    <w:p>
      <w:pPr>
        <w:spacing w:after="0" w:line="112" w:lineRule="exact"/>
        <w:rPr>
          <w:sz w:val="20"/>
          <w:szCs w:val="20"/>
          <w:color w:val="auto"/>
        </w:rPr>
      </w:pPr>
    </w:p>
    <w:p>
      <w:pPr>
        <w:ind w:left="560" w:hanging="174"/>
        <w:spacing w:after="0"/>
        <w:tabs>
          <w:tab w:leader="none" w:pos="5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Schlumberger Limited;</w:t>
      </w:r>
    </w:p>
    <w:p>
      <w:pPr>
        <w:spacing w:after="0" w:line="111" w:lineRule="exact"/>
        <w:rPr>
          <w:rFonts w:ascii="Times New Roman" w:cs="Times New Roman" w:eastAsia="Times New Roman" w:hAnsi="Times New Roman"/>
          <w:sz w:val="18"/>
          <w:szCs w:val="18"/>
          <w:color w:val="auto"/>
        </w:rPr>
      </w:pPr>
    </w:p>
    <w:p>
      <w:pPr>
        <w:ind w:firstLine="386"/>
        <w:spacing w:after="0" w:line="274" w:lineRule="auto"/>
        <w:tabs>
          <w:tab w:leader="none" w:pos="5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Times New Roman" w:cs="Times New Roman" w:eastAsia="Times New Roman" w:hAnsi="Times New Roman"/>
          <w:sz w:val="18"/>
          <w:szCs w:val="18"/>
          <w:color w:val="auto"/>
        </w:rPr>
      </w:pPr>
    </w:p>
    <w:p>
      <w:pPr>
        <w:ind w:firstLine="386"/>
        <w:spacing w:after="0" w:line="274" w:lineRule="auto"/>
        <w:tabs>
          <w:tab w:leader="none" w:pos="58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Times New Roman" w:cs="Times New Roman" w:eastAsia="Times New Roman" w:hAnsi="Times New Roman"/>
          <w:sz w:val="18"/>
          <w:szCs w:val="18"/>
          <w:color w:val="auto"/>
        </w:rPr>
      </w:pPr>
    </w:p>
    <w:p>
      <w:pPr>
        <w:jc w:val="both"/>
        <w:ind w:firstLine="386"/>
        <w:spacing w:after="0" w:line="260" w:lineRule="auto"/>
        <w:tabs>
          <w:tab w:leader="none" w:pos="5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jc w:val="both"/>
        <w:ind w:left="1040" w:hanging="516"/>
        <w:spacing w:after="0" w:line="260" w:lineRule="auto"/>
        <w:tabs>
          <w:tab w:leader="none" w:pos="10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jc w:val="both"/>
        <w:ind w:left="1040" w:hanging="516"/>
        <w:spacing w:after="0" w:line="260" w:lineRule="auto"/>
        <w:tabs>
          <w:tab w:leader="none" w:pos="10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ind w:left="1040" w:hanging="516"/>
        <w:spacing w:after="0" w:line="274" w:lineRule="auto"/>
        <w:tabs>
          <w:tab w:leader="none" w:pos="10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8"/>
          <w:szCs w:val="18"/>
          <w:color w:val="auto"/>
        </w:rPr>
      </w:pPr>
    </w:p>
    <w:p>
      <w:pPr>
        <w:jc w:val="both"/>
        <w:ind w:left="1040" w:hanging="516"/>
        <w:spacing w:after="0" w:line="260" w:lineRule="auto"/>
        <w:tabs>
          <w:tab w:leader="none" w:pos="10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firstLine="386"/>
        <w:spacing w:after="0" w:line="274" w:lineRule="auto"/>
        <w:tabs>
          <w:tab w:leader="none" w:pos="5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8"/>
          <w:szCs w:val="18"/>
          <w:color w:val="auto"/>
        </w:rPr>
      </w:pPr>
    </w:p>
    <w:p>
      <w:pPr>
        <w:ind w:left="1040" w:hanging="516"/>
        <w:spacing w:after="0" w:line="274" w:lineRule="auto"/>
        <w:tabs>
          <w:tab w:leader="none" w:pos="10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Times New Roman" w:cs="Times New Roman" w:eastAsia="Times New Roman" w:hAnsi="Times New Roman"/>
          <w:sz w:val="18"/>
          <w:szCs w:val="18"/>
          <w:color w:val="auto"/>
        </w:rPr>
      </w:pPr>
    </w:p>
    <w:p>
      <w:pPr>
        <w:ind w:left="1040" w:hanging="516"/>
        <w:spacing w:after="0" w:line="274" w:lineRule="auto"/>
        <w:tabs>
          <w:tab w:leader="none" w:pos="10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22, 2020</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Olivier Le Peuch</w:t>
            </w:r>
          </w:p>
        </w:tc>
      </w:tr>
      <w:tr>
        <w:trPr>
          <w:trHeight w:val="187"/>
        </w:trPr>
        <w:tc>
          <w:tcPr>
            <w:tcW w:w="6860" w:type="dxa"/>
            <w:vAlign w:val="bottom"/>
          </w:tcPr>
          <w:p>
            <w:pPr>
              <w:spacing w:after="0"/>
              <w:rPr>
                <w:sz w:val="16"/>
                <w:szCs w:val="16"/>
                <w:color w:val="auto"/>
              </w:rPr>
            </w:pPr>
          </w:p>
        </w:tc>
        <w:tc>
          <w:tcPr>
            <w:tcW w:w="4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Olivier Le Peuch</w:t>
            </w:r>
          </w:p>
        </w:tc>
      </w:tr>
      <w:tr>
        <w:trPr>
          <w:trHeight w:val="232"/>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331"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Schlumberger Limited;</w:t>
      </w:r>
    </w:p>
    <w:p>
      <w:pPr>
        <w:spacing w:after="0" w:line="111" w:lineRule="exact"/>
        <w:rPr>
          <w:rFonts w:ascii="Times New Roman" w:cs="Times New Roman" w:eastAsia="Times New Roman" w:hAnsi="Times New Roman"/>
          <w:sz w:val="18"/>
          <w:szCs w:val="18"/>
          <w:color w:val="auto"/>
        </w:rPr>
      </w:pPr>
    </w:p>
    <w:p>
      <w:pPr>
        <w:ind w:firstLine="386"/>
        <w:spacing w:after="0" w:line="274" w:lineRule="auto"/>
        <w:tabs>
          <w:tab w:leader="none" w:pos="5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Times New Roman" w:cs="Times New Roman" w:eastAsia="Times New Roman" w:hAnsi="Times New Roman"/>
          <w:sz w:val="18"/>
          <w:szCs w:val="18"/>
          <w:color w:val="auto"/>
        </w:rPr>
      </w:pPr>
    </w:p>
    <w:p>
      <w:pPr>
        <w:ind w:firstLine="386"/>
        <w:spacing w:after="0" w:line="274" w:lineRule="auto"/>
        <w:tabs>
          <w:tab w:leader="none" w:pos="58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Times New Roman" w:cs="Times New Roman" w:eastAsia="Times New Roman" w:hAnsi="Times New Roman"/>
          <w:sz w:val="18"/>
          <w:szCs w:val="18"/>
          <w:color w:val="auto"/>
        </w:rPr>
      </w:pPr>
    </w:p>
    <w:p>
      <w:pPr>
        <w:jc w:val="both"/>
        <w:ind w:firstLine="386"/>
        <w:spacing w:after="0" w:line="260" w:lineRule="auto"/>
        <w:tabs>
          <w:tab w:leader="none" w:pos="5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jc w:val="both"/>
        <w:ind w:left="1040" w:hanging="516"/>
        <w:spacing w:after="0" w:line="260"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jc w:val="both"/>
        <w:ind w:left="1040" w:hanging="516"/>
        <w:spacing w:after="0" w:line="260"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ind w:left="1040" w:hanging="516"/>
        <w:spacing w:after="0" w:line="274"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8"/>
          <w:szCs w:val="18"/>
          <w:color w:val="auto"/>
        </w:rPr>
      </w:pPr>
    </w:p>
    <w:p>
      <w:pPr>
        <w:jc w:val="both"/>
        <w:ind w:left="1040" w:hanging="516"/>
        <w:spacing w:after="0" w:line="260"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firstLine="386"/>
        <w:spacing w:after="0" w:line="274" w:lineRule="auto"/>
        <w:tabs>
          <w:tab w:leader="none" w:pos="57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8"/>
          <w:szCs w:val="18"/>
          <w:color w:val="auto"/>
        </w:rPr>
      </w:pPr>
    </w:p>
    <w:p>
      <w:pPr>
        <w:ind w:left="1040" w:hanging="516"/>
        <w:spacing w:after="0" w:line="274"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Times New Roman" w:cs="Times New Roman" w:eastAsia="Times New Roman" w:hAnsi="Times New Roman"/>
          <w:sz w:val="18"/>
          <w:szCs w:val="18"/>
          <w:color w:val="auto"/>
        </w:rPr>
      </w:pPr>
    </w:p>
    <w:p>
      <w:pPr>
        <w:ind w:left="1040" w:hanging="516"/>
        <w:spacing w:after="0" w:line="274"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22, 2020</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Ayat</w:t>
            </w:r>
          </w:p>
        </w:tc>
      </w:tr>
      <w:tr>
        <w:trPr>
          <w:trHeight w:val="187"/>
        </w:trPr>
        <w:tc>
          <w:tcPr>
            <w:tcW w:w="6860" w:type="dxa"/>
            <w:vAlign w:val="bottom"/>
          </w:tcPr>
          <w:p>
            <w:pPr>
              <w:spacing w:after="0"/>
              <w:rPr>
                <w:sz w:val="16"/>
                <w:szCs w:val="16"/>
                <w:color w:val="auto"/>
              </w:rPr>
            </w:pPr>
          </w:p>
        </w:tc>
        <w:tc>
          <w:tcPr>
            <w:tcW w:w="4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Simon Ayat</w:t>
            </w:r>
          </w:p>
        </w:tc>
      </w:tr>
      <w:tr>
        <w:trPr>
          <w:trHeight w:val="232"/>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420"/>
          </w:cols>
          <w:pgMar w:left="240" w:top="331"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on Form 10-K of Schlumberger N.V. (Schlumberger Limited) (the “Company”) for the year ended December 31, 2019 as filed with the Securities and Exchange Commission on the date hereof (the “Report”), I, Olivier Le Peuch, Chief Executive Officer of the Company, certify, pursuant to 18 U.S.C. § 1350, as adopted pursuant to § 906 of the Sarbanes-Oxley Act of 2002, that:</w:t>
      </w:r>
    </w:p>
    <w:p>
      <w:pPr>
        <w:spacing w:after="0" w:line="71" w:lineRule="exact"/>
        <w:rPr>
          <w:sz w:val="20"/>
          <w:szCs w:val="20"/>
          <w:color w:val="auto"/>
        </w:rPr>
      </w:pPr>
    </w:p>
    <w:p>
      <w:pPr>
        <w:ind w:left="1020" w:hanging="509"/>
        <w:spacing w:after="0" w:line="274"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8" w:lineRule="exact"/>
        <w:rPr>
          <w:rFonts w:ascii="Times New Roman" w:cs="Times New Roman" w:eastAsia="Times New Roman" w:hAnsi="Times New Roman"/>
          <w:sz w:val="18"/>
          <w:szCs w:val="18"/>
          <w:color w:val="auto"/>
        </w:rPr>
      </w:pPr>
    </w:p>
    <w:p>
      <w:pPr>
        <w:ind w:left="1020" w:hanging="509"/>
        <w:spacing w:after="0"/>
        <w:tabs>
          <w:tab w:leader="none" w:pos="10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22, 2020</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Olivier Le Peuch</w:t>
            </w:r>
          </w:p>
        </w:tc>
      </w:tr>
      <w:tr>
        <w:trPr>
          <w:trHeight w:val="187"/>
        </w:trPr>
        <w:tc>
          <w:tcPr>
            <w:tcW w:w="6720" w:type="dxa"/>
            <w:vAlign w:val="bottom"/>
          </w:tcPr>
          <w:p>
            <w:pPr>
              <w:spacing w:after="0"/>
              <w:rPr>
                <w:sz w:val="16"/>
                <w:szCs w:val="16"/>
                <w:color w:val="auto"/>
              </w:rPr>
            </w:pPr>
          </w:p>
        </w:tc>
        <w:tc>
          <w:tcPr>
            <w:tcW w:w="47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Olivier Le Peuch</w:t>
            </w:r>
          </w:p>
        </w:tc>
      </w:tr>
      <w:tr>
        <w:trPr>
          <w:trHeight w:val="232"/>
        </w:trPr>
        <w:tc>
          <w:tcPr>
            <w:tcW w:w="67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331"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on Form 10-K of Schlumberger N.V. (Schlumberger Limited) (the “Company”) for the year ended December 31, 2019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71" w:lineRule="exact"/>
        <w:rPr>
          <w:sz w:val="20"/>
          <w:szCs w:val="20"/>
          <w:color w:val="auto"/>
        </w:rPr>
      </w:pPr>
    </w:p>
    <w:p>
      <w:pPr>
        <w:ind w:left="1020" w:hanging="509"/>
        <w:spacing w:after="0" w:line="274"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8" w:lineRule="exact"/>
        <w:rPr>
          <w:rFonts w:ascii="Times New Roman" w:cs="Times New Roman" w:eastAsia="Times New Roman" w:hAnsi="Times New Roman"/>
          <w:sz w:val="18"/>
          <w:szCs w:val="18"/>
          <w:color w:val="auto"/>
        </w:rPr>
      </w:pPr>
    </w:p>
    <w:p>
      <w:pPr>
        <w:ind w:left="1020" w:hanging="509"/>
        <w:spacing w:after="0"/>
        <w:tabs>
          <w:tab w:leader="none" w:pos="10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22, 2020</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Ayat</w:t>
            </w:r>
          </w:p>
        </w:tc>
      </w:tr>
      <w:tr>
        <w:trPr>
          <w:trHeight w:val="187"/>
        </w:trPr>
        <w:tc>
          <w:tcPr>
            <w:tcW w:w="6720" w:type="dxa"/>
            <w:vAlign w:val="bottom"/>
          </w:tcPr>
          <w:p>
            <w:pPr>
              <w:spacing w:after="0"/>
              <w:rPr>
                <w:sz w:val="16"/>
                <w:szCs w:val="16"/>
                <w:color w:val="auto"/>
              </w:rPr>
            </w:pPr>
          </w:p>
        </w:tc>
        <w:tc>
          <w:tcPr>
            <w:tcW w:w="47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Simon Ayat</w:t>
            </w:r>
          </w:p>
        </w:tc>
      </w:tr>
      <w:tr>
        <w:trPr>
          <w:trHeight w:val="232"/>
        </w:trPr>
        <w:tc>
          <w:tcPr>
            <w:tcW w:w="67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331"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95</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20" w:lineRule="exact"/>
        <w:rPr>
          <w:sz w:val="20"/>
          <w:szCs w:val="20"/>
          <w:color w:val="auto"/>
        </w:rPr>
      </w:pPr>
    </w:p>
    <w:p>
      <w:pPr>
        <w:jc w:val="both"/>
        <w:ind w:firstLine="518"/>
        <w:spacing w:after="0" w:line="260" w:lineRule="auto"/>
        <w:rPr>
          <w:sz w:val="20"/>
          <w:szCs w:val="20"/>
          <w:color w:val="auto"/>
        </w:rPr>
      </w:pPr>
      <w:r>
        <w:rPr>
          <w:rFonts w:ascii="Times New Roman" w:cs="Times New Roman" w:eastAsia="Times New Roman" w:hAnsi="Times New Roman"/>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7" w:lineRule="exact"/>
        <w:rPr>
          <w:sz w:val="20"/>
          <w:szCs w:val="20"/>
          <w:color w:val="auto"/>
        </w:rPr>
      </w:pPr>
    </w:p>
    <w:p>
      <w:pPr>
        <w:jc w:val="both"/>
        <w:ind w:firstLine="518"/>
        <w:spacing w:after="0" w:line="260" w:lineRule="auto"/>
        <w:rPr>
          <w:sz w:val="20"/>
          <w:szCs w:val="20"/>
          <w:color w:val="auto"/>
        </w:rPr>
      </w:pPr>
      <w:r>
        <w:rPr>
          <w:rFonts w:ascii="Times New Roman" w:cs="Times New Roman" w:eastAsia="Times New Roman" w:hAnsi="Times New Roman"/>
          <w:sz w:val="18"/>
          <w:szCs w:val="18"/>
          <w:color w:val="auto"/>
        </w:rPr>
        <w:t>The table that follows reflects citations, orders, violations and proposed assessments issued by the Mine Safety and Health Administration (the “MSHA”) to indirect subsidiaries of Schlumberger. The disclosure is with respect to the full year ended December 31, 2019. Due to timing and other factors, the data may not agree with the mine data retrieval system maintained by the MSHA at www.MSHA.gov.</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2019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(whole dollars)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Received</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Received</w:t>
            </w: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center"/>
              <w:ind w:left="58"/>
              <w:spacing w:after="0" w:line="133" w:lineRule="exact"/>
              <w:rPr>
                <w:sz w:val="20"/>
                <w:szCs w:val="20"/>
                <w:color w:val="auto"/>
              </w:rPr>
            </w:pPr>
            <w:r>
              <w:rPr>
                <w:rFonts w:ascii="Times New Roman" w:cs="Times New Roman" w:eastAsia="Times New Roman" w:hAnsi="Times New Roman"/>
                <w:sz w:val="12"/>
                <w:szCs w:val="12"/>
                <w:color w:val="auto"/>
              </w:rPr>
              <w:t>Notice of</w:t>
            </w:r>
          </w:p>
        </w:tc>
        <w:tc>
          <w:tcPr>
            <w:tcW w:w="840" w:type="dxa"/>
            <w:vAlign w:val="bottom"/>
          </w:tcPr>
          <w:p>
            <w:pPr>
              <w:jc w:val="center"/>
              <w:ind w:left="38"/>
              <w:spacing w:after="0" w:line="133" w:lineRule="exact"/>
              <w:rPr>
                <w:sz w:val="20"/>
                <w:szCs w:val="20"/>
                <w:color w:val="auto"/>
              </w:rPr>
            </w:pPr>
            <w:r>
              <w:rPr>
                <w:rFonts w:ascii="Times New Roman" w:cs="Times New Roman" w:eastAsia="Times New Roman" w:hAnsi="Times New Roman"/>
                <w:sz w:val="12"/>
                <w:szCs w:val="12"/>
                <w:color w:val="auto"/>
              </w:rPr>
              <w:t>Notice of</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center"/>
              <w:ind w:left="58"/>
              <w:spacing w:after="0" w:line="133" w:lineRule="exact"/>
              <w:rPr>
                <w:sz w:val="20"/>
                <w:szCs w:val="20"/>
                <w:color w:val="auto"/>
              </w:rPr>
            </w:pPr>
            <w:r>
              <w:rPr>
                <w:rFonts w:ascii="Times New Roman" w:cs="Times New Roman" w:eastAsia="Times New Roman" w:hAnsi="Times New Roman"/>
                <w:sz w:val="12"/>
                <w:szCs w:val="12"/>
                <w:color w:val="auto"/>
              </w:rPr>
              <w:t>Pattern of</w:t>
            </w:r>
          </w:p>
        </w:tc>
        <w:tc>
          <w:tcPr>
            <w:tcW w:w="840" w:type="dxa"/>
            <w:vAlign w:val="bottom"/>
          </w:tcPr>
          <w:p>
            <w:pPr>
              <w:jc w:val="center"/>
              <w:ind w:left="58"/>
              <w:spacing w:after="0" w:line="133" w:lineRule="exact"/>
              <w:rPr>
                <w:sz w:val="20"/>
                <w:szCs w:val="20"/>
                <w:color w:val="auto"/>
              </w:rPr>
            </w:pPr>
            <w:r>
              <w:rPr>
                <w:rFonts w:ascii="Times New Roman" w:cs="Times New Roman" w:eastAsia="Times New Roman" w:hAnsi="Times New Roman"/>
                <w:sz w:val="12"/>
                <w:szCs w:val="12"/>
                <w:color w:val="auto"/>
              </w:rPr>
              <w:t>Potential to</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jc w:val="center"/>
              <w:ind w:left="118"/>
              <w:spacing w:after="0" w:line="133" w:lineRule="exact"/>
              <w:rPr>
                <w:sz w:val="20"/>
                <w:szCs w:val="20"/>
                <w:color w:val="auto"/>
              </w:rPr>
            </w:pPr>
            <w:r>
              <w:rPr>
                <w:rFonts w:ascii="Times New Roman" w:cs="Times New Roman" w:eastAsia="Times New Roman" w:hAnsi="Times New Roman"/>
                <w:sz w:val="12"/>
                <w:szCs w:val="12"/>
                <w:color w:val="auto"/>
              </w:rPr>
              <w:t>Total Dollar</w:t>
            </w:r>
          </w:p>
        </w:tc>
        <w:tc>
          <w:tcPr>
            <w:tcW w:w="700" w:type="dxa"/>
            <w:vAlign w:val="bottom"/>
          </w:tcPr>
          <w:p>
            <w:pPr>
              <w:spacing w:after="0"/>
              <w:rPr>
                <w:sz w:val="11"/>
                <w:szCs w:val="11"/>
                <w:color w:val="auto"/>
              </w:rPr>
            </w:pPr>
          </w:p>
        </w:tc>
        <w:tc>
          <w:tcPr>
            <w:tcW w:w="780" w:type="dxa"/>
            <w:vAlign w:val="bottom"/>
          </w:tcPr>
          <w:p>
            <w:pPr>
              <w:jc w:val="center"/>
              <w:ind w:left="58"/>
              <w:spacing w:after="0" w:line="133" w:lineRule="exact"/>
              <w:rPr>
                <w:sz w:val="20"/>
                <w:szCs w:val="20"/>
                <w:color w:val="auto"/>
              </w:rPr>
            </w:pPr>
            <w:r>
              <w:rPr>
                <w:rFonts w:ascii="Times New Roman" w:cs="Times New Roman" w:eastAsia="Times New Roman" w:hAnsi="Times New Roman"/>
                <w:sz w:val="12"/>
                <w:szCs w:val="12"/>
                <w:color w:val="auto"/>
                <w:w w:val="99"/>
              </w:rPr>
              <w:t>Violations</w:t>
            </w:r>
          </w:p>
        </w:tc>
        <w:tc>
          <w:tcPr>
            <w:tcW w:w="840" w:type="dxa"/>
            <w:vAlign w:val="bottom"/>
          </w:tcPr>
          <w:p>
            <w:pPr>
              <w:jc w:val="center"/>
              <w:ind w:left="58"/>
              <w:spacing w:after="0" w:line="133" w:lineRule="exact"/>
              <w:rPr>
                <w:sz w:val="20"/>
                <w:szCs w:val="20"/>
                <w:color w:val="auto"/>
              </w:rPr>
            </w:pPr>
            <w:r>
              <w:rPr>
                <w:rFonts w:ascii="Times New Roman" w:cs="Times New Roman" w:eastAsia="Times New Roman" w:hAnsi="Times New Roman"/>
                <w:sz w:val="12"/>
                <w:szCs w:val="12"/>
                <w:color w:val="auto"/>
              </w:rPr>
              <w:t>Have Pattern</w:t>
            </w:r>
          </w:p>
        </w:tc>
        <w:tc>
          <w:tcPr>
            <w:tcW w:w="740" w:type="dxa"/>
            <w:vAlign w:val="bottom"/>
          </w:tcPr>
          <w:p>
            <w:pPr>
              <w:jc w:val="center"/>
              <w:ind w:left="38"/>
              <w:spacing w:after="0" w:line="133" w:lineRule="exact"/>
              <w:rPr>
                <w:sz w:val="20"/>
                <w:szCs w:val="20"/>
                <w:color w:val="auto"/>
              </w:rPr>
            </w:pPr>
            <w:r>
              <w:rPr>
                <w:rFonts w:ascii="Times New Roman" w:cs="Times New Roman" w:eastAsia="Times New Roman" w:hAnsi="Times New Roman"/>
                <w:sz w:val="12"/>
                <w:szCs w:val="12"/>
                <w:color w:val="auto"/>
              </w:rPr>
              <w:t>Legal</w:t>
            </w:r>
          </w:p>
        </w:tc>
        <w:tc>
          <w:tcPr>
            <w:tcW w:w="740" w:type="dxa"/>
            <w:vAlign w:val="bottom"/>
          </w:tcPr>
          <w:p>
            <w:pPr>
              <w:jc w:val="center"/>
              <w:ind w:left="78"/>
              <w:spacing w:after="0" w:line="133" w:lineRule="exact"/>
              <w:rPr>
                <w:sz w:val="20"/>
                <w:szCs w:val="20"/>
                <w:color w:val="auto"/>
              </w:rPr>
            </w:pPr>
            <w:r>
              <w:rPr>
                <w:rFonts w:ascii="Times New Roman" w:cs="Times New Roman" w:eastAsia="Times New Roman" w:hAnsi="Times New Roman"/>
                <w:sz w:val="12"/>
                <w:szCs w:val="12"/>
                <w:color w:val="auto"/>
              </w:rPr>
              <w:t>Legal</w:t>
            </w:r>
          </w:p>
        </w:tc>
        <w:tc>
          <w:tcPr>
            <w:tcW w:w="800" w:type="dxa"/>
            <w:vAlign w:val="bottom"/>
          </w:tcPr>
          <w:p>
            <w:pPr>
              <w:jc w:val="center"/>
              <w:ind w:left="38"/>
              <w:spacing w:after="0" w:line="133" w:lineRule="exact"/>
              <w:rPr>
                <w:sz w:val="20"/>
                <w:szCs w:val="20"/>
                <w:color w:val="auto"/>
              </w:rPr>
            </w:pPr>
            <w:r>
              <w:rPr>
                <w:rFonts w:ascii="Times New Roman" w:cs="Times New Roman" w:eastAsia="Times New Roman" w:hAnsi="Times New Roman"/>
                <w:sz w:val="12"/>
                <w:szCs w:val="12"/>
                <w:color w:val="auto"/>
              </w:rPr>
              <w:t>Legal</w:t>
            </w: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jc w:val="center"/>
              <w:ind w:left="78"/>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jc w:val="center"/>
              <w:ind w:left="138"/>
              <w:spacing w:after="0" w:line="133" w:lineRule="exact"/>
              <w:rPr>
                <w:sz w:val="20"/>
                <w:szCs w:val="20"/>
                <w:color w:val="auto"/>
              </w:rPr>
            </w:pPr>
            <w:r>
              <w:rPr>
                <w:rFonts w:ascii="Times New Roman" w:cs="Times New Roman" w:eastAsia="Times New Roman" w:hAnsi="Times New Roman"/>
                <w:sz w:val="12"/>
                <w:szCs w:val="12"/>
                <w:color w:val="auto"/>
              </w:rPr>
              <w:t>Value of</w:t>
            </w:r>
          </w:p>
        </w:tc>
        <w:tc>
          <w:tcPr>
            <w:tcW w:w="700" w:type="dxa"/>
            <w:vAlign w:val="bottom"/>
          </w:tcPr>
          <w:p>
            <w:pPr>
              <w:spacing w:after="0"/>
              <w:rPr>
                <w:sz w:val="11"/>
                <w:szCs w:val="11"/>
                <w:color w:val="auto"/>
              </w:rPr>
            </w:pPr>
          </w:p>
        </w:tc>
        <w:tc>
          <w:tcPr>
            <w:tcW w:w="780" w:type="dxa"/>
            <w:vAlign w:val="bottom"/>
          </w:tcPr>
          <w:p>
            <w:pPr>
              <w:jc w:val="center"/>
              <w:ind w:left="58"/>
              <w:spacing w:after="0" w:line="133" w:lineRule="exact"/>
              <w:rPr>
                <w:sz w:val="20"/>
                <w:szCs w:val="20"/>
                <w:color w:val="auto"/>
              </w:rPr>
            </w:pPr>
            <w:r>
              <w:rPr>
                <w:rFonts w:ascii="Times New Roman" w:cs="Times New Roman" w:eastAsia="Times New Roman" w:hAnsi="Times New Roman"/>
                <w:sz w:val="12"/>
                <w:szCs w:val="12"/>
                <w:color w:val="auto"/>
                <w:w w:val="99"/>
              </w:rPr>
              <w:t>Under</w:t>
            </w:r>
          </w:p>
        </w:tc>
        <w:tc>
          <w:tcPr>
            <w:tcW w:w="840" w:type="dxa"/>
            <w:vAlign w:val="bottom"/>
          </w:tcPr>
          <w:p>
            <w:pPr>
              <w:jc w:val="center"/>
              <w:ind w:left="38"/>
              <w:spacing w:after="0" w:line="133" w:lineRule="exact"/>
              <w:rPr>
                <w:sz w:val="20"/>
                <w:szCs w:val="20"/>
                <w:color w:val="auto"/>
              </w:rPr>
            </w:pPr>
            <w:r>
              <w:rPr>
                <w:rFonts w:ascii="Times New Roman" w:cs="Times New Roman" w:eastAsia="Times New Roman" w:hAnsi="Times New Roman"/>
                <w:sz w:val="12"/>
                <w:szCs w:val="12"/>
                <w:color w:val="auto"/>
                <w:w w:val="99"/>
              </w:rPr>
              <w:t>Under</w:t>
            </w:r>
          </w:p>
        </w:tc>
        <w:tc>
          <w:tcPr>
            <w:tcW w:w="740" w:type="dxa"/>
            <w:vAlign w:val="bottom"/>
          </w:tcPr>
          <w:p>
            <w:pPr>
              <w:jc w:val="center"/>
              <w:ind w:left="18"/>
              <w:spacing w:after="0" w:line="133" w:lineRule="exact"/>
              <w:rPr>
                <w:sz w:val="20"/>
                <w:szCs w:val="20"/>
                <w:color w:val="auto"/>
              </w:rPr>
            </w:pPr>
            <w:r>
              <w:rPr>
                <w:rFonts w:ascii="Times New Roman" w:cs="Times New Roman" w:eastAsia="Times New Roman" w:hAnsi="Times New Roman"/>
                <w:sz w:val="12"/>
                <w:szCs w:val="12"/>
                <w:color w:val="auto"/>
              </w:rPr>
              <w:t>Actions</w:t>
            </w:r>
          </w:p>
        </w:tc>
        <w:tc>
          <w:tcPr>
            <w:tcW w:w="740" w:type="dxa"/>
            <w:vAlign w:val="bottom"/>
          </w:tcPr>
          <w:p>
            <w:pPr>
              <w:jc w:val="center"/>
              <w:ind w:left="78"/>
              <w:spacing w:after="0" w:line="133" w:lineRule="exact"/>
              <w:rPr>
                <w:sz w:val="20"/>
                <w:szCs w:val="20"/>
                <w:color w:val="auto"/>
              </w:rPr>
            </w:pPr>
            <w:r>
              <w:rPr>
                <w:rFonts w:ascii="Times New Roman" w:cs="Times New Roman" w:eastAsia="Times New Roman" w:hAnsi="Times New Roman"/>
                <w:sz w:val="12"/>
                <w:szCs w:val="12"/>
                <w:color w:val="auto"/>
              </w:rPr>
              <w:t>Actions</w:t>
            </w:r>
          </w:p>
        </w:tc>
        <w:tc>
          <w:tcPr>
            <w:tcW w:w="800" w:type="dxa"/>
            <w:vAlign w:val="bottom"/>
          </w:tcPr>
          <w:p>
            <w:pPr>
              <w:jc w:val="center"/>
              <w:ind w:left="38"/>
              <w:spacing w:after="0" w:line="133" w:lineRule="exact"/>
              <w:rPr>
                <w:sz w:val="20"/>
                <w:szCs w:val="20"/>
                <w:color w:val="auto"/>
              </w:rPr>
            </w:pPr>
            <w:r>
              <w:rPr>
                <w:rFonts w:ascii="Times New Roman" w:cs="Times New Roman" w:eastAsia="Times New Roman" w:hAnsi="Times New Roman"/>
                <w:sz w:val="12"/>
                <w:szCs w:val="12"/>
                <w:color w:val="auto"/>
              </w:rPr>
              <w:t>Actions</w:t>
            </w: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680" w:type="dxa"/>
            <w:vAlign w:val="bottom"/>
          </w:tcPr>
          <w:p>
            <w:pPr>
              <w:ind w:left="200"/>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760" w:type="dxa"/>
            <w:vAlign w:val="bottom"/>
          </w:tcPr>
          <w:p>
            <w:pPr>
              <w:ind w:left="280"/>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880" w:type="dxa"/>
            <w:vAlign w:val="bottom"/>
          </w:tcPr>
          <w:p>
            <w:pPr>
              <w:jc w:val="center"/>
              <w:ind w:left="98"/>
              <w:spacing w:after="0" w:line="133" w:lineRule="exact"/>
              <w:rPr>
                <w:sz w:val="20"/>
                <w:szCs w:val="20"/>
                <w:color w:val="auto"/>
              </w:rPr>
            </w:pPr>
            <w:r>
              <w:rPr>
                <w:rFonts w:ascii="Times New Roman" w:cs="Times New Roman" w:eastAsia="Times New Roman" w:hAnsi="Times New Roman"/>
                <w:sz w:val="12"/>
                <w:szCs w:val="12"/>
                <w:color w:val="auto"/>
                <w:w w:val="99"/>
              </w:rPr>
              <w:t>104(d)</w:t>
            </w:r>
          </w:p>
        </w:tc>
        <w:tc>
          <w:tcPr>
            <w:tcW w:w="800" w:type="dxa"/>
            <w:vAlign w:val="bottom"/>
          </w:tcPr>
          <w:p>
            <w:pPr>
              <w:jc w:val="center"/>
              <w:ind w:left="78"/>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760" w:type="dxa"/>
            <w:vAlign w:val="bottom"/>
          </w:tcPr>
          <w:p>
            <w:pPr>
              <w:ind w:left="300"/>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940" w:type="dxa"/>
            <w:vAlign w:val="bottom"/>
          </w:tcPr>
          <w:p>
            <w:pPr>
              <w:jc w:val="center"/>
              <w:ind w:left="118"/>
              <w:spacing w:after="0" w:line="133" w:lineRule="exact"/>
              <w:rPr>
                <w:sz w:val="20"/>
                <w:szCs w:val="20"/>
                <w:color w:val="auto"/>
              </w:rPr>
            </w:pPr>
            <w:r>
              <w:rPr>
                <w:rFonts w:ascii="Times New Roman" w:cs="Times New Roman" w:eastAsia="Times New Roman" w:hAnsi="Times New Roman"/>
                <w:sz w:val="12"/>
                <w:szCs w:val="12"/>
                <w:color w:val="auto"/>
              </w:rPr>
              <w:t>MSHA</w:t>
            </w:r>
          </w:p>
        </w:tc>
        <w:tc>
          <w:tcPr>
            <w:tcW w:w="700" w:type="dxa"/>
            <w:vAlign w:val="bottom"/>
          </w:tcPr>
          <w:p>
            <w:pPr>
              <w:jc w:val="center"/>
              <w:ind w:left="78"/>
              <w:spacing w:after="0" w:line="133" w:lineRule="exact"/>
              <w:rPr>
                <w:sz w:val="20"/>
                <w:szCs w:val="20"/>
                <w:color w:val="auto"/>
              </w:rPr>
            </w:pPr>
            <w:r>
              <w:rPr>
                <w:rFonts w:ascii="Times New Roman" w:cs="Times New Roman" w:eastAsia="Times New Roman" w:hAnsi="Times New Roman"/>
                <w:sz w:val="12"/>
                <w:szCs w:val="12"/>
                <w:color w:val="auto"/>
              </w:rPr>
              <w:t>Mining</w:t>
            </w:r>
          </w:p>
        </w:tc>
        <w:tc>
          <w:tcPr>
            <w:tcW w:w="780" w:type="dxa"/>
            <w:vAlign w:val="bottom"/>
          </w:tcPr>
          <w:p>
            <w:pPr>
              <w:jc w:val="center"/>
              <w:ind w:left="58"/>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840" w:type="dxa"/>
            <w:vAlign w:val="bottom"/>
          </w:tcPr>
          <w:p>
            <w:pPr>
              <w:jc w:val="center"/>
              <w:ind w:left="38"/>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740" w:type="dxa"/>
            <w:vAlign w:val="bottom"/>
          </w:tcPr>
          <w:p>
            <w:pPr>
              <w:jc w:val="center"/>
              <w:ind w:left="18"/>
              <w:spacing w:after="0" w:line="133" w:lineRule="exact"/>
              <w:rPr>
                <w:sz w:val="20"/>
                <w:szCs w:val="20"/>
                <w:color w:val="auto"/>
              </w:rPr>
            </w:pPr>
            <w:r>
              <w:rPr>
                <w:rFonts w:ascii="Times New Roman" w:cs="Times New Roman" w:eastAsia="Times New Roman" w:hAnsi="Times New Roman"/>
                <w:sz w:val="12"/>
                <w:szCs w:val="12"/>
                <w:color w:val="auto"/>
              </w:rPr>
              <w:t>Pending as</w:t>
            </w:r>
          </w:p>
        </w:tc>
        <w:tc>
          <w:tcPr>
            <w:tcW w:w="740" w:type="dxa"/>
            <w:vAlign w:val="bottom"/>
          </w:tcPr>
          <w:p>
            <w:pPr>
              <w:jc w:val="center"/>
              <w:ind w:left="78"/>
              <w:spacing w:after="0" w:line="133" w:lineRule="exact"/>
              <w:rPr>
                <w:sz w:val="20"/>
                <w:szCs w:val="20"/>
                <w:color w:val="auto"/>
              </w:rPr>
            </w:pPr>
            <w:r>
              <w:rPr>
                <w:rFonts w:ascii="Times New Roman" w:cs="Times New Roman" w:eastAsia="Times New Roman" w:hAnsi="Times New Roman"/>
                <w:sz w:val="12"/>
                <w:szCs w:val="12"/>
                <w:color w:val="auto"/>
                <w:w w:val="99"/>
              </w:rPr>
              <w:t>Initiated</w:t>
            </w:r>
          </w:p>
        </w:tc>
        <w:tc>
          <w:tcPr>
            <w:tcW w:w="800" w:type="dxa"/>
            <w:vAlign w:val="bottom"/>
          </w:tcPr>
          <w:p>
            <w:pPr>
              <w:jc w:val="center"/>
              <w:ind w:left="38"/>
              <w:spacing w:after="0" w:line="133" w:lineRule="exact"/>
              <w:rPr>
                <w:sz w:val="20"/>
                <w:szCs w:val="20"/>
                <w:color w:val="auto"/>
              </w:rPr>
            </w:pPr>
            <w:r>
              <w:rPr>
                <w:rFonts w:ascii="Times New Roman" w:cs="Times New Roman" w:eastAsia="Times New Roman" w:hAnsi="Times New Roman"/>
                <w:sz w:val="12"/>
                <w:szCs w:val="12"/>
                <w:color w:val="auto"/>
              </w:rPr>
              <w:t>Resolved</w:t>
            </w:r>
          </w:p>
        </w:tc>
        <w:tc>
          <w:tcPr>
            <w:tcW w:w="0" w:type="dxa"/>
            <w:vAlign w:val="bottom"/>
          </w:tcPr>
          <w:p>
            <w:pPr>
              <w:spacing w:after="0"/>
              <w:rPr>
                <w:sz w:val="1"/>
                <w:szCs w:val="1"/>
                <w:color w:val="auto"/>
              </w:rPr>
            </w:pPr>
          </w:p>
        </w:tc>
      </w:tr>
      <w:tr>
        <w:trPr>
          <w:trHeight w:val="133"/>
        </w:trPr>
        <w:tc>
          <w:tcPr>
            <w:tcW w:w="20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Mine or Operating Name/MSHA</w:t>
            </w:r>
          </w:p>
        </w:tc>
        <w:tc>
          <w:tcPr>
            <w:tcW w:w="680" w:type="dxa"/>
            <w:vAlign w:val="bottom"/>
          </w:tcPr>
          <w:p>
            <w:pPr>
              <w:ind w:left="180"/>
              <w:spacing w:after="0" w:line="133" w:lineRule="exact"/>
              <w:rPr>
                <w:sz w:val="20"/>
                <w:szCs w:val="20"/>
                <w:color w:val="auto"/>
              </w:rPr>
            </w:pPr>
            <w:r>
              <w:rPr>
                <w:rFonts w:ascii="Times New Roman" w:cs="Times New Roman" w:eastAsia="Times New Roman" w:hAnsi="Times New Roman"/>
                <w:sz w:val="12"/>
                <w:szCs w:val="12"/>
                <w:color w:val="auto"/>
              </w:rPr>
              <w:t>104 S&amp;S</w:t>
            </w:r>
          </w:p>
        </w:tc>
        <w:tc>
          <w:tcPr>
            <w:tcW w:w="760" w:type="dxa"/>
            <w:vAlign w:val="bottom"/>
          </w:tcPr>
          <w:p>
            <w:pPr>
              <w:ind w:left="300"/>
              <w:spacing w:after="0" w:line="133" w:lineRule="exact"/>
              <w:rPr>
                <w:sz w:val="20"/>
                <w:szCs w:val="20"/>
                <w:color w:val="auto"/>
              </w:rPr>
            </w:pPr>
            <w:r>
              <w:rPr>
                <w:rFonts w:ascii="Times New Roman" w:cs="Times New Roman" w:eastAsia="Times New Roman" w:hAnsi="Times New Roman"/>
                <w:sz w:val="12"/>
                <w:szCs w:val="12"/>
                <w:color w:val="auto"/>
              </w:rPr>
              <w:t>104(b)</w:t>
            </w:r>
          </w:p>
        </w:tc>
        <w:tc>
          <w:tcPr>
            <w:tcW w:w="880" w:type="dxa"/>
            <w:vAlign w:val="bottom"/>
          </w:tcPr>
          <w:p>
            <w:pPr>
              <w:jc w:val="center"/>
              <w:ind w:left="78"/>
              <w:spacing w:after="0" w:line="133" w:lineRule="exact"/>
              <w:rPr>
                <w:sz w:val="20"/>
                <w:szCs w:val="20"/>
                <w:color w:val="auto"/>
              </w:rPr>
            </w:pPr>
            <w:r>
              <w:rPr>
                <w:rFonts w:ascii="Times New Roman" w:cs="Times New Roman" w:eastAsia="Times New Roman" w:hAnsi="Times New Roman"/>
                <w:sz w:val="12"/>
                <w:szCs w:val="12"/>
                <w:color w:val="auto"/>
              </w:rPr>
              <w:t>Citations and</w:t>
            </w:r>
          </w:p>
        </w:tc>
        <w:tc>
          <w:tcPr>
            <w:tcW w:w="800" w:type="dxa"/>
            <w:vAlign w:val="bottom"/>
          </w:tcPr>
          <w:p>
            <w:pPr>
              <w:jc w:val="center"/>
              <w:ind w:left="78"/>
              <w:spacing w:after="0" w:line="133" w:lineRule="exact"/>
              <w:rPr>
                <w:sz w:val="20"/>
                <w:szCs w:val="20"/>
                <w:color w:val="auto"/>
              </w:rPr>
            </w:pPr>
            <w:r>
              <w:rPr>
                <w:rFonts w:ascii="Times New Roman" w:cs="Times New Roman" w:eastAsia="Times New Roman" w:hAnsi="Times New Roman"/>
                <w:sz w:val="12"/>
                <w:szCs w:val="12"/>
                <w:color w:val="auto"/>
                <w:w w:val="99"/>
              </w:rPr>
              <w:t>110(b)(2)</w:t>
            </w:r>
          </w:p>
        </w:tc>
        <w:tc>
          <w:tcPr>
            <w:tcW w:w="760" w:type="dxa"/>
            <w:vAlign w:val="bottom"/>
          </w:tcPr>
          <w:p>
            <w:pPr>
              <w:ind w:left="320"/>
              <w:spacing w:after="0" w:line="133" w:lineRule="exact"/>
              <w:rPr>
                <w:sz w:val="20"/>
                <w:szCs w:val="20"/>
                <w:color w:val="auto"/>
              </w:rPr>
            </w:pPr>
            <w:r>
              <w:rPr>
                <w:rFonts w:ascii="Times New Roman" w:cs="Times New Roman" w:eastAsia="Times New Roman" w:hAnsi="Times New Roman"/>
                <w:sz w:val="12"/>
                <w:szCs w:val="12"/>
                <w:color w:val="auto"/>
              </w:rPr>
              <w:t>107(a)</w:t>
            </w:r>
          </w:p>
        </w:tc>
        <w:tc>
          <w:tcPr>
            <w:tcW w:w="940" w:type="dxa"/>
            <w:vAlign w:val="bottom"/>
          </w:tcPr>
          <w:p>
            <w:pPr>
              <w:jc w:val="center"/>
              <w:ind w:left="118"/>
              <w:spacing w:after="0" w:line="133" w:lineRule="exact"/>
              <w:rPr>
                <w:sz w:val="20"/>
                <w:szCs w:val="20"/>
                <w:color w:val="auto"/>
              </w:rPr>
            </w:pPr>
            <w:r>
              <w:rPr>
                <w:rFonts w:ascii="Times New Roman" w:cs="Times New Roman" w:eastAsia="Times New Roman" w:hAnsi="Times New Roman"/>
                <w:sz w:val="12"/>
                <w:szCs w:val="12"/>
                <w:color w:val="auto"/>
              </w:rPr>
              <w:t>Assessments</w:t>
            </w:r>
          </w:p>
        </w:tc>
        <w:tc>
          <w:tcPr>
            <w:tcW w:w="700" w:type="dxa"/>
            <w:vAlign w:val="bottom"/>
          </w:tcPr>
          <w:p>
            <w:pPr>
              <w:jc w:val="center"/>
              <w:ind w:left="78"/>
              <w:spacing w:after="0" w:line="133" w:lineRule="exact"/>
              <w:rPr>
                <w:sz w:val="20"/>
                <w:szCs w:val="20"/>
                <w:color w:val="auto"/>
              </w:rPr>
            </w:pPr>
            <w:r>
              <w:rPr>
                <w:rFonts w:ascii="Times New Roman" w:cs="Times New Roman" w:eastAsia="Times New Roman" w:hAnsi="Times New Roman"/>
                <w:sz w:val="12"/>
                <w:szCs w:val="12"/>
                <w:color w:val="auto"/>
                <w:w w:val="98"/>
              </w:rPr>
              <w:t>Related</w:t>
            </w:r>
          </w:p>
        </w:tc>
        <w:tc>
          <w:tcPr>
            <w:tcW w:w="780" w:type="dxa"/>
            <w:vAlign w:val="bottom"/>
          </w:tcPr>
          <w:p>
            <w:pPr>
              <w:jc w:val="center"/>
              <w:ind w:left="58"/>
              <w:spacing w:after="0" w:line="133" w:lineRule="exact"/>
              <w:rPr>
                <w:sz w:val="20"/>
                <w:szCs w:val="20"/>
                <w:color w:val="auto"/>
              </w:rPr>
            </w:pPr>
            <w:r>
              <w:rPr>
                <w:rFonts w:ascii="Times New Roman" w:cs="Times New Roman" w:eastAsia="Times New Roman" w:hAnsi="Times New Roman"/>
                <w:sz w:val="12"/>
                <w:szCs w:val="12"/>
                <w:color w:val="auto"/>
              </w:rPr>
              <w:t>104(e)</w:t>
            </w:r>
          </w:p>
        </w:tc>
        <w:tc>
          <w:tcPr>
            <w:tcW w:w="840" w:type="dxa"/>
            <w:vAlign w:val="bottom"/>
          </w:tcPr>
          <w:p>
            <w:pPr>
              <w:jc w:val="center"/>
              <w:ind w:left="58"/>
              <w:spacing w:after="0" w:line="133" w:lineRule="exact"/>
              <w:rPr>
                <w:sz w:val="20"/>
                <w:szCs w:val="20"/>
                <w:color w:val="auto"/>
              </w:rPr>
            </w:pPr>
            <w:r>
              <w:rPr>
                <w:rFonts w:ascii="Times New Roman" w:cs="Times New Roman" w:eastAsia="Times New Roman" w:hAnsi="Times New Roman"/>
                <w:sz w:val="12"/>
                <w:szCs w:val="12"/>
                <w:color w:val="auto"/>
              </w:rPr>
              <w:t>104(e)</w:t>
            </w:r>
          </w:p>
        </w:tc>
        <w:tc>
          <w:tcPr>
            <w:tcW w:w="740" w:type="dxa"/>
            <w:vAlign w:val="bottom"/>
          </w:tcPr>
          <w:p>
            <w:pPr>
              <w:jc w:val="center"/>
              <w:ind w:left="18"/>
              <w:spacing w:after="0" w:line="133" w:lineRule="exact"/>
              <w:rPr>
                <w:sz w:val="20"/>
                <w:szCs w:val="20"/>
                <w:color w:val="auto"/>
              </w:rPr>
            </w:pPr>
            <w:r>
              <w:rPr>
                <w:rFonts w:ascii="Times New Roman" w:cs="Times New Roman" w:eastAsia="Times New Roman" w:hAnsi="Times New Roman"/>
                <w:sz w:val="12"/>
                <w:szCs w:val="12"/>
                <w:color w:val="auto"/>
              </w:rPr>
              <w:t>of Last Day</w:t>
            </w:r>
          </w:p>
        </w:tc>
        <w:tc>
          <w:tcPr>
            <w:tcW w:w="740" w:type="dxa"/>
            <w:vAlign w:val="bottom"/>
          </w:tcPr>
          <w:p>
            <w:pPr>
              <w:jc w:val="center"/>
              <w:ind w:left="78"/>
              <w:spacing w:after="0" w:line="133" w:lineRule="exact"/>
              <w:rPr>
                <w:sz w:val="20"/>
                <w:szCs w:val="20"/>
                <w:color w:val="auto"/>
              </w:rPr>
            </w:pPr>
            <w:r>
              <w:rPr>
                <w:rFonts w:ascii="Times New Roman" w:cs="Times New Roman" w:eastAsia="Times New Roman" w:hAnsi="Times New Roman"/>
                <w:sz w:val="12"/>
                <w:szCs w:val="12"/>
                <w:color w:val="auto"/>
              </w:rPr>
              <w:t>During</w:t>
            </w:r>
          </w:p>
        </w:tc>
        <w:tc>
          <w:tcPr>
            <w:tcW w:w="800" w:type="dxa"/>
            <w:vAlign w:val="bottom"/>
          </w:tcPr>
          <w:p>
            <w:pPr>
              <w:jc w:val="center"/>
              <w:ind w:left="38"/>
              <w:spacing w:after="0" w:line="133" w:lineRule="exact"/>
              <w:rPr>
                <w:sz w:val="20"/>
                <w:szCs w:val="20"/>
                <w:color w:val="auto"/>
              </w:rPr>
            </w:pPr>
            <w:r>
              <w:rPr>
                <w:rFonts w:ascii="Times New Roman" w:cs="Times New Roman" w:eastAsia="Times New Roman" w:hAnsi="Times New Roman"/>
                <w:sz w:val="12"/>
                <w:szCs w:val="12"/>
                <w:color w:val="auto"/>
                <w:w w:val="99"/>
              </w:rPr>
              <w:t>During</w:t>
            </w:r>
          </w:p>
        </w:tc>
        <w:tc>
          <w:tcPr>
            <w:tcW w:w="0" w:type="dxa"/>
            <w:vAlign w:val="bottom"/>
          </w:tcPr>
          <w:p>
            <w:pPr>
              <w:spacing w:after="0"/>
              <w:rPr>
                <w:sz w:val="1"/>
                <w:szCs w:val="1"/>
                <w:color w:val="auto"/>
              </w:rPr>
            </w:pPr>
          </w:p>
        </w:tc>
      </w:tr>
      <w:tr>
        <w:trPr>
          <w:trHeight w:val="151"/>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Identification Number</w:t>
            </w: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Citations</w:t>
            </w:r>
          </w:p>
        </w:tc>
        <w:tc>
          <w:tcPr>
            <w:tcW w:w="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rPr>
              <w:t>Orders</w:t>
            </w:r>
          </w:p>
        </w:tc>
        <w:tc>
          <w:tcPr>
            <w:tcW w:w="88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2"/>
                <w:szCs w:val="12"/>
                <w:color w:val="auto"/>
              </w:rPr>
              <w:t>Orders</w:t>
            </w:r>
          </w:p>
        </w:tc>
        <w:tc>
          <w:tcPr>
            <w:tcW w:w="80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2"/>
                <w:szCs w:val="12"/>
                <w:color w:val="auto"/>
                <w:w w:val="99"/>
              </w:rPr>
              <w:t>Violations</w:t>
            </w:r>
          </w:p>
        </w:tc>
        <w:tc>
          <w:tcPr>
            <w:tcW w:w="7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Orders</w:t>
            </w:r>
          </w:p>
        </w:tc>
        <w:tc>
          <w:tcPr>
            <w:tcW w:w="940" w:type="dxa"/>
            <w:vAlign w:val="bottom"/>
            <w:tcBorders>
              <w:bottom w:val="single" w:sz="8" w:color="auto"/>
            </w:tcBorders>
          </w:tcPr>
          <w:p>
            <w:pPr>
              <w:jc w:val="center"/>
              <w:ind w:left="118"/>
              <w:spacing w:after="0"/>
              <w:rPr>
                <w:sz w:val="20"/>
                <w:szCs w:val="20"/>
                <w:color w:val="auto"/>
              </w:rPr>
            </w:pPr>
            <w:r>
              <w:rPr>
                <w:rFonts w:ascii="Times New Roman" w:cs="Times New Roman" w:eastAsia="Times New Roman" w:hAnsi="Times New Roman"/>
                <w:sz w:val="12"/>
                <w:szCs w:val="12"/>
                <w:color w:val="auto"/>
              </w:rPr>
              <w:t xml:space="preserve">Proposed </w:t>
            </w:r>
            <w:r>
              <w:rPr>
                <w:rFonts w:ascii="Times New Roman" w:cs="Times New Roman" w:eastAsia="Times New Roman" w:hAnsi="Times New Roman"/>
                <w:sz w:val="10"/>
                <w:szCs w:val="10"/>
                <w:color w:val="auto"/>
              </w:rPr>
              <w:t>(1)</w:t>
            </w:r>
          </w:p>
        </w:tc>
        <w:tc>
          <w:tcPr>
            <w:tcW w:w="70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2"/>
                <w:szCs w:val="12"/>
                <w:color w:val="auto"/>
                <w:w w:val="99"/>
              </w:rPr>
              <w:t>Fatalities</w:t>
            </w:r>
          </w:p>
        </w:tc>
        <w:tc>
          <w:tcPr>
            <w:tcW w:w="780" w:type="dxa"/>
            <w:vAlign w:val="bottom"/>
            <w:tcBorders>
              <w:bottom w:val="single" w:sz="8" w:color="auto"/>
            </w:tcBorders>
          </w:tcPr>
          <w:p>
            <w:pPr>
              <w:jc w:val="center"/>
              <w:ind w:left="58"/>
              <w:spacing w:after="0"/>
              <w:rPr>
                <w:sz w:val="20"/>
                <w:szCs w:val="20"/>
                <w:color w:val="auto"/>
              </w:rPr>
            </w:pPr>
            <w:r>
              <w:rPr>
                <w:rFonts w:ascii="Times New Roman" w:cs="Times New Roman" w:eastAsia="Times New Roman" w:hAnsi="Times New Roman"/>
                <w:sz w:val="12"/>
                <w:szCs w:val="12"/>
                <w:color w:val="auto"/>
              </w:rPr>
              <w:t>(yes/no)</w:t>
            </w:r>
          </w:p>
        </w:tc>
        <w:tc>
          <w:tcPr>
            <w:tcW w:w="840" w:type="dxa"/>
            <w:vAlign w:val="bottom"/>
            <w:tcBorders>
              <w:bottom w:val="single" w:sz="8" w:color="auto"/>
            </w:tcBorders>
          </w:tcPr>
          <w:p>
            <w:pPr>
              <w:jc w:val="center"/>
              <w:ind w:left="58"/>
              <w:spacing w:after="0"/>
              <w:rPr>
                <w:sz w:val="20"/>
                <w:szCs w:val="20"/>
                <w:color w:val="auto"/>
              </w:rPr>
            </w:pPr>
            <w:r>
              <w:rPr>
                <w:rFonts w:ascii="Times New Roman" w:cs="Times New Roman" w:eastAsia="Times New Roman" w:hAnsi="Times New Roman"/>
                <w:sz w:val="12"/>
                <w:szCs w:val="12"/>
                <w:color w:val="auto"/>
              </w:rPr>
              <w:t>(yes/no)</w:t>
            </w:r>
          </w:p>
        </w:tc>
        <w:tc>
          <w:tcPr>
            <w:tcW w:w="74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2"/>
                <w:szCs w:val="12"/>
                <w:color w:val="auto"/>
              </w:rPr>
              <w:t>of Period</w:t>
            </w:r>
          </w:p>
        </w:tc>
        <w:tc>
          <w:tcPr>
            <w:tcW w:w="74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2"/>
                <w:szCs w:val="12"/>
                <w:color w:val="auto"/>
              </w:rPr>
              <w:t>Period</w:t>
            </w:r>
          </w:p>
        </w:tc>
        <w:tc>
          <w:tcPr>
            <w:tcW w:w="80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2"/>
                <w:szCs w:val="12"/>
                <w:color w:val="auto"/>
              </w:rPr>
              <w:t>Period</w:t>
            </w:r>
          </w:p>
        </w:tc>
        <w:tc>
          <w:tcPr>
            <w:tcW w:w="0" w:type="dxa"/>
            <w:vAlign w:val="bottom"/>
          </w:tcPr>
          <w:p>
            <w:pPr>
              <w:spacing w:after="0"/>
              <w:rPr>
                <w:sz w:val="1"/>
                <w:szCs w:val="1"/>
                <w:color w:val="auto"/>
              </w:rPr>
            </w:pPr>
          </w:p>
        </w:tc>
      </w:tr>
      <w:tr>
        <w:trPr>
          <w:trHeight w:val="268"/>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Amelia Barite Plant/1600825</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$121</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72"/>
        </w:trPr>
        <w:tc>
          <w:tcPr>
            <w:tcW w:w="2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Battle Mountain Grinding Plant/26008282</w:t>
            </w: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w:t>
            </w:r>
          </w:p>
        </w:tc>
        <w:tc>
          <w:tcPr>
            <w:tcW w:w="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$2,184</w:t>
            </w:r>
            <w:r>
              <w:rPr>
                <w:rFonts w:ascii="Times New Roman" w:cs="Times New Roman" w:eastAsia="Times New Roman" w:hAnsi="Times New Roman"/>
                <w:sz w:val="10"/>
                <w:szCs w:val="10"/>
                <w:color w:val="auto"/>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44"/>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Galveston GBT Barite Grinding</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2</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$418</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4"/>
        </w:trPr>
        <w:tc>
          <w:tcPr>
            <w:tcW w:w="2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Plant/4104675</w:t>
            </w: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Greybull Milling Operation/4800602</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w:t>
            </w: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w:t>
            </w:r>
          </w:p>
        </w:tc>
        <w:tc>
          <w:tcPr>
            <w:tcW w:w="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$2,112</w:t>
            </w:r>
            <w:r>
              <w:rPr>
                <w:rFonts w:ascii="Times New Roman" w:cs="Times New Roman" w:eastAsia="Times New Roman" w:hAnsi="Times New Roman"/>
                <w:sz w:val="10"/>
                <w:szCs w:val="10"/>
                <w:color w:val="auto"/>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438"/>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Greybull Mining Operation/4800603</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w:t>
            </w: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$604</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72"/>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Greystone Mine/2600411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$363</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78"/>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Mountain Springs Beneficiation</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$0</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4"/>
        </w:trPr>
        <w:tc>
          <w:tcPr>
            <w:tcW w:w="2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Plant/2601390</w:t>
            </w: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Wisconsin Proppants Hixton</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$374</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4"/>
        </w:trPr>
        <w:tc>
          <w:tcPr>
            <w:tcW w:w="2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Mine/4703742</w:t>
            </w: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Wisconsin Proppants Alma</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$0</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4"/>
        </w:trPr>
        <w:tc>
          <w:tcPr>
            <w:tcW w:w="2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Mine/4703823</w:t>
            </w: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Wisconsin Proppants Monahans</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$989</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4"/>
        </w:trPr>
        <w:tc>
          <w:tcPr>
            <w:tcW w:w="2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Mine/4105336</w:t>
            </w: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Wisconsin Proppants High Roller Sand</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w:t>
            </w: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$2,626</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w:t>
            </w:r>
          </w:p>
        </w:tc>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Mine/4105321</w:t>
            </w: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740" w:right="80" w:hanging="362"/>
        <w:spacing w:after="0" w:line="262" w:lineRule="auto"/>
        <w:tabs>
          <w:tab w:leader="none" w:pos="7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included are the total dollar value of proposed assessments received from MSHA on or before December 31, 2019, regardless of whether the assessment has been challenged or appealed, for citations and orders occurring during the full year 2019.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1" w:lineRule="exact"/>
        <w:rPr>
          <w:rFonts w:ascii="Times New Roman" w:cs="Times New Roman" w:eastAsia="Times New Roman" w:hAnsi="Times New Roman"/>
          <w:sz w:val="16"/>
          <w:szCs w:val="16"/>
          <w:color w:val="auto"/>
        </w:rPr>
      </w:pPr>
    </w:p>
    <w:p>
      <w:pPr>
        <w:ind w:left="740" w:hanging="362"/>
        <w:spacing w:after="0"/>
        <w:tabs>
          <w:tab w:leader="none" w:pos="7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2019, MSHA had not yet proposed an assessment for the one 104(b) order at Battle Mountain Grinding Plant/2600828.</w:t>
      </w:r>
    </w:p>
    <w:p>
      <w:pPr>
        <w:spacing w:after="0" w:line="15" w:lineRule="exact"/>
        <w:rPr>
          <w:rFonts w:ascii="Times New Roman" w:cs="Times New Roman" w:eastAsia="Times New Roman" w:hAnsi="Times New Roman"/>
          <w:sz w:val="16"/>
          <w:szCs w:val="16"/>
          <w:color w:val="auto"/>
        </w:rPr>
      </w:pPr>
    </w:p>
    <w:p>
      <w:pPr>
        <w:ind w:left="740" w:hanging="362"/>
        <w:spacing w:after="0"/>
        <w:tabs>
          <w:tab w:leader="none" w:pos="7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2019, MSHA had not yet proposed an assessment for the one 107(a) order at Greybull Milling Operation/4800602.</w:t>
      </w:r>
    </w:p>
    <w:sectPr>
      <w:pgSz w:w="11900" w:h="16838" w:orient="portrait"/>
      <w:cols w:equalWidth="0" w:num="1">
        <w:col w:w="11420"/>
      </w:cols>
      <w:pgMar w:left="240" w:top="3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1)"/>
      <w:numFmt w:val="decimal"/>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1)"/>
      <w:numFmt w:val="decimal"/>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2"/>
    </w:lvl>
  </w:abstractNum>
  <w:abstractNum w:abstractNumId="23">
    <w:nsid w:val="1BA026FA"/>
    <w:multiLevelType w:val="hybridMultilevel"/>
    <w:lvl w:ilvl="0">
      <w:lvlJc w:val="left"/>
      <w:lvlText w:val="%1."/>
      <w:numFmt w:val="decimal"/>
      <w:start w:val="3"/>
    </w:lvl>
  </w:abstractNum>
  <w:abstractNum w:abstractNumId="24">
    <w:nsid w:val="79A1DEAA"/>
    <w:multiLevelType w:val="hybridMultilevel"/>
    <w:lvl w:ilvl="0">
      <w:lvlJc w:val="left"/>
      <w:lvlText w:val="•"/>
      <w:numFmt w:val="bullet"/>
      <w:start w:val="1"/>
    </w:lvl>
    <w:lvl w:ilvl="1">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lvl w:ilvl="1">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3"/>
    </w:lvl>
    <w:lvl w:ilvl="1">
      <w:lvlJc w:val="left"/>
      <w:lvlText w:val="•"/>
      <w:numFmt w:val="bullet"/>
      <w:start w:val="1"/>
    </w:lvl>
  </w:abstractNum>
  <w:abstractNum w:abstractNumId="31">
    <w:nsid w:val="23F9C13C"/>
    <w:multiLevelType w:val="hybridMultilevel"/>
    <w:lvl w:ilvl="0">
      <w:lvlJc w:val="left"/>
      <w:lvlText w:val="%1."/>
      <w:numFmt w:val="decimal"/>
      <w:start w:val="6"/>
    </w:lvl>
  </w:abstractNum>
  <w:abstractNum w:abstractNumId="32">
    <w:nsid w:val="649BB77C"/>
    <w:multiLevelType w:val="hybridMultilevel"/>
    <w:lvl w:ilvl="0">
      <w:lvlJc w:val="left"/>
      <w:lvlText w:val="%1."/>
      <w:numFmt w:val="decimal"/>
      <w:start w:val="9"/>
    </w:lvl>
  </w:abstractNum>
  <w:abstractNum w:abstractNumId="33">
    <w:nsid w:val="275AC794"/>
    <w:multiLevelType w:val="hybridMultilevel"/>
    <w:lvl w:ilvl="0">
      <w:lvlJc w:val="left"/>
      <w:lvlText w:val="%1."/>
      <w:numFmt w:val="decimal"/>
      <w:start w:val="10"/>
    </w:lvl>
  </w:abstractNum>
  <w:abstractNum w:abstractNumId="34">
    <w:nsid w:val="39386575"/>
    <w:multiLevelType w:val="hybridMultilevel"/>
    <w:lvl w:ilvl="0">
      <w:lvlJc w:val="left"/>
      <w:lvlText w:val="%1."/>
      <w:numFmt w:val="decimal"/>
      <w:start w:val="11"/>
    </w:lvl>
  </w:abstractNum>
  <w:abstractNum w:abstractNumId="35">
    <w:nsid w:val="1CF10FD8"/>
    <w:multiLevelType w:val="hybridMultilevel"/>
    <w:lvl w:ilvl="0">
      <w:lvlJc w:val="left"/>
      <w:lvlText w:val="%1."/>
      <w:numFmt w:val="decimal"/>
      <w:start w:val="12"/>
    </w:lvl>
  </w:abstractNum>
  <w:abstractNum w:abstractNumId="36">
    <w:nsid w:val="180115BE"/>
    <w:multiLevelType w:val="hybridMultilevel"/>
    <w:lvl w:ilvl="0">
      <w:lvlJc w:val="left"/>
      <w:lvlText w:val="%1."/>
      <w:numFmt w:val="decimal"/>
      <w:start w:val="13"/>
    </w:lvl>
  </w:abstractNum>
  <w:abstractNum w:abstractNumId="37">
    <w:nsid w:val="235BA861"/>
    <w:multiLevelType w:val="hybridMultilevel"/>
    <w:lvl w:ilvl="0">
      <w:lvlJc w:val="left"/>
      <w:lvlText w:val="%1."/>
      <w:numFmt w:val="decimal"/>
      <w:start w:val="14"/>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decimal"/>
      <w:start w:val="15"/>
    </w:lvl>
  </w:abstractNum>
  <w:abstractNum w:abstractNumId="44">
    <w:nsid w:val="3F6AB60F"/>
    <w:multiLevelType w:val="hybridMultilevel"/>
    <w:lvl w:ilvl="0">
      <w:lvlJc w:val="left"/>
      <w:lvlText w:val="%1."/>
      <w:numFmt w:val="decimal"/>
      <w:start w:val="16"/>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5"/>
    </w:lvl>
  </w:abstractNum>
  <w:abstractNum w:abstractNumId="50">
    <w:nsid w:val="5FF87E05"/>
    <w:multiLevelType w:val="hybridMultilevel"/>
    <w:lvl w:ilvl="0">
      <w:lvlJc w:val="left"/>
      <w:lvlText w:val="%1."/>
      <w:numFmt w:val="decimal"/>
      <w:start w:val="18"/>
    </w:lvl>
  </w:abstractNum>
  <w:abstractNum w:abstractNumId="51">
    <w:nsid w:val="2F305DEF"/>
    <w:multiLevelType w:val="hybridMultilevel"/>
    <w:lvl w:ilvl="0">
      <w:lvlJc w:val="left"/>
      <w:lvlText w:val="(%1)"/>
      <w:numFmt w:val="lowerRoman"/>
      <w:start w:val="2"/>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2"/>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decimal"/>
      <w:start w:val="3"/>
    </w:lvl>
    <w:lvl w:ilvl="1">
      <w:lvlJc w:val="left"/>
      <w:lvlText w:val="(%2)"/>
      <w:numFmt w:val="lowerLetter"/>
      <w:start w:val="1"/>
    </w:lvl>
  </w:abstractNum>
  <w:abstractNum w:abstractNumId="56">
    <w:nsid w:val="1381823A"/>
    <w:multiLevelType w:val="hybridMultilevel"/>
    <w:lvl w:ilvl="0">
      <w:lvlJc w:val="left"/>
      <w:lvlText w:val="(%1)"/>
      <w:numFmt w:val="lowerLetter"/>
      <w:start w:val="2"/>
    </w:lvl>
    <w:lvl w:ilvl="1">
      <w:lvlJc w:val="left"/>
      <w:lvlText w:val="(%2)"/>
      <w:numFmt w:val="lowerRoman"/>
      <w:start w:val="1"/>
    </w:lvl>
  </w:abstractNum>
  <w:abstractNum w:abstractNumId="57">
    <w:nsid w:val="5DB70AE5"/>
    <w:multiLevelType w:val="hybridMultilevel"/>
    <w:lvl w:ilvl="0">
      <w:lvlJc w:val="left"/>
      <w:lvlText w:val="(%1)"/>
      <w:numFmt w:val="lowerRoman"/>
      <w:start w:val="2"/>
    </w:lvl>
  </w:abstractNum>
  <w:abstractNum w:abstractNumId="58">
    <w:nsid w:val="100F8FCA"/>
    <w:multiLevelType w:val="hybridMultilevel"/>
    <w:lvl w:ilvl="0">
      <w:lvlJc w:val="left"/>
      <w:lvlText w:val="(%1)"/>
      <w:numFmt w:val="lowerLetter"/>
      <w:start w:val="5"/>
    </w:lvl>
  </w:abstractNum>
  <w:abstractNum w:abstractNumId="59">
    <w:nsid w:val="6590700B"/>
    <w:multiLevelType w:val="hybridMultilevel"/>
    <w:lvl w:ilvl="0">
      <w:lvlJc w:val="left"/>
      <w:lvlText w:val="%1"/>
      <w:numFmt w:val="decimal"/>
      <w:start w:val="1"/>
    </w:lvl>
    <w:lvl w:ilvl="1">
      <w:lvlJc w:val="left"/>
      <w:lvlText w:val="(%2)"/>
      <w:numFmt w:val="lowerLetter"/>
      <w:start w:val="6"/>
    </w:lvl>
  </w:abstractNum>
  <w:abstractNum w:abstractNumId="60">
    <w:nsid w:val="15014ACB"/>
    <w:multiLevelType w:val="hybridMultilevel"/>
    <w:lvl w:ilvl="0">
      <w:lvlJc w:val="left"/>
      <w:lvlText w:val="%1."/>
      <w:numFmt w:val="decimal"/>
      <w:start w:val="4"/>
    </w:lvl>
    <w:lvl w:ilvl="1">
      <w:lvlJc w:val="left"/>
      <w:lvlText w:val="(%2)"/>
      <w:numFmt w:val="lowerLetter"/>
      <w:start w:val="1"/>
    </w:lvl>
  </w:abstractNum>
  <w:abstractNum w:abstractNumId="61">
    <w:nsid w:val="5F5E7FD0"/>
    <w:multiLevelType w:val="hybridMultilevel"/>
    <w:lvl w:ilvl="0">
      <w:lvlJc w:val="left"/>
      <w:lvlText w:val="(%1)"/>
      <w:numFmt w:val="lowerLetter"/>
      <w:start w:val="3"/>
    </w:lvl>
    <w:lvl w:ilvl="1">
      <w:lvlJc w:val="left"/>
      <w:lvlText w:val="(%2)"/>
      <w:numFmt w:val="lowerRoman"/>
      <w:start w:val="1"/>
    </w:lvl>
  </w:abstractNum>
  <w:abstractNum w:abstractNumId="62">
    <w:nsid w:val="98A314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1)"/>
      <w:numFmt w:val="lowerRoman"/>
      <w:start w:val="2"/>
    </w:lvl>
  </w:abstractNum>
  <w:abstractNum w:abstractNumId="65">
    <w:nsid w:val="42C296BD"/>
    <w:multiLevelType w:val="hybridMultilevel"/>
    <w:lvl w:ilvl="0">
      <w:lvlJc w:val="left"/>
      <w:lvlText w:val="(%1)"/>
      <w:numFmt w:val="lowerRoman"/>
      <w:start w:val="3"/>
    </w:lvl>
  </w:abstractNum>
  <w:abstractNum w:abstractNumId="66">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67">
    <w:nsid w:val="1EBA5D2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8">
    <w:nsid w:val="661E3F1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9">
    <w:nsid w:val="5DC79EA8"/>
    <w:multiLevelType w:val="hybridMultilevel"/>
    <w:lvl w:ilvl="0">
      <w:lvlJc w:val="left"/>
      <w:lvlText w:val="%1."/>
      <w:numFmt w:val="decimal"/>
      <w:start w:val="7"/>
    </w:lvl>
  </w:abstractNum>
  <w:abstractNum w:abstractNumId="70">
    <w:nsid w:val="540A471C"/>
    <w:multiLevelType w:val="hybridMultilevel"/>
    <w:lvl w:ilvl="0">
      <w:lvlJc w:val="left"/>
      <w:lvlText w:val="%1."/>
      <w:numFmt w:val="decimal"/>
      <w:start w:val="8"/>
    </w:lvl>
  </w:abstractNum>
  <w:abstractNum w:abstractNumId="71">
    <w:nsid w:val="7BD3EE7B"/>
    <w:multiLevelType w:val="hybridMultilevel"/>
    <w:lvl w:ilvl="0">
      <w:lvlJc w:val="left"/>
      <w:lvlText w:val="%1."/>
      <w:numFmt w:val="decimal"/>
      <w:start w:val="12"/>
    </w:lvl>
  </w:abstractNum>
  <w:abstractNum w:abstractNumId="72">
    <w:nsid w:val="51D9C564"/>
    <w:multiLevelType w:val="hybridMultilevel"/>
    <w:lvl w:ilvl="0">
      <w:lvlJc w:val="left"/>
      <w:lvlText w:val="%1."/>
      <w:numFmt w:val="decimal"/>
      <w:start w:val="15"/>
    </w:lvl>
  </w:abstractNum>
  <w:abstractNum w:abstractNumId="73">
    <w:nsid w:val="613EFDC5"/>
    <w:multiLevelType w:val="hybridMultilevel"/>
    <w:lvl w:ilvl="0">
      <w:lvlJc w:val="left"/>
      <w:lvlText w:val="%1."/>
      <w:numFmt w:val="decimal"/>
      <w:start w:val="1"/>
    </w:lvl>
    <w:lvl w:ilvl="1">
      <w:lvlJc w:val="left"/>
      <w:lvlText w:val="%2)"/>
      <w:numFmt w:val="lowerLetter"/>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07" Type="http://schemas.openxmlformats.org/officeDocument/2006/relationships/hyperlink" Target="http://www.sec.gov/Archives/edgar/data/87347/000119312516532046/d176097dex31.htm" TargetMode="External"/><Relationship Id="rId108" Type="http://schemas.openxmlformats.org/officeDocument/2006/relationships/hyperlink" Target="http://www.sec.gov/Archives/edgar/data/87347/000119312519198989/d763655dex3.htm" TargetMode="External"/><Relationship Id="rId109" Type="http://schemas.openxmlformats.org/officeDocument/2006/relationships/hyperlink" Target="http://www.sec.gov/Archives/edgar/data/87347/000119312513460494/d637672dex41.htm" TargetMode="External"/><Relationship Id="rId110" Type="http://schemas.openxmlformats.org/officeDocument/2006/relationships/hyperlink" Target="http://www.sec.gov/Archives/edgar/data/87347/000119312513460494/d637672dex42.htm" TargetMode="External"/><Relationship Id="rId111" Type="http://schemas.openxmlformats.org/officeDocument/2006/relationships/hyperlink" Target="http://www.sec.gov/Archives/edgar/data/87347/000156459019000928/slb-ex101_817.htm" TargetMode="External"/><Relationship Id="rId112" Type="http://schemas.openxmlformats.org/officeDocument/2006/relationships/hyperlink" Target="http://www.sec.gov/Archives/edgar/data/87347/000156459019000928/slb-ex102_998.htm" TargetMode="External"/><Relationship Id="rId113" Type="http://schemas.openxmlformats.org/officeDocument/2006/relationships/hyperlink" Target="http://www.sec.gov/Archives/edgar/data/87347/000156459019000928/slb-ex103_999.htm" TargetMode="External"/><Relationship Id="rId114" Type="http://schemas.openxmlformats.org/officeDocument/2006/relationships/hyperlink" Target="http://www.sec.gov/Archives/edgar/data/87347/000156459019000928/slb-ex104_552.htm" TargetMode="External"/><Relationship Id="rId115" Type="http://schemas.openxmlformats.org/officeDocument/2006/relationships/hyperlink" Target="http://www.sec.gov/Archives/edgar/data/87347/000119312519096693/d729562dex101.htm" TargetMode="External"/><Relationship Id="rId116" Type="http://schemas.openxmlformats.org/officeDocument/2006/relationships/hyperlink" Target="http://www.sec.gov/Archives/edgar/data/87347/000156459019000928/slb-ex106_546.htm" TargetMode="External"/><Relationship Id="rId117" Type="http://schemas.openxmlformats.org/officeDocument/2006/relationships/hyperlink" Target="http://www.sec.gov/Archives/edgar/data/87347/000156459019000928/slb-ex107_551.htm" TargetMode="External"/><Relationship Id="rId118" Type="http://schemas.openxmlformats.org/officeDocument/2006/relationships/hyperlink" Target="http://www.sec.gov/Archives/edgar/data/87347/000156459019000928/slb-ex108_547.htm" TargetMode="External"/><Relationship Id="rId119" Type="http://schemas.openxmlformats.org/officeDocument/2006/relationships/hyperlink" Target="http://www.sec.gov/Archives/edgar/data/87347/000156459017000589/slb-ex1016_1235.htm" TargetMode="External"/><Relationship Id="rId120" Type="http://schemas.openxmlformats.org/officeDocument/2006/relationships/hyperlink" Target="http://www.sec.gov/Archives/edgar/data/87347/000130817918000016/lslb2018_def14a.htm" TargetMode="External"/><Relationship Id="rId121" Type="http://schemas.openxmlformats.org/officeDocument/2006/relationships/hyperlink" Target="http://www.sec.gov/Archives/edgar/data/87347/000119312513299983/d550034dex1010.htm" TargetMode="External"/><Relationship Id="rId122" Type="http://schemas.openxmlformats.org/officeDocument/2006/relationships/hyperlink" Target="http://www.sec.gov/Archives/edgar/data/87347/000119312513299983/d550034dex1011.htm" TargetMode="External"/><Relationship Id="rId125" Type="http://schemas.openxmlformats.org/officeDocument/2006/relationships/hyperlink" Target="http://www.sec.gov/Archives/edgar/data/87347/000156459017007214/slb-ex103_113.htm" TargetMode="External"/><Relationship Id="rId126" Type="http://schemas.openxmlformats.org/officeDocument/2006/relationships/hyperlink" Target="http://www.sec.gov/Archives/edgar/data/87347/000156459019000928/slb-ex1015_548.htm" TargetMode="External"/><Relationship Id="rId127" Type="http://schemas.openxmlformats.org/officeDocument/2006/relationships/hyperlink" Target="http://www.sec.gov/Archives/edgar/data/87347/000156459015005555/slb-ex101_758.htm" TargetMode="External"/><Relationship Id="rId128" Type="http://schemas.openxmlformats.org/officeDocument/2006/relationships/hyperlink" Target="http://www.sec.gov/Archives/edgar/data/87347/000156459015005555/slb-ex102_624.htm" TargetMode="External"/><Relationship Id="rId129" Type="http://schemas.openxmlformats.org/officeDocument/2006/relationships/hyperlink" Target="http://www.sec.gov/Archives/edgar/data/87347/000156459015005555/slb-ex103_629.htm" TargetMode="External"/><Relationship Id="rId130" Type="http://schemas.openxmlformats.org/officeDocument/2006/relationships/hyperlink" Target="http://www.sec.gov/Archives/edgar/data/87347/000130817917000018/lslb2017_def14a.htm" TargetMode="External"/><Relationship Id="rId131" Type="http://schemas.openxmlformats.org/officeDocument/2006/relationships/hyperlink" Target="http://www.sec.gov/Archives/edgar/data/87347/000156459019000928/slb-ex1020_550.htm" TargetMode="External"/><Relationship Id="rId132" Type="http://schemas.openxmlformats.org/officeDocument/2006/relationships/hyperlink" Target="http://www.sec.gov/Archives/edgar/data/87347/000156459017007214/slb-ex106_162.htm" TargetMode="External"/><Relationship Id="rId133" Type="http://schemas.openxmlformats.org/officeDocument/2006/relationships/hyperlink" Target="http://www.sec.gov/Archives/edgar/data/87347/000156459017007214/slb-ex104_112.htm" TargetMode="External"/><Relationship Id="rId134" Type="http://schemas.openxmlformats.org/officeDocument/2006/relationships/hyperlink" Target="http://www.sec.gov/Archives/edgar/data/87347/000156459017007214/slb-ex105_161.htm" TargetMode="External"/><Relationship Id="rId135" Type="http://schemas.openxmlformats.org/officeDocument/2006/relationships/hyperlink" Target="http://www.sec.gov/Archives/edgar/data/87347/000156459017007214/slb-ex101_114.htm" TargetMode="External"/><Relationship Id="rId136" Type="http://schemas.openxmlformats.org/officeDocument/2006/relationships/hyperlink" Target="http://www.sec.gov/Archives/edgar/data/87347/000156459017007214/slb-ex102_115.htm" TargetMode="External"/><Relationship Id="rId137" Type="http://schemas.openxmlformats.org/officeDocument/2006/relationships/hyperlink" Target="http://www.sec.gov/Archives/edgar/data/87347/000156459019000928/slb-ex1027_1834.htm" TargetMode="External"/><Relationship Id="rId138" Type="http://schemas.openxmlformats.org/officeDocument/2006/relationships/hyperlink" Target="http://www.sec.gov/Archives/edgar/data/87347/000156459019012635/slb-ex101_528.htm" TargetMode="External"/><Relationship Id="rId139" Type="http://schemas.openxmlformats.org/officeDocument/2006/relationships/hyperlink" Target="http://www.sec.gov/Archives/edgar/data/87347/000156459019012635/slb-ex102_527.htm" TargetMode="External"/><Relationship Id="rId140" Type="http://schemas.openxmlformats.org/officeDocument/2006/relationships/hyperlink" Target="http://www.sec.gov/Archives/edgar/data/87347/000156459019025739/slb-ex101_9.htm" TargetMode="External"/><Relationship Id="rId141" Type="http://schemas.openxmlformats.org/officeDocument/2006/relationships/hyperlink" Target="http://www.sec.gov/Archives/edgar/data/87347/000156459019037505/slb-ex101_161.htm" TargetMode="External"/><Relationship Id="rId144" Type="http://schemas.openxmlformats.org/officeDocument/2006/relationships/hyperlink" Target="http://www.sec.gov/Archives/edgar/data/87347/000119312513405191/d612968d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2020-01-22T11:09:39Z</dcterms:created>
  <dcterms:modified xsi:type="dcterms:W3CDTF">2020-01-22T11:09:39Z</dcterms:modified>
</cp:coreProperties>
</file>