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6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160"/>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Date of Report (date of earliest event reported): February 2,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6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60"/>
        <w:spacing w:after="0"/>
        <w:rPr>
          <w:sz w:val="20"/>
          <w:szCs w:val="20"/>
          <w:color w:val="auto"/>
        </w:rPr>
      </w:pPr>
      <w:r>
        <w:rPr>
          <w:rFonts w:ascii="Arial" w:cs="Arial" w:eastAsia="Arial" w:hAnsi="Arial"/>
          <w:sz w:val="43"/>
          <w:szCs w:val="43"/>
          <w:b w:val="1"/>
          <w:bCs w:val="1"/>
          <w:color w:val="auto"/>
        </w:rPr>
        <w:t>(SCHLUMBERGER LIMITED)</w:t>
      </w:r>
    </w:p>
    <w:p>
      <w:pPr>
        <w:jc w:val="center"/>
        <w:ind w:right="-1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60" w:type="dxa"/>
            <w:vAlign w:val="bottom"/>
          </w:tcPr>
          <w:p>
            <w:pPr>
              <w:jc w:val="center"/>
              <w:ind w:right="1678"/>
              <w:spacing w:after="0"/>
              <w:rPr>
                <w:sz w:val="20"/>
                <w:szCs w:val="20"/>
                <w:color w:val="auto"/>
              </w:rPr>
            </w:pPr>
            <w:r>
              <w:rPr>
                <w:rFonts w:ascii="Arial" w:cs="Arial" w:eastAsia="Arial" w:hAnsi="Arial"/>
                <w:sz w:val="18"/>
                <w:szCs w:val="18"/>
                <w:b w:val="1"/>
                <w:bCs w:val="1"/>
                <w:color w:val="auto"/>
                <w:w w:val="88"/>
              </w:rPr>
              <w:t>Netherlands Antilles</w:t>
            </w:r>
          </w:p>
        </w:tc>
        <w:tc>
          <w:tcPr>
            <w:tcW w:w="2780" w:type="dxa"/>
            <w:vAlign w:val="bottom"/>
          </w:tcPr>
          <w:p>
            <w:pPr>
              <w:jc w:val="right"/>
              <w:ind w:right="1182"/>
              <w:spacing w:after="0"/>
              <w:rPr>
                <w:sz w:val="20"/>
                <w:szCs w:val="20"/>
                <w:color w:val="auto"/>
              </w:rPr>
            </w:pPr>
            <w:r>
              <w:rPr>
                <w:rFonts w:ascii="Arial" w:cs="Arial" w:eastAsia="Arial" w:hAnsi="Arial"/>
                <w:sz w:val="18"/>
                <w:szCs w:val="18"/>
                <w:b w:val="1"/>
                <w:bCs w:val="1"/>
                <w:color w:val="auto"/>
              </w:rPr>
              <w:t>1-4601</w:t>
            </w:r>
          </w:p>
        </w:tc>
        <w:tc>
          <w:tcPr>
            <w:tcW w:w="2840" w:type="dxa"/>
            <w:vAlign w:val="bottom"/>
          </w:tcPr>
          <w:p>
            <w:pPr>
              <w:jc w:val="center"/>
              <w:ind w:left="17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60" w:type="dxa"/>
            <w:vAlign w:val="bottom"/>
          </w:tcPr>
          <w:p>
            <w:pPr>
              <w:jc w:val="center"/>
              <w:ind w:right="1658"/>
              <w:spacing w:after="0" w:line="149" w:lineRule="exact"/>
              <w:rPr>
                <w:sz w:val="20"/>
                <w:szCs w:val="20"/>
                <w:color w:val="auto"/>
              </w:rPr>
            </w:pPr>
            <w:r>
              <w:rPr>
                <w:rFonts w:ascii="Arial" w:cs="Arial" w:eastAsia="Arial" w:hAnsi="Arial"/>
                <w:sz w:val="14"/>
                <w:szCs w:val="14"/>
                <w:b w:val="1"/>
                <w:bCs w:val="1"/>
                <w:color w:val="auto"/>
                <w:w w:val="87"/>
              </w:rPr>
              <w:t>(State or other</w:t>
            </w:r>
          </w:p>
        </w:tc>
        <w:tc>
          <w:tcPr>
            <w:tcW w:w="27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84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60" w:type="dxa"/>
            <w:vAlign w:val="bottom"/>
          </w:tcPr>
          <w:p>
            <w:pPr>
              <w:jc w:val="center"/>
              <w:ind w:right="1678"/>
              <w:spacing w:after="0"/>
              <w:rPr>
                <w:sz w:val="20"/>
                <w:szCs w:val="20"/>
                <w:color w:val="auto"/>
              </w:rPr>
            </w:pPr>
            <w:r>
              <w:rPr>
                <w:rFonts w:ascii="Arial" w:cs="Arial" w:eastAsia="Arial" w:hAnsi="Arial"/>
                <w:sz w:val="14"/>
                <w:szCs w:val="14"/>
                <w:b w:val="1"/>
                <w:bCs w:val="1"/>
                <w:color w:val="auto"/>
                <w:w w:val="88"/>
              </w:rPr>
              <w:t>jurisdiction of incorporation)</w:t>
            </w:r>
          </w:p>
        </w:tc>
        <w:tc>
          <w:tcPr>
            <w:tcW w:w="2780" w:type="dxa"/>
            <w:vAlign w:val="bottom"/>
          </w:tcPr>
          <w:p>
            <w:pPr>
              <w:spacing w:after="0"/>
              <w:rPr>
                <w:sz w:val="15"/>
                <w:szCs w:val="15"/>
                <w:color w:val="auto"/>
              </w:rPr>
            </w:pPr>
          </w:p>
        </w:tc>
        <w:tc>
          <w:tcPr>
            <w:tcW w:w="2840" w:type="dxa"/>
            <w:vAlign w:val="bottom"/>
          </w:tcPr>
          <w:p>
            <w:pPr>
              <w:jc w:val="center"/>
              <w:ind w:left="1701"/>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153 East 53rd Street, 57th Floor</w:t>
            </w:r>
          </w:p>
        </w:tc>
        <w:tc>
          <w:tcPr>
            <w:tcW w:w="27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2"/>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780" w:type="dxa"/>
            <w:vAlign w:val="bottom"/>
          </w:tcPr>
          <w:p>
            <w:pPr>
              <w:spacing w:after="0"/>
              <w:rPr>
                <w:sz w:val="21"/>
                <w:szCs w:val="21"/>
                <w:color w:val="auto"/>
              </w:rPr>
            </w:pPr>
          </w:p>
        </w:tc>
        <w:tc>
          <w:tcPr>
            <w:tcW w:w="2840" w:type="dxa"/>
            <w:vAlign w:val="bottom"/>
          </w:tcPr>
          <w:p>
            <w:pPr>
              <w:jc w:val="right"/>
              <w:ind w:right="1001"/>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42, rue Saint-Dominique</w:t>
            </w:r>
          </w:p>
        </w:tc>
        <w:tc>
          <w:tcPr>
            <w:tcW w:w="27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2"/>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0"/>
              </w:rPr>
              <w:t>Paris, France</w:t>
            </w:r>
          </w:p>
        </w:tc>
        <w:tc>
          <w:tcPr>
            <w:tcW w:w="2780" w:type="dxa"/>
            <w:vAlign w:val="bottom"/>
          </w:tcPr>
          <w:p>
            <w:pPr>
              <w:spacing w:after="0"/>
              <w:rPr>
                <w:sz w:val="21"/>
                <w:szCs w:val="21"/>
                <w:color w:val="auto"/>
              </w:rPr>
            </w:pPr>
          </w:p>
        </w:tc>
        <w:tc>
          <w:tcPr>
            <w:tcW w:w="2840" w:type="dxa"/>
            <w:vAlign w:val="bottom"/>
          </w:tcPr>
          <w:p>
            <w:pPr>
              <w:jc w:val="right"/>
              <w:ind w:right="1201"/>
              <w:spacing w:after="0"/>
              <w:rPr>
                <w:sz w:val="20"/>
                <w:szCs w:val="20"/>
                <w:color w:val="auto"/>
              </w:rPr>
            </w:pPr>
            <w:r>
              <w:rPr>
                <w:rFonts w:ascii="Arial" w:cs="Arial" w:eastAsia="Arial" w:hAnsi="Arial"/>
                <w:sz w:val="18"/>
                <w:szCs w:val="18"/>
                <w:b w:val="1"/>
                <w:bCs w:val="1"/>
                <w:color w:val="auto"/>
              </w:rPr>
              <w:t>75007</w:t>
            </w:r>
          </w:p>
        </w:tc>
      </w:tr>
      <w:tr>
        <w:trPr>
          <w:trHeight w:val="420"/>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7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7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780" w:type="dxa"/>
            <w:vAlign w:val="bottom"/>
          </w:tcPr>
          <w:p>
            <w:pPr>
              <w:spacing w:after="0"/>
              <w:rPr>
                <w:sz w:val="18"/>
                <w:szCs w:val="18"/>
                <w:color w:val="auto"/>
              </w:rPr>
            </w:pPr>
          </w:p>
        </w:tc>
        <w:tc>
          <w:tcPr>
            <w:tcW w:w="2840" w:type="dxa"/>
            <w:vAlign w:val="bottom"/>
          </w:tcPr>
          <w:p>
            <w:pPr>
              <w:jc w:val="center"/>
              <w:ind w:right="6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780" w:type="dxa"/>
            <w:vAlign w:val="bottom"/>
          </w:tcPr>
          <w:p>
            <w:pPr>
              <w:spacing w:after="0"/>
              <w:rPr>
                <w:sz w:val="15"/>
                <w:szCs w:val="15"/>
                <w:color w:val="auto"/>
              </w:rPr>
            </w:pPr>
          </w:p>
        </w:tc>
        <w:tc>
          <w:tcPr>
            <w:tcW w:w="2840" w:type="dxa"/>
            <w:vAlign w:val="bottom"/>
          </w:tcPr>
          <w:p>
            <w:pPr>
              <w:jc w:val="center"/>
              <w:ind w:right="61"/>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135"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175895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179"/>
          </w:cols>
          <w:pgMar w:left="1280" w:top="422" w:right="1440"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color w:val="auto"/>
        </w:rPr>
        <w:t>Other Events.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February 2, 2004, Schlumberger Limited’s subsidiary, Schlumberger Investments Limited, entered into an agreement to sell 9.6 million ordinary shares of Atos Origin SA (including 1 million shares subject to an overallotment option that was exercised on February 3) at a price of EUR52.95 per share in a private placement to institutional investors. The total gross proceeds from the sale will be about EUR508 million, or $630 million. Schlumberger expects to apply the net proceeds from the sale to reduce debt.</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Subsidiaries of Schlumberger Limited received 19.3 million shares, or 28.9% of the share capital, of Atos Origin as part of the consideration for the sale of portions of the businesses of SchlumbergerSema to Atos Origin. The sale of the Atos Origin shares will be essentially breakeven, given the price on January 29, 2004 of EUR52.65 upon closing of the sale to Atos Origin.</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Following completion of the sale, which is subject to customary conditions, the Schlumberger group will hold approximately 14.5% in the share capital of Atos Origin. Consequently, Schlumberger will account for its remaining investment in Atos Origin using the cost method.</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381"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6"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Frank A. Sorgie</w:t>
      </w:r>
    </w:p>
    <w:p>
      <w:pPr>
        <w:ind w:left="7280"/>
        <w:spacing w:after="0"/>
        <w:rPr>
          <w:sz w:val="20"/>
          <w:szCs w:val="20"/>
          <w:color w:val="auto"/>
        </w:rPr>
      </w:pPr>
      <w:r>
        <w:rPr>
          <w:rFonts w:ascii="Arial" w:cs="Arial" w:eastAsia="Arial" w:hAnsi="Arial"/>
          <w:sz w:val="14"/>
          <w:szCs w:val="14"/>
          <w:color w:val="auto"/>
        </w:rPr>
        <w:t>Chief Accounting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4, 2004</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2019-12-13T06:42:17Z</dcterms:created>
  <dcterms:modified xsi:type="dcterms:W3CDTF">2019-12-13T06:42:17Z</dcterms:modified>
</cp:coreProperties>
</file>