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5"/>
              </w:rPr>
              <w:t>5599 SAN FELIPE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120" w:lineRule="exact"/>
        <w:rPr>
          <w:sz w:val="24"/>
          <w:szCs w:val="24"/>
          <w:color w:val="auto"/>
        </w:rPr>
      </w:pPr>
    </w:p>
    <w:p>
      <w:pPr>
        <w:ind w:right="60"/>
        <w:spacing w:after="0" w:line="21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ind w:right="240"/>
        <w:spacing w:after="0" w:line="30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440"/>
          </w:cols>
          <w:pgMar w:left="240" w:top="205" w:right="219" w:bottom="1440" w:gutter="0" w:footer="0" w:header="0"/>
        </w:sectPr>
      </w:pP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1740" w:space="560"/>
            <w:col w:w="9140"/>
          </w:cols>
          <w:pgMar w:left="240" w:top="205" w:right="219" w:bottom="1440" w:gutter="0" w:footer="0" w:header="0"/>
          <w:type w:val="continuous"/>
        </w:sectPr>
      </w:pPr>
    </w:p>
    <w:p>
      <w:pPr>
        <w:ind w:right="3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Yes </w:t>
            </w:r>
            <w:r>
              <w:rPr>
                <w:rFonts w:ascii="MS PGothic" w:cs="MS PGothic" w:eastAsia="MS PGothic" w:hAnsi="MS PGothic"/>
                <w:sz w:val="16"/>
                <w:szCs w:val="16"/>
                <w:color w:val="auto"/>
                <w:w w:val="92"/>
              </w:rPr>
              <w:t>☐</w:t>
            </w:r>
          </w:p>
        </w:tc>
        <w:tc>
          <w:tcPr>
            <w:tcW w:w="350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Arial" w:cs="Arial" w:eastAsia="Arial" w:hAnsi="Arial"/>
                <w:sz w:val="16"/>
                <w:szCs w:val="16"/>
                <w:color w:val="auto"/>
                <w:w w:val="90"/>
              </w:rPr>
              <w:t>Indicate the number of shares outstanding of each of the issuer’s classes of common stock, as of the latest practicable date.</w:t>
            </w: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Arial" w:cs="Arial" w:eastAsia="Arial" w:hAnsi="Arial"/>
                <w:sz w:val="16"/>
                <w:szCs w:val="16"/>
                <w:b w:val="1"/>
                <w:bCs w:val="1"/>
                <w:color w:val="auto"/>
              </w:rPr>
              <w:t>Class</w:t>
            </w: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Outstanding at March 31, 2018</w:t>
            </w:r>
          </w:p>
        </w:tc>
      </w:tr>
      <w:tr>
        <w:trPr>
          <w:trHeight w:val="221"/>
        </w:trPr>
        <w:tc>
          <w:tcPr>
            <w:tcW w:w="794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720" w:type="dxa"/>
            <w:vAlign w:val="bottom"/>
          </w:tcPr>
          <w:p>
            <w:pPr>
              <w:spacing w:after="0"/>
              <w:rPr>
                <w:sz w:val="19"/>
                <w:szCs w:val="19"/>
                <w:color w:val="auto"/>
              </w:rPr>
            </w:pPr>
          </w:p>
        </w:tc>
        <w:tc>
          <w:tcPr>
            <w:tcW w:w="2120" w:type="dxa"/>
            <w:vAlign w:val="bottom"/>
            <w:tcBorders>
              <w:top w:val="single" w:sz="8" w:color="auto"/>
            </w:tcBorders>
          </w:tcPr>
          <w:p>
            <w:pPr>
              <w:jc w:val="right"/>
              <w:ind w:right="520"/>
              <w:spacing w:after="0"/>
              <w:rPr>
                <w:sz w:val="20"/>
                <w:szCs w:val="20"/>
                <w:color w:val="auto"/>
              </w:rPr>
            </w:pPr>
            <w:r>
              <w:rPr>
                <w:rFonts w:ascii="Arial" w:cs="Arial" w:eastAsia="Arial" w:hAnsi="Arial"/>
                <w:sz w:val="16"/>
                <w:szCs w:val="16"/>
                <w:color w:val="auto"/>
              </w:rPr>
              <w:t>1,385,133,215</w:t>
            </w:r>
          </w:p>
        </w:tc>
        <w:tc>
          <w:tcPr>
            <w:tcW w:w="660" w:type="dxa"/>
            <w:vAlign w:val="bottom"/>
          </w:tcPr>
          <w:p>
            <w:pPr>
              <w:spacing w:after="0"/>
              <w:rPr>
                <w:sz w:val="19"/>
                <w:szCs w:val="19"/>
                <w:color w:val="auto"/>
              </w:rPr>
            </w:pPr>
          </w:p>
        </w:tc>
      </w:tr>
      <w:tr>
        <w:trPr>
          <w:trHeight w:val="131"/>
        </w:trPr>
        <w:tc>
          <w:tcPr>
            <w:tcW w:w="38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7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2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2018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66040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0" w:type="dxa"/>
            <w:vAlign w:val="bottom"/>
            <w:gridSpan w:val="6"/>
          </w:tcPr>
          <w:p>
            <w:pPr>
              <w:ind w:left="88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36"/>
        </w:trPr>
        <w:tc>
          <w:tcPr>
            <w:tcW w:w="7820" w:type="dxa"/>
            <w:vAlign w:val="bottom"/>
          </w:tcPr>
          <w:p>
            <w:pPr>
              <w:spacing w:after="0"/>
              <w:rPr>
                <w:sz w:val="24"/>
                <w:szCs w:val="2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080" w:type="dxa"/>
            <w:vAlign w:val="bottom"/>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5,736</w:t>
            </w:r>
          </w:p>
        </w:tc>
        <w:tc>
          <w:tcPr>
            <w:tcW w:w="280" w:type="dxa"/>
            <w:vAlign w:val="bottom"/>
          </w:tcPr>
          <w:p>
            <w:pPr>
              <w:spacing w:after="0"/>
              <w:rPr>
                <w:sz w:val="19"/>
                <w:szCs w:val="19"/>
                <w:color w:val="auto"/>
              </w:rPr>
            </w:pPr>
          </w:p>
        </w:tc>
        <w:tc>
          <w:tcPr>
            <w:tcW w:w="1140" w:type="dxa"/>
            <w:vAlign w:val="bottom"/>
          </w:tcPr>
          <w:p>
            <w:pPr>
              <w:jc w:val="right"/>
              <w:ind w:right="95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4,828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2,093</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2,066</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7,829</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6,894</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4,880</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4,181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1,922</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1,895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&amp; integration</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643</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Taxes on income</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80" w:type="dxa"/>
            <w:vAlign w:val="bottom"/>
            <w:tcBorders>
              <w:bottom w:val="single" w:sz="8" w:color="auto"/>
            </w:tcBorders>
            <w:shd w:val="clear" w:color="auto" w:fill="CFF0FC"/>
          </w:tcPr>
          <w:p>
            <w:pPr>
              <w:jc w:val="right"/>
              <w:ind w:right="923"/>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2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1,393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1,394</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1,402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(Stated in millions)</w:t>
            </w:r>
          </w:p>
        </w:tc>
      </w:tr>
      <w:tr>
        <w:trPr>
          <w:trHeight w:val="452"/>
        </w:trPr>
        <w:tc>
          <w:tcPr>
            <w:tcW w:w="7820" w:type="dxa"/>
            <w:vAlign w:val="bottom"/>
          </w:tcPr>
          <w:p>
            <w:pPr>
              <w:spacing w:after="0"/>
              <w:rPr>
                <w:sz w:val="24"/>
                <w:szCs w:val="24"/>
                <w:color w:val="auto"/>
              </w:rPr>
            </w:pPr>
          </w:p>
        </w:tc>
        <w:tc>
          <w:tcPr>
            <w:tcW w:w="3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 March 31,</w:t>
            </w:r>
          </w:p>
        </w:tc>
      </w:tr>
      <w:tr>
        <w:trPr>
          <w:trHeight w:val="220"/>
        </w:trPr>
        <w:tc>
          <w:tcPr>
            <w:tcW w:w="782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140" w:type="dxa"/>
            <w:vAlign w:val="bottom"/>
            <w:shd w:val="clear" w:color="auto" w:fill="CFF0FC"/>
          </w:tcPr>
          <w:p>
            <w:pPr>
              <w:jc w:val="right"/>
              <w:ind w:right="980"/>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arising during the period</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gain on cash flow hedges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Reclassification to net income of net realized gain</w:t>
            </w:r>
          </w:p>
        </w:tc>
        <w:tc>
          <w:tcPr>
            <w:tcW w:w="1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60"/>
              <w:spacing w:after="0"/>
              <w:rPr>
                <w:sz w:val="20"/>
                <w:szCs w:val="20"/>
                <w:color w:val="auto"/>
              </w:rPr>
            </w:pPr>
            <w:r>
              <w:rPr>
                <w:rFonts w:ascii="Arial" w:cs="Arial" w:eastAsia="Arial" w:hAnsi="Arial"/>
                <w:sz w:val="18"/>
                <w:szCs w:val="18"/>
                <w:color w:val="auto"/>
              </w:rPr>
              <w:t>Amortization to net income of net actuarial loss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of net prior service (credit) cost</w:t>
            </w:r>
          </w:p>
        </w:tc>
        <w:tc>
          <w:tcPr>
            <w:tcW w:w="1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1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645</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Comprehensive income attributable to noncontrolling interests</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640</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Mar.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(2018 - $235; 2017 - $241)</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8,472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4,174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1,244</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18,055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11,556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25,120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71,478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9,598</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4,586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700</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16,195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34,152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(3,937)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32,022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(4,159)</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36,924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37,326</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71,478</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20" w:type="dxa"/>
            <w:vAlign w:val="bottom"/>
            <w:tcBorders>
              <w:bottom w:val="single" w:sz="8" w:color="auto"/>
            </w:tcBorders>
            <w:gridSpan w:val="6"/>
          </w:tcPr>
          <w:p>
            <w:pPr>
              <w:jc w:val="right"/>
              <w:ind w:right="781"/>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24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rPr>
              <w:t>2018</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21"/>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440" w:type="dxa"/>
            <w:vAlign w:val="bottom"/>
            <w:gridSpan w:val="2"/>
          </w:tcPr>
          <w:p>
            <w:pPr>
              <w:jc w:val="right"/>
              <w:ind w:right="93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530</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Merger &amp; integration charges</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6520" w:type="dxa"/>
            <w:vAlign w:val="bottom"/>
          </w:tcPr>
          <w:p>
            <w:pPr>
              <w:ind w:left="240"/>
              <w:spacing w:after="0" w:line="212"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receivables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(152)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Increase in inventories</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in other current assets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Increase in other assets</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Increase (decrease) in estimated liability for taxes on income</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other liabilities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ind w:left="60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Capital expenditures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(454)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SPM investments</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Multiclient seismic data costs capitalized</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Sale of investments, net</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3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(692)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decrease in short-term borrowings</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(105)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1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(787)</w:t>
            </w:r>
          </w:p>
        </w:tc>
        <w:tc>
          <w:tcPr>
            <w:tcW w:w="1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1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136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13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30"/>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1,865</w:t>
            </w: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Arial" w:cs="Arial" w:eastAsia="Arial" w:hAnsi="Arial"/>
          <w:sz w:val="23"/>
          <w:szCs w:val="23"/>
          <w:color w:val="auto"/>
          <w:vertAlign w:val="superscript"/>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3"/>
          <w:szCs w:val="23"/>
          <w:color w:val="auto"/>
          <w:vertAlign w:val="superscript"/>
        </w:rPr>
      </w:pPr>
    </w:p>
    <w:p>
      <w:pPr>
        <w:ind w:left="280" w:hanging="194"/>
        <w:spacing w:after="0" w:line="180" w:lineRule="auto"/>
        <w:tabs>
          <w:tab w:leader="none" w:pos="2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121" w:right="2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ind w:left="4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260" w:type="dxa"/>
            <w:vAlign w:val="bottom"/>
            <w:gridSpan w:val="5"/>
          </w:tcPr>
          <w:p>
            <w:pPr>
              <w:ind w:left="60"/>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2018 – March 31, 2018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2018</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12,975</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(4,049)</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32,190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(4,274)</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419</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37,261</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530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44</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(20)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20</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(33)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107</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(97</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90</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90</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($0.50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(693)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(693</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March 31, 2018</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12,998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(3,937)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37,326</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i w:val="1"/>
                <w:iCs w:val="1"/>
                <w:color w:val="auto"/>
                <w:w w:val="94"/>
              </w:rPr>
              <w:t>(Stated in million</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2017 – March 31, 2017</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2017</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12,801</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(3,550)</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36,470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(4,643)</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41,52</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279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(29)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9</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(37</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88</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8</w:t>
            </w:r>
          </w:p>
        </w:tc>
      </w:tr>
      <w:tr>
        <w:trPr>
          <w:trHeight w:val="154"/>
        </w:trPr>
        <w:tc>
          <w:tcPr>
            <w:tcW w:w="3860" w:type="dxa"/>
            <w:vAlign w:val="bottom"/>
          </w:tcPr>
          <w:p>
            <w:pPr>
              <w:spacing w:after="0" w:line="154" w:lineRule="exact"/>
              <w:rPr>
                <w:sz w:val="20"/>
                <w:szCs w:val="20"/>
                <w:color w:val="auto"/>
              </w:rPr>
            </w:pPr>
            <w:r>
              <w:rPr>
                <w:rFonts w:ascii="Arial" w:cs="Arial" w:eastAsia="Arial" w:hAnsi="Arial"/>
                <w:sz w:val="14"/>
                <w:szCs w:val="14"/>
                <w:color w:val="auto"/>
              </w:rPr>
              <w:t>Dividends declared ($0.50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4" w:lineRule="exact"/>
              <w:rPr>
                <w:sz w:val="20"/>
                <w:szCs w:val="20"/>
                <w:color w:val="auto"/>
              </w:rPr>
            </w:pPr>
            <w:r>
              <w:rPr>
                <w:rFonts w:ascii="Arial" w:cs="Arial" w:eastAsia="Arial" w:hAnsi="Arial"/>
                <w:sz w:val="14"/>
                <w:szCs w:val="14"/>
                <w:color w:val="auto"/>
              </w:rPr>
              <w:t>(697)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(69</w:t>
            </w:r>
          </w:p>
        </w:tc>
      </w:tr>
      <w:tr>
        <w:trPr>
          <w:trHeight w:val="165"/>
        </w:trPr>
        <w:tc>
          <w:tcPr>
            <w:tcW w:w="386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53"/>
        </w:trPr>
        <w:tc>
          <w:tcPr>
            <w:tcW w:w="38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March 31, 2017</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12,780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(3,697)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36,052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(4,529)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448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41,05</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6720" w:type="dxa"/>
            <w:vAlign w:val="bottom"/>
          </w:tcPr>
          <w:p>
            <w:pPr>
              <w:spacing w:after="0"/>
              <w:rPr>
                <w:sz w:val="20"/>
                <w:szCs w:val="20"/>
                <w:color w:val="auto"/>
              </w:rPr>
            </w:pPr>
            <w:r>
              <w:rPr>
                <w:rFonts w:ascii="Arial" w:cs="Arial" w:eastAsia="Arial" w:hAnsi="Arial"/>
                <w:sz w:val="18"/>
                <w:szCs w:val="18"/>
                <w:color w:val="auto"/>
              </w:rPr>
              <w:t>Balance, March 31, 2018</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3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2018 are not necessarily indicative of the results that may be expected for the full year ending December 31, 2018. The December 31, 2017 balance sheet information has been derived from the Schlumberger 2017 audited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2017,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Securities and Exchange Commission on January 24,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This ASU amended the existing accounting standards for revenue recognition and requires companies to recognize revenue when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promised goods or services is transferred to a customer at an amount that reflects the consideration a company expects to receive in exchange for those goods or services. Schlumberger adopted this ASU on January 1, 2018 using the modified retrospective transition method applied to those contracts which were not completed as of January 1, 2018. Prior period amounts have not been adjusted and continue to be reflected in accordance with Schlumberger’s historical accounting. The adoption of this ASU did not have a material impact on Schlumberger’s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30 to 60 days.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based on the prices charged to customers or using expected costs plus margin.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became probable.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$0.3 billion at both March 31, 2018 and December 31, 2017.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$2.8 billion at March 31, 2018, of which approximately 50% is expected to be recognized as revenue over the next 12 months.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Billings and cash collections in excess of revenue was $0.9 billion at March 31, 2018 and $0.8 billion at December 31, 2017. Such amounts are included within </w:t>
      </w: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 of use asset and lease liability on the balance sheet for all leases, with the exception of short-term leases. This ASU is effective for Schlumberger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66" w:lineRule="auto"/>
        <w:rPr>
          <w:sz w:val="20"/>
          <w:szCs w:val="20"/>
          <w:color w:val="auto"/>
        </w:rPr>
      </w:pPr>
      <w:r>
        <w:rPr>
          <w:rFonts w:ascii="Arial" w:cs="Arial" w:eastAsia="Arial" w:hAnsi="Arial"/>
          <w:sz w:val="18"/>
          <w:szCs w:val="18"/>
          <w:color w:val="auto"/>
        </w:rPr>
        <w:t xml:space="preserve">January 1, 2019, with early adoption permitted. Based on its current lease portfolio, Schlumberger estimates that the adoption of this ASU will result in approximately $1.3 billion of additional assets and liabilities being reflected on its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9" w:lineRule="exact"/>
        <w:rPr>
          <w:sz w:val="20"/>
          <w:szCs w:val="20"/>
          <w:color w:val="auto"/>
        </w:rPr>
      </w:pPr>
    </w:p>
    <w:p>
      <w:pPr>
        <w:ind w:right="9580" w:firstLine="6"/>
        <w:spacing w:after="0" w:line="373"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connection with Schlumberger’s acquisition of Cameron International Corporation (“Cameron”), Schlumberger recorded $82 million of charges during the first quarter of 2017 relating to employee benefits, facility closures and other merger and integration-related costs. These charges are classified in </w:t>
      </w:r>
      <w:r>
        <w:rPr>
          <w:rFonts w:ascii="Arial" w:cs="Arial" w:eastAsia="Arial" w:hAnsi="Arial"/>
          <w:sz w:val="18"/>
          <w:szCs w:val="18"/>
          <w:i w:val="1"/>
          <w:iCs w:val="1"/>
          <w:color w:val="auto"/>
        </w:rPr>
        <w:t>Merger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22, 2017, the US enacted the Tax Cuts and Jobs Act (the “Act”). The Act, which is also commonly referred to as “US tax reform”, significantly changes US corporate income tax laws by, among other things, reducing the US corporate income tax rate to 21% starting in 2018 and creating a territorial tax system with a one-time mandatory tax on previously deferred foreign earnings of US subsidiaries. As a result, Schlumberger recorded a net charge of $76 million during the fourth quarter of 2017. This amount consisted of two components: (i) a $410 million charge relating to the one-time mandatory tax on previously deferred earnings of certain non-US subsidiaries that are owned either wholly or partially by a US subsidiary of Schlumberger, and (ii) a $334 million credit resulting from the remeasurement of Schlumberger’s net deferred tax liabilities in the US based on the new lower corporate income tax rate.</w:t>
      </w:r>
    </w:p>
    <w:p>
      <w:pPr>
        <w:spacing w:after="0" w:line="1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Although the $76 million net charge represents a reasonable estimate of the impact of the income tax effects of the Act on Schlumberger’s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as of December 31, 2017, it should be considered provisional. Once Schlumberger finalizes certain tax positions when it files its 2017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 return, it will be able to conclude whether any further adjustments are required. Any adjustments to these provisional amounts will be reported as a component of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reporting period in which any such adjustments are determined, which will be no later than the fourth quarter of 2018.</w:t>
      </w:r>
    </w:p>
    <w:p>
      <w:pPr>
        <w:spacing w:after="0" w:line="262" w:lineRule="exact"/>
        <w:rPr>
          <w:sz w:val="20"/>
          <w:szCs w:val="20"/>
          <w:color w:val="auto"/>
        </w:rPr>
      </w:pPr>
    </w:p>
    <w:p>
      <w:pPr>
        <w:ind w:left="280" w:hanging="274"/>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5"/>
              </w:rPr>
              <w:t>(Stated in millions, except per share amounts)</w:t>
            </w:r>
          </w:p>
        </w:tc>
      </w:tr>
      <w:tr>
        <w:trPr>
          <w:trHeight w:val="421"/>
        </w:trPr>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1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Schlumberger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Arial" w:cs="Arial" w:eastAsia="Arial" w:hAnsi="Arial"/>
                <w:sz w:val="16"/>
                <w:szCs w:val="16"/>
                <w:b w:val="1"/>
                <w:bCs w:val="1"/>
                <w:color w:val="auto"/>
                <w:w w:val="89"/>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2"/>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Earnings per</w:t>
            </w:r>
          </w:p>
        </w:tc>
      </w:tr>
      <w:tr>
        <w:trPr>
          <w:trHeight w:val="211"/>
        </w:trPr>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Net Income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96"/>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Share</w:t>
            </w:r>
          </w:p>
        </w:tc>
      </w:tr>
      <w:tr>
        <w:trPr>
          <w:trHeight w:val="202"/>
        </w:trPr>
        <w:tc>
          <w:tcPr>
            <w:tcW w:w="28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First Quarter</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1820" w:type="dxa"/>
            <w:vAlign w:val="bottom"/>
            <w:tcBorders>
              <w:top w:val="single" w:sz="8" w:color="CFF0FC"/>
            </w:tcBorders>
          </w:tcPr>
          <w:p>
            <w:pPr>
              <w:spacing w:after="0"/>
              <w:rPr>
                <w:sz w:val="23"/>
                <w:szCs w:val="23"/>
                <w:color w:val="auto"/>
              </w:rPr>
            </w:pPr>
          </w:p>
        </w:tc>
        <w:tc>
          <w:tcPr>
            <w:tcW w:w="5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525</w:t>
            </w:r>
          </w:p>
        </w:tc>
        <w:tc>
          <w:tcPr>
            <w:tcW w:w="240" w:type="dxa"/>
            <w:vAlign w:val="bottom"/>
            <w:tcBorders>
              <w:top w:val="single" w:sz="8" w:color="CFF0FC"/>
            </w:tcBorders>
          </w:tcPr>
          <w:p>
            <w:pPr>
              <w:spacing w:after="0"/>
              <w:rPr>
                <w:sz w:val="23"/>
                <w:szCs w:val="23"/>
                <w:color w:val="auto"/>
              </w:rPr>
            </w:pP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1,385</w:t>
            </w:r>
          </w:p>
        </w:tc>
        <w:tc>
          <w:tcPr>
            <w:tcW w:w="3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0.38</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279</w:t>
            </w:r>
          </w:p>
        </w:tc>
        <w:tc>
          <w:tcPr>
            <w:tcW w:w="13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1,393</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top w:val="single" w:sz="8" w:color="CFF0FC"/>
            </w:tcBorders>
          </w:tcPr>
          <w:p>
            <w:pPr>
              <w:spacing w:after="0"/>
              <w:rPr>
                <w:sz w:val="23"/>
                <w:szCs w:val="23"/>
                <w:color w:val="auto"/>
              </w:rPr>
            </w:pPr>
          </w:p>
        </w:tc>
      </w:tr>
      <w:tr>
        <w:trPr>
          <w:trHeight w:val="206"/>
        </w:trPr>
        <w:tc>
          <w:tcPr>
            <w:tcW w:w="284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CFF0FC"/>
            </w:tcBorders>
            <w:gridSpan w:val="2"/>
            <w:shd w:val="clear" w:color="auto" w:fill="CFF0FC"/>
          </w:tcPr>
          <w:p>
            <w:pPr>
              <w:jc w:val="right"/>
              <w:spacing w:after="0" w:line="205" w:lineRule="exact"/>
              <w:rPr>
                <w:sz w:val="20"/>
                <w:szCs w:val="20"/>
                <w:color w:val="auto"/>
              </w:rPr>
            </w:pPr>
            <w:r>
              <w:rPr>
                <w:rFonts w:ascii="Arial" w:cs="Arial" w:eastAsia="Arial" w:hAnsi="Arial"/>
                <w:sz w:val="18"/>
                <w:szCs w:val="18"/>
                <w:color w:val="auto"/>
              </w:rPr>
              <w:t>4</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9"/>
                <w:szCs w:val="19"/>
                <w:color w:val="auto"/>
              </w:rPr>
            </w:pPr>
          </w:p>
        </w:tc>
      </w:tr>
      <w:tr>
        <w:trPr>
          <w:trHeight w:val="20"/>
        </w:trPr>
        <w:tc>
          <w:tcPr>
            <w:tcW w:w="102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20"/>
        </w:trPr>
        <w:tc>
          <w:tcPr>
            <w:tcW w:w="9000" w:type="dxa"/>
            <w:vAlign w:val="bottom"/>
            <w:gridSpan w:val="2"/>
            <w:shd w:val="clear" w:color="auto" w:fill="CFF0FC"/>
          </w:tcPr>
          <w:p>
            <w:pPr>
              <w:jc w:val="right"/>
              <w:ind w:right="7991"/>
              <w:spacing w:after="0"/>
              <w:rPr>
                <w:sz w:val="20"/>
                <w:szCs w:val="20"/>
                <w:color w:val="auto"/>
              </w:rPr>
            </w:pPr>
            <w:r>
              <w:rPr>
                <w:rFonts w:ascii="Arial" w:cs="Arial" w:eastAsia="Arial" w:hAnsi="Arial"/>
                <w:sz w:val="18"/>
                <w:szCs w:val="18"/>
                <w:color w:val="auto"/>
                <w:w w:val="89"/>
              </w:rPr>
              <w:t>First Quarter</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ind w:left="280" w:hanging="274"/>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7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2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26,548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6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11,556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$523 million and $613 million in first quarter of 2018 and 2017, respectively.</w:t>
      </w:r>
    </w:p>
    <w:p>
      <w:pPr>
        <w:spacing w:after="0" w:line="319" w:lineRule="exact"/>
        <w:rPr>
          <w:sz w:val="20"/>
          <w:szCs w:val="20"/>
          <w:color w:val="auto"/>
        </w:rPr>
      </w:pPr>
    </w:p>
    <w:p>
      <w:pPr>
        <w:ind w:left="280" w:hanging="274"/>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three months ended March 31, 2018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2018</w:t>
      </w:r>
    </w:p>
    <w:p>
      <w:pPr>
        <w:spacing w:after="0" w:line="345" w:lineRule="exact"/>
        <w:rPr>
          <w:sz w:val="20"/>
          <w:szCs w:val="20"/>
          <w:color w:val="auto"/>
        </w:rPr>
      </w:pPr>
    </w:p>
    <w:p>
      <w:pPr>
        <w:ind w:left="280" w:hanging="274"/>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87" w:hanging="1087"/>
        <w:spacing w:after="0"/>
        <w:tabs>
          <w:tab w:leader="none" w:pos="1087" w:val="left"/>
        </w:tabs>
        <w:numPr>
          <w:ilvl w:val="0"/>
          <w:numId w:val="8"/>
        </w:numPr>
        <w:rPr>
          <w:rFonts w:ascii="Arial" w:cs="Arial" w:eastAsia="Arial" w:hAnsi="Arial"/>
          <w:sz w:val="18"/>
          <w:szCs w:val="18"/>
          <w:color w:val="auto"/>
        </w:rPr>
      </w:pPr>
      <w:r>
        <w:rPr>
          <w:rFonts w:ascii="Arial" w:cs="Arial" w:eastAsia="Arial" w:hAnsi="Arial"/>
          <w:sz w:val="18"/>
          <w:szCs w:val="18"/>
          <w:color w:val="auto"/>
        </w:rPr>
        <w:t>727</w:t>
      </w:r>
    </w:p>
    <w:p>
      <w:pPr>
        <w:spacing w:after="0" w:line="18"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1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2" w:lineRule="exact"/>
        <w:rPr>
          <w:sz w:val="20"/>
          <w:szCs w:val="20"/>
          <w:color w:val="auto"/>
        </w:rPr>
      </w:pPr>
    </w:p>
    <w:p>
      <w:pPr>
        <w:ind w:left="1087" w:hanging="1087"/>
        <w:spacing w:after="0"/>
        <w:tabs>
          <w:tab w:leader="none" w:pos="1087" w:val="left"/>
        </w:tabs>
        <w:numPr>
          <w:ilvl w:val="0"/>
          <w:numId w:val="9"/>
        </w:numPr>
        <w:rPr>
          <w:rFonts w:ascii="Arial" w:cs="Arial" w:eastAsia="Arial" w:hAnsi="Arial"/>
          <w:sz w:val="18"/>
          <w:szCs w:val="18"/>
          <w:color w:val="auto"/>
        </w:rPr>
      </w:pPr>
      <w:r>
        <w:rPr>
          <w:rFonts w:ascii="Arial" w:cs="Arial" w:eastAsia="Arial" w:hAnsi="Arial"/>
          <w:sz w:val="18"/>
          <w:szCs w:val="18"/>
          <w:color w:val="auto"/>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054" w:lineRule="exact"/>
        <w:rPr>
          <w:sz w:val="20"/>
          <w:szCs w:val="20"/>
          <w:color w:val="auto"/>
        </w:rPr>
      </w:pPr>
    </w:p>
    <w:p>
      <w:pPr>
        <w:sectPr>
          <w:pgSz w:w="11900" w:h="16838" w:orient="portrait"/>
          <w:cols w:equalWidth="0" w:num="2">
            <w:col w:w="9213" w:space="720"/>
            <w:col w:w="1507"/>
          </w:cols>
          <w:pgMar w:left="240" w:top="347" w:right="219" w:bottom="1440" w:gutter="0" w:footer="0" w:header="0"/>
          <w:type w:val="continuous"/>
        </w:sectPr>
      </w:pP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 31, 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w w:val="90"/>
              </w:rPr>
              <w:t>Dec. 31, 2017</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color w:val="auto"/>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Net Book</w:t>
            </w:r>
          </w:p>
        </w:tc>
        <w:tc>
          <w:tcPr>
            <w:tcW w:w="20" w:type="dxa"/>
            <w:vAlign w:val="bottom"/>
          </w:tcPr>
          <w:p>
            <w:pPr>
              <w:spacing w:after="0"/>
              <w:rPr>
                <w:sz w:val="17"/>
                <w:szCs w:val="17"/>
                <w:color w:val="auto"/>
              </w:rPr>
            </w:pPr>
          </w:p>
        </w:tc>
      </w:tr>
      <w:tr>
        <w:trPr>
          <w:trHeight w:val="241"/>
        </w:trPr>
        <w:tc>
          <w:tcPr>
            <w:tcW w:w="3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Book Value</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Value</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w w:val="95"/>
              </w:rPr>
              <w:t>Book Value</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color w:val="auto"/>
                <w:w w:val="96"/>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9,217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7"/>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3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Amortization expense charged to income was $165 million during the first quarter of 2018 and $169 million during the fist quarter of 2017.</w:t>
      </w:r>
    </w:p>
    <w:p>
      <w:pPr>
        <w:spacing w:after="0" w:line="218"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Based on the net book value of intangible assets at March 31, 2018, amortization charged to income for the subsequent five years is estimated to be: remaining three quarters of 2018—$519 million; 2019—$672 million; 2020—$640 million; 2021—$617 million; 2022—$607 million; and 2023—$594 million.</w:t>
      </w:r>
    </w:p>
    <w:p>
      <w:pPr>
        <w:spacing w:after="0" w:line="274" w:lineRule="exact"/>
        <w:rPr>
          <w:sz w:val="20"/>
          <w:szCs w:val="20"/>
          <w:color w:val="auto"/>
        </w:rPr>
      </w:pPr>
    </w:p>
    <w:p>
      <w:pPr>
        <w:ind w:left="280" w:hanging="274"/>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0"/>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r>
      <w:tr>
        <w:trPr>
          <w:trHeight w:val="22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1,492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7.00%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4.50%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5.95%</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5.13%</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3.70%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0.63%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1.50%</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r>
      <w:tr>
        <w:trPr>
          <w:trHeight w:val="22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13,526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March 31, 2018 and December 31, 2017 was $13.6 billion and $15.2 billion, respectively.</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Borrowings under Schlumberger’s commercial paper programs at both March 31, 2018 and December 31, 2017 were $3.0 billion, of which $1.3 billion was classified in </w:t>
      </w:r>
      <w:r>
        <w:rPr>
          <w:rFonts w:ascii="Arial" w:cs="Arial" w:eastAsia="Arial" w:hAnsi="Arial"/>
          <w:sz w:val="18"/>
          <w:szCs w:val="18"/>
          <w:i w:val="1"/>
          <w:iCs w:val="1"/>
          <w:color w:val="auto"/>
        </w:rPr>
        <w:t>Short-term borrowings and current portion of 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319"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2013, Schlumberger entered into a cross-currency swap for a notional amount of €0.5 billion in order to hedge changes in the fair value of Schlumberger’s €0.5 billion 1.50% Guaranteed Notes due 2019. Under the terms of this swap, Schlumberger will receive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8"/>
          <w:szCs w:val="18"/>
          <w:color w:val="auto"/>
        </w:rPr>
        <w:t>interest at a fixed rate of 1.50% on the euro notional amount and pay interest at a floating rate of three-month LIBOR plus approximately 64 basis points on the US dollar notional amount.</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cross-currency swap is designated as a fair value hedge of the underlying debt and is marked to market, with gains and losses recognized immediately in income to largely offset the effects on changes in the fair value of the hedged debt.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a Canadian dollar functional currency subsidiary of Schlumberger issued $1.1 billion of US 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 dollar notes to Canadian dollar denominated debt with fixed annual interest rates of 1.97% and 2.52%, respectively.</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These cross-currency swaps are designated as cash flow hedges. The changes in the fair values of the hedges are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reclassified to earnings in the same periods that the underlying hedged item affects net income.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 March 31, 2018, Schlumberger had fixed rate debt aggregating $13.6 billion and variable rate debt aggregating $4.5 billion, after taking into account the effect of interest rate swaps.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were $2.3 billion at March 31, 2018. The carrying value of these investments approximated fair value.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multinational company, Schlumberger conducts its business in over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 earnings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or periods that the hedged item is recognized in earnings.</w:t>
      </w:r>
    </w:p>
    <w:p>
      <w:pPr>
        <w:spacing w:after="0" w:line="17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 xml:space="preserve">At March 31, 2018, Schlumberger recognized a cumulative net $5 million gain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relating to revaluation of foreign currency forward contracts designated as cash flow hedges, the majority of which is expected to be reclassified into earnings within the next 12 months.</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March 31, 2018, contracts were outstanding for the US dollar equivalent of $5.0 billion in various foreign currencies, of which $1.8 billion relates to hedges of debt denominated in currencies other than the functional currency.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2" w:name="page13"/>
    <w:bookmarkEnd w:id="12"/>
    <w:p>
      <w:pPr>
        <w:ind w:right="40"/>
        <w:spacing w:after="0" w:line="266" w:lineRule="auto"/>
        <w:rPr>
          <w:sz w:val="20"/>
          <w:szCs w:val="20"/>
          <w:color w:val="auto"/>
        </w:rPr>
      </w:pPr>
      <w:r>
        <w:rPr>
          <w:rFonts w:ascii="Arial" w:cs="Arial" w:eastAsia="Arial" w:hAnsi="Arial"/>
          <w:sz w:val="18"/>
          <w:szCs w:val="18"/>
          <w:color w:val="auto"/>
        </w:rPr>
        <w:t xml:space="preserve">The effect of derivative instruments designated as fair value and cash flow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4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6"/>
                <w:szCs w:val="16"/>
                <w:b w:val="1"/>
                <w:bCs w:val="1"/>
                <w:color w:val="auto"/>
              </w:rPr>
              <w:t>Gain Recognized in Income</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6"/>
                <w:szCs w:val="16"/>
                <w:b w:val="1"/>
                <w:bCs w:val="1"/>
                <w:color w:val="auto"/>
              </w:rPr>
              <w:t>First Quarter</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2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2"/>
          </w:tcPr>
          <w:p>
            <w:pPr>
              <w:ind w:left="24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207"/>
        </w:trPr>
        <w:tc>
          <w:tcPr>
            <w:tcW w:w="434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right"/>
              <w:ind w:right="89"/>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17"/>
                <w:szCs w:val="17"/>
                <w:color w:val="auto"/>
              </w:rPr>
            </w:pPr>
          </w:p>
        </w:tc>
        <w:tc>
          <w:tcPr>
            <w:tcW w:w="3020" w:type="dxa"/>
            <w:vAlign w:val="bottom"/>
            <w:gridSpan w:val="2"/>
          </w:tcPr>
          <w:p>
            <w:pPr>
              <w:ind w:left="24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222"/>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1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40" w:type="dxa"/>
            <w:vAlign w:val="bottom"/>
          </w:tcPr>
          <w:p>
            <w:pPr>
              <w:ind w:left="240"/>
              <w:spacing w:after="0"/>
              <w:rPr>
                <w:sz w:val="20"/>
                <w:szCs w:val="20"/>
                <w:color w:val="auto"/>
              </w:rPr>
            </w:pPr>
            <w:r>
              <w:rPr>
                <w:rFonts w:ascii="Arial" w:cs="Arial" w:eastAsia="Arial" w:hAnsi="Arial"/>
                <w:sz w:val="18"/>
                <w:szCs w:val="18"/>
                <w:color w:val="auto"/>
              </w:rPr>
              <w:t>Cross currency swap</w:t>
            </w:r>
          </w:p>
        </w:tc>
        <w:tc>
          <w:tcPr>
            <w:tcW w:w="2080" w:type="dxa"/>
            <w:vAlign w:val="bottom"/>
            <w:gridSpan w:val="2"/>
          </w:tcPr>
          <w:p>
            <w:pPr>
              <w:jc w:val="right"/>
              <w:ind w:right="696"/>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20" w:type="dxa"/>
            <w:vAlign w:val="bottom"/>
            <w:gridSpan w:val="2"/>
          </w:tcPr>
          <w:p>
            <w:pPr>
              <w:jc w:val="right"/>
              <w:ind w:right="80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3020" w:type="dxa"/>
            <w:vAlign w:val="bottom"/>
            <w:gridSpan w:val="2"/>
          </w:tcPr>
          <w:p>
            <w:pPr>
              <w:ind w:left="24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6"/>
        </w:trPr>
        <w:tc>
          <w:tcPr>
            <w:tcW w:w="434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7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2080" w:type="dxa"/>
            <w:vAlign w:val="bottom"/>
            <w:gridSpan w:val="2"/>
            <w:shd w:val="clear" w:color="auto" w:fill="CFF0FC"/>
          </w:tcPr>
          <w:p>
            <w:pPr>
              <w:jc w:val="right"/>
              <w:ind w:right="69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2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Cross currency swap</w:t>
            </w:r>
          </w:p>
        </w:tc>
        <w:tc>
          <w:tcPr>
            <w:tcW w:w="1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2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1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080" w:type="dxa"/>
            <w:vAlign w:val="bottom"/>
            <w:gridSpan w:val="2"/>
            <w:shd w:val="clear" w:color="auto" w:fill="CFF0FC"/>
          </w:tcPr>
          <w:p>
            <w:pPr>
              <w:jc w:val="right"/>
              <w:ind w:right="696"/>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1220" w:type="dxa"/>
            <w:vAlign w:val="bottom"/>
            <w:gridSpan w:val="2"/>
            <w:shd w:val="clear" w:color="auto" w:fill="CFF0FC"/>
          </w:tcPr>
          <w:p>
            <w:pPr>
              <w:jc w:val="right"/>
              <w:ind w:right="80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hanging="354"/>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First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color w:val="auto"/>
              </w:rPr>
              <w:t>First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3" w:lineRule="exact"/>
        <w:rPr>
          <w:sz w:val="20"/>
          <w:szCs w:val="20"/>
          <w:color w:val="auto"/>
        </w:rPr>
      </w:pPr>
    </w:p>
    <w:p>
      <w:pPr>
        <w:ind w:left="300" w:hanging="287"/>
        <w:spacing w:after="0" w:line="286" w:lineRule="auto"/>
        <w:tabs>
          <w:tab w:leader="none" w:pos="241" w:val="left"/>
        </w:tabs>
        <w:numPr>
          <w:ilvl w:val="0"/>
          <w:numId w:val="13"/>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3"/>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($3 million in 2018; $5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3"/>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($12 million in 2018; $13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3"/>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by geographic area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436"/>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71"/>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Latin America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Middle East &amp; Asia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center"/>
              <w:ind w:right="471"/>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7,829</w:t>
            </w:r>
          </w:p>
        </w:tc>
        <w:tc>
          <w:tcPr>
            <w:tcW w:w="16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w w:val="89"/>
              </w:rPr>
              <w:t>North America and International revenue disaggregated by Group was as follows:</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b w:val="1"/>
                <w:bCs w:val="1"/>
                <w:color w:val="auto"/>
                <w:w w:val="93"/>
              </w:rPr>
              <w:t>First Quarter 2018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America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left="91"/>
              <w:spacing w:after="0"/>
              <w:rPr>
                <w:sz w:val="20"/>
                <w:szCs w:val="20"/>
                <w:color w:val="auto"/>
              </w:rPr>
            </w:pPr>
            <w:r>
              <w:rPr>
                <w:rFonts w:ascii="Arial" w:cs="Arial" w:eastAsia="Arial" w:hAnsi="Arial"/>
                <w:sz w:val="18"/>
                <w:szCs w:val="18"/>
                <w:color w:val="auto"/>
                <w:w w:val="96"/>
              </w:rPr>
              <w:t>&amp; other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0"/>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6"/>
              </w:rPr>
              <w:t>137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Drilling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Cameron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6"/>
              </w:rPr>
              <w:t>111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90"/>
              </w:rPr>
              <w:t>First Quarter 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0"/>
              </w:rPr>
              <w:t>America</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color w:val="auto"/>
                <w:w w:val="92"/>
              </w:rPr>
              <w:t>International</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8"/>
                <w:szCs w:val="18"/>
                <w:color w:val="auto"/>
                <w:w w:val="96"/>
              </w:rPr>
              <w:t>&amp; other</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Drilling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Cameron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4,922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hanging="354"/>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i w:val="1"/>
                <w:iCs w:val="1"/>
                <w:color w:val="auto"/>
                <w:w w:val="97"/>
              </w:rPr>
              <w:t>(Stated in millions)</w:t>
            </w:r>
          </w:p>
        </w:tc>
        <w:tc>
          <w:tcPr>
            <w:tcW w:w="20" w:type="dxa"/>
            <w:vAlign w:val="bottom"/>
          </w:tcPr>
          <w:p>
            <w:pPr>
              <w:spacing w:after="0"/>
              <w:rPr>
                <w:sz w:val="15"/>
                <w:szCs w:val="15"/>
                <w:color w:val="auto"/>
              </w:rPr>
            </w:pPr>
          </w:p>
        </w:tc>
      </w:tr>
      <w:tr>
        <w:trPr>
          <w:trHeight w:val="445"/>
        </w:trPr>
        <w:tc>
          <w:tcPr>
            <w:tcW w:w="3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First Quarter</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2017</w:t>
            </w: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88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US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Int'l</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Int'l</w:t>
            </w:r>
          </w:p>
        </w:tc>
        <w:tc>
          <w:tcPr>
            <w:tcW w:w="26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880" w:type="dxa"/>
            <w:vAlign w:val="bottom"/>
          </w:tcPr>
          <w:p>
            <w:pPr>
              <w:spacing w:after="0"/>
              <w:rPr>
                <w:sz w:val="20"/>
                <w:szCs w:val="20"/>
                <w:color w:val="auto"/>
              </w:rPr>
            </w:pPr>
            <w:r>
              <w:rPr>
                <w:rFonts w:ascii="Arial" w:cs="Arial" w:eastAsia="Arial" w:hAnsi="Arial"/>
                <w:sz w:val="18"/>
                <w:szCs w:val="18"/>
                <w:color w:val="auto"/>
              </w:rPr>
              <w:t>Interest cost</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(62)</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0"/>
                <w:szCs w:val="20"/>
                <w:color w:val="auto"/>
              </w:rPr>
            </w:pPr>
          </w:p>
        </w:tc>
      </w:tr>
      <w:tr>
        <w:trPr>
          <w:trHeight w:val="239"/>
        </w:trPr>
        <w:tc>
          <w:tcPr>
            <w:tcW w:w="38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4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3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3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38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23"/>
        </w:trPr>
        <w:tc>
          <w:tcPr>
            <w:tcW w:w="7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(15)</w:t>
            </w:r>
          </w:p>
        </w:tc>
        <w:tc>
          <w:tcPr>
            <w:tcW w:w="4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78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w:t>
            </w:r>
          </w:p>
        </w:tc>
        <w:tc>
          <w:tcPr>
            <w:tcW w:w="44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Accumulated Other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Pension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Postretirement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47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7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left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Other comprehensive gain before reclassifications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7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Amounts reclassified from accumulated other comprehensive loss</w:t>
            </w:r>
          </w:p>
        </w:tc>
        <w:tc>
          <w:tcPr>
            <w:tcW w:w="120" w:type="dxa"/>
            <w:vAlign w:val="bottom"/>
            <w:tcBorders>
              <w:left w:val="single" w:sz="8" w:color="CFF0FC"/>
            </w:tcBorders>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left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gridSpan w:val="2"/>
          </w:tcPr>
          <w:p>
            <w:pPr>
              <w:ind w:left="6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left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tcPr>
          <w:p>
            <w:pPr>
              <w:spacing w:after="0"/>
              <w:rPr>
                <w:sz w:val="19"/>
                <w:szCs w:val="19"/>
                <w:color w:val="auto"/>
              </w:rPr>
            </w:pPr>
          </w:p>
        </w:tc>
        <w:tc>
          <w:tcPr>
            <w:tcW w:w="472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(2,096)</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left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Pension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Marketable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Cash Flow</w:t>
            </w:r>
          </w:p>
        </w:tc>
        <w:tc>
          <w:tcPr>
            <w:tcW w:w="10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Borders>
              <w:bottom w:val="single" w:sz="8" w:color="CFF0FC"/>
            </w:tcBorders>
          </w:tcPr>
          <w:p>
            <w:pPr>
              <w:spacing w:after="0"/>
              <w:rPr>
                <w:sz w:val="18"/>
                <w:szCs w:val="18"/>
                <w:color w:val="auto"/>
              </w:rPr>
            </w:pPr>
          </w:p>
        </w:tc>
        <w:tc>
          <w:tcPr>
            <w:tcW w:w="47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2"/>
              </w:rPr>
              <w:t>Hedges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20" w:type="dxa"/>
            <w:vAlign w:val="bottom"/>
            <w:tcBorders>
              <w:left w:val="single" w:sz="8" w:color="CFF0FC"/>
            </w:tcBorders>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tcBorders>
              <w:left w:val="single" w:sz="8" w:color="CFF0FC"/>
            </w:tcBorders>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lef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2017</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(2,091)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(2,447)</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6"/>
        </w:trPr>
        <w:tc>
          <w:tcPr>
            <w:tcW w:w="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5" w:name="page16"/>
    <w:bookmarkEnd w:id="15"/>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2018 Compared to First Quarter 2017</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First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color w:val="auto"/>
              </w:rPr>
              <w:t>First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(131)</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2" w:lineRule="exact"/>
        <w:rPr>
          <w:sz w:val="20"/>
          <w:szCs w:val="20"/>
          <w:color w:val="auto"/>
        </w:rPr>
      </w:pPr>
    </w:p>
    <w:p>
      <w:pPr>
        <w:ind w:left="300" w:hanging="286"/>
        <w:spacing w:after="0" w:line="286" w:lineRule="auto"/>
        <w:tabs>
          <w:tab w:leader="none" w:pos="237" w:val="left"/>
        </w:tabs>
        <w:numPr>
          <w:ilvl w:val="0"/>
          <w:numId w:val="15"/>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15"/>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($3 million in 2018; $5 million in 2017).</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15"/>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($12 million in 2018; $13 million in 2017).</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1"/>
          <w:numId w:val="15"/>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First-quarter 2018 revenue of $7.8 billion increased 14% year-on-year as the global rig count increased by the same percentage. The North America land rig count increased by 21% year-on-year, while the international rig count was up 8%. Production Group revenue increased 35% while Drilling Group revenue increased by 7%, both driven by strong land activity in North America. Cameron Group revenue increased by 7%, while Reservoir Characterization Group revenue declined 4%.</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First-quarter 2018 pretax operating margin increased 145 basis points (“bps”) year-on-year to 12%, as a result of improved profitability in North America due to the land activity growth that benefited the Production and Drilling Groups. As a result, Production Group pretax operating margin expanded 227 bps to 7% and the Drilling Group increased 222 bps to 14%. Reservoir Characterization Group pretax operating margin increased 240 bps to 20% while the Cameron Group was essentially flat at 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First-quarter 2018 revenue of $1.6 billion decreased 4% year-on-year primarily due to lower revenue on a long-term surface facility project in the Middle East.</w:t>
      </w:r>
    </w:p>
    <w:p>
      <w:pPr>
        <w:spacing w:after="0" w:line="24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Year-on-year, pretax operating margin increased 240 bps to 20% due to improved profitability for WesternGeco primarily as a result of a favorable mix of multiclient seismic license sales as well as reduced amortization following the multiclient impairment charge recorded during the fourth quarter of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First-quarter 2018 revenue of $2.1 billion increased 7% year-on-year primarily due to higher demand for directional drilling technologies on land in both North America and Russia.</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222 bps to 14% primarily due to improved profitability in North America due to the increased land activity and improved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First-quarter 2018 revenue of $3.0 billion increased 35% year-on-year primarily due to the significant land activity growth in North America that benefited the hydraulic fracturing business.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227 bps to 7% as a result of improved profitability in North America due to the growth in North America land activity combined with improved pricing.</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first quarter of 2018, the US land pressure pumping business was impacted by weaker-than-expected activity as well as softer pricing as compared to the fourth quarter of 2017, rising supply chain costs, and rail logistical challenges. In spite of these factors, Schlumberger continued to deploy available fracturing assets, including equipment from our newly acquired capacity. Schlumberger expects the US land hydraulic fracturing market to improve during the second quarter of 2018, both in terms of pricing and in operational efficiency and it is, therefore continuing with its aggressive fleet reactivation and recommissioning program.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First-quarter 2018 revenue of $1.3 billion increased 7% year-on-year due to improvements on land in North America that benefited the short-cycle businesses of Valves &amp; Measurement and Surface Systems.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13% was essentially flat year-on-year.</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(Stated in millions)</w:t>
            </w:r>
          </w:p>
        </w:tc>
      </w:tr>
      <w:tr>
        <w:trPr>
          <w:trHeight w:val="452"/>
        </w:trPr>
        <w:tc>
          <w:tcPr>
            <w:tcW w:w="7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first quarter of both 2018 and 2017 were as follows:</w:t>
      </w:r>
    </w:p>
    <w:p>
      <w:pPr>
        <w:spacing w:after="0" w:line="249"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First Quarter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19"/>
                <w:szCs w:val="19"/>
                <w:color w:val="auto"/>
              </w:rPr>
            </w:pPr>
          </w:p>
        </w:tc>
      </w:tr>
      <w:tr>
        <w:trPr>
          <w:trHeight w:val="219"/>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2.2%</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costs for the first quarter of 2018 have decreased as compared to the same period in 2017 as a result of cost control measures.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effective tax rate for the first quarter of 2018 was 17.6% as compared to 14.8% for the same period of 2017. The effective tax</w:t>
      </w:r>
      <w:r>
        <w:rPr>
          <w:sz w:val="1"/>
          <w:szCs w:val="1"/>
          <w:color w:val="auto"/>
        </w:rPr>
        <w:drawing>
          <wp:inline distT="0" distB="0" distL="0" distR="0">
            <wp:extent cx="25400" cy="114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114300"/>
                    </a:xfrm>
                    <a:prstGeom prst="rect">
                      <a:avLst/>
                    </a:prstGeom>
                    <a:noFill/>
                    <a:ln>
                      <a:noFill/>
                    </a:ln>
                  </pic:spPr>
                </pic:pic>
              </a:graphicData>
            </a:graphic>
          </wp:inline>
        </w:drawing>
      </w:r>
      <w:r>
        <w:rPr>
          <w:rFonts w:ascii="Arial" w:cs="Arial" w:eastAsia="Arial" w:hAnsi="Arial"/>
          <w:sz w:val="18"/>
          <w:szCs w:val="18"/>
          <w:color w:val="auto"/>
        </w:rPr>
        <w:t>rate increased as a result of the change in the geographic mix of earnings, as Schlumberger generated a greater portion of its pretax earnings in North America during the first quarter of 2018 as compared to the same period last year.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In connection with Schlumberger’s acquisition of Cameron, Schlumberger recorded $82 million of charges relating to employee benefits, facility closures and other merger and integration-related costs. These charges are classified in </w:t>
      </w:r>
      <w:r>
        <w:rPr>
          <w:rFonts w:ascii="Arial" w:cs="Arial" w:eastAsia="Arial" w:hAnsi="Arial"/>
          <w:sz w:val="17"/>
          <w:szCs w:val="17"/>
          <w:i w:val="1"/>
          <w:iCs w:val="1"/>
          <w:color w:val="auto"/>
        </w:rPr>
        <w:t>Merger &amp; integration</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Mar.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Mar.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1,865</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1,902</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(4,586)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jc w:val="right"/>
              <w:ind w:right="111"/>
              <w:spacing w:after="0"/>
              <w:rPr>
                <w:sz w:val="20"/>
                <w:szCs w:val="20"/>
                <w:color w:val="auto"/>
              </w:rPr>
            </w:pPr>
            <w:r>
              <w:rPr>
                <w:rFonts w:ascii="Arial" w:cs="Arial" w:eastAsia="Arial" w:hAnsi="Arial"/>
                <w:sz w:val="18"/>
                <w:szCs w:val="18"/>
                <w:color w:val="auto"/>
              </w:rPr>
              <w:t>(2,449)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(13,526)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111"/>
              <w:spacing w:after="0"/>
              <w:rPr>
                <w:sz w:val="20"/>
                <w:szCs w:val="20"/>
                <w:color w:val="auto"/>
              </w:rPr>
            </w:pPr>
            <w:r>
              <w:rPr>
                <w:rFonts w:ascii="Arial" w:cs="Arial" w:eastAsia="Arial" w:hAnsi="Arial"/>
                <w:sz w:val="18"/>
                <w:szCs w:val="18"/>
                <w:color w:val="auto"/>
              </w:rPr>
              <w:t>(16,538)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vMerge w:val="continue"/>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(13,947)</w:t>
            </w:r>
          </w:p>
        </w:tc>
        <w:tc>
          <w:tcPr>
            <w:tcW w:w="16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11"/>
              <w:spacing w:after="0"/>
              <w:rPr>
                <w:sz w:val="20"/>
                <w:szCs w:val="20"/>
                <w:color w:val="auto"/>
              </w:rPr>
            </w:pPr>
            <w:r>
              <w:rPr>
                <w:rFonts w:ascii="Arial" w:cs="Arial" w:eastAsia="Arial" w:hAnsi="Arial"/>
                <w:sz w:val="18"/>
                <w:szCs w:val="18"/>
                <w:color w:val="auto"/>
              </w:rPr>
              <w:t>(11,396)</w:t>
            </w: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67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w w:val="93"/>
              </w:rPr>
              <w:t>Three Months Ended Mar. 31,</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w w:val="79"/>
              </w:rPr>
              <w:t>2018</w:t>
            </w:r>
          </w:p>
        </w:tc>
        <w:tc>
          <w:tcPr>
            <w:tcW w:w="2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SPM investments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(814)</w:t>
            </w:r>
          </w:p>
        </w:tc>
        <w:tc>
          <w:tcPr>
            <w:tcW w:w="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Increase in net debt</w:t>
            </w: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(837)</w:t>
            </w:r>
          </w:p>
        </w:tc>
        <w:tc>
          <w:tcPr>
            <w:tcW w:w="2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debt, end of period</w:t>
            </w:r>
          </w:p>
        </w:tc>
        <w:tc>
          <w:tcPr>
            <w:tcW w:w="220" w:type="dxa"/>
            <w:vAlign w:val="bottom"/>
            <w:shd w:val="clear" w:color="auto" w:fill="CFF0FC"/>
          </w:tcPr>
          <w:p>
            <w:pPr>
              <w:spacing w:after="0" w:line="20" w:lineRule="exact"/>
              <w:rPr>
                <w:sz w:val="1"/>
                <w:szCs w:val="1"/>
                <w:color w:val="auto"/>
              </w:rPr>
            </w:pPr>
          </w:p>
        </w:tc>
        <w:tc>
          <w:tcPr>
            <w:tcW w:w="8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(13,947)</w:t>
            </w:r>
          </w:p>
        </w:tc>
        <w:tc>
          <w:tcPr>
            <w:tcW w:w="2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520" w:hanging="514"/>
        <w:spacing w:after="0" w:line="214" w:lineRule="auto"/>
        <w:tabs>
          <w:tab w:leader="none" w:pos="520" w:val="left"/>
        </w:tabs>
        <w:numPr>
          <w:ilvl w:val="0"/>
          <w:numId w:val="16"/>
        </w:numPr>
        <w:rPr>
          <w:rFonts w:ascii="Arial" w:cs="Arial" w:eastAsia="Arial" w:hAnsi="Arial"/>
          <w:sz w:val="27"/>
          <w:szCs w:val="27"/>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520" w:hanging="514"/>
        <w:spacing w:after="0" w:line="192" w:lineRule="auto"/>
        <w:tabs>
          <w:tab w:leader="none" w:pos="5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2"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16"/>
        </w:numPr>
        <w:rPr>
          <w:rFonts w:ascii="Arial" w:cs="Arial" w:eastAsia="Arial" w:hAnsi="Arial"/>
          <w:sz w:val="22"/>
          <w:szCs w:val="22"/>
          <w:color w:val="auto"/>
          <w:vertAlign w:val="superscript"/>
        </w:rPr>
      </w:pPr>
      <w:r>
        <w:rPr>
          <w:rFonts w:ascii="Arial" w:cs="Arial" w:eastAsia="Arial" w:hAnsi="Arial"/>
          <w:sz w:val="13"/>
          <w:szCs w:val="13"/>
          <w:color w:val="auto"/>
        </w:rPr>
        <w:t>Includes severance payments of approximately $76 million and $140 million during the three months ended March 31, 2018 and 2017, respectively.</w:t>
      </w:r>
    </w:p>
    <w:p>
      <w:pPr>
        <w:spacing w:after="0" w:line="49" w:lineRule="exact"/>
        <w:rPr>
          <w:rFonts w:ascii="Arial" w:cs="Arial" w:eastAsia="Arial" w:hAnsi="Arial"/>
          <w:sz w:val="22"/>
          <w:szCs w:val="22"/>
          <w:color w:val="auto"/>
          <w:vertAlign w:val="superscript"/>
        </w:rPr>
      </w:pPr>
    </w:p>
    <w:p>
      <w:pPr>
        <w:jc w:val="both"/>
        <w:ind w:left="520" w:hanging="514"/>
        <w:spacing w:after="0" w:line="239" w:lineRule="auto"/>
        <w:tabs>
          <w:tab w:leader="none" w:pos="520" w:val="left"/>
        </w:tabs>
        <w:numPr>
          <w:ilvl w:val="0"/>
          <w:numId w:val="16"/>
        </w:numPr>
        <w:rPr>
          <w:rFonts w:ascii="Arial" w:cs="Arial" w:eastAsia="Arial" w:hAnsi="Arial"/>
          <w:sz w:val="26"/>
          <w:szCs w:val="26"/>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18" w:name="page19"/>
    <w:bookmarkEnd w:id="18"/>
    <w:p>
      <w:pPr>
        <w:ind w:left="80"/>
        <w:spacing w:after="0"/>
        <w:rPr>
          <w:sz w:val="20"/>
          <w:szCs w:val="20"/>
          <w:color w:val="auto"/>
        </w:rPr>
      </w:pPr>
      <w:r>
        <w:rPr>
          <w:rFonts w:ascii="Arial" w:cs="Arial" w:eastAsia="Arial" w:hAnsi="Arial"/>
          <w:sz w:val="18"/>
          <w:szCs w:val="18"/>
          <w:color w:val="auto"/>
        </w:rPr>
        <w:t>Key liquidity events during the first three months of 2018 and 2017 included:</w:t>
      </w:r>
    </w:p>
    <w:p>
      <w:pPr>
        <w:spacing w:after="0" w:line="218" w:lineRule="exact"/>
        <w:rPr>
          <w:sz w:val="20"/>
          <w:szCs w:val="20"/>
          <w:color w:val="auto"/>
        </w:rPr>
      </w:pPr>
    </w:p>
    <w:p>
      <w:pPr>
        <w:jc w:val="both"/>
        <w:ind w:left="760" w:hanging="382"/>
        <w:spacing w:after="0" w:line="303"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July 18, 2013, the Schlumberger Board of Directors (“the Board”) approved a $10 billion share repurchase program for Schlumberger common stock to be completed at the latest by June 30, 2018. This program was completed during May 2017. On January 21, 2016, the Board approved a new $10 billion share repurchase program. Schlumberger had repurchased $421 million under the new program as of March 31, 2018.</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activity under these share repurchase programs: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0"/>
              </w:rPr>
              <w:t>(Stated in millions, except per share amounts)</w:t>
            </w:r>
          </w:p>
        </w:tc>
      </w:tr>
      <w:tr>
        <w:trPr>
          <w:trHeight w:val="418"/>
        </w:trPr>
        <w:tc>
          <w:tcPr>
            <w:tcW w:w="4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7"/>
              <w:spacing w:after="0"/>
              <w:rPr>
                <w:sz w:val="20"/>
                <w:szCs w:val="20"/>
                <w:color w:val="auto"/>
              </w:rPr>
            </w:pPr>
            <w:r>
              <w:rPr>
                <w:rFonts w:ascii="Arial" w:cs="Arial" w:eastAsia="Arial" w:hAnsi="Arial"/>
                <w:sz w:val="16"/>
                <w:szCs w:val="16"/>
                <w:color w:val="auto"/>
                <w:w w:val="89"/>
              </w:rPr>
              <w:t>Total cost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Average price</w:t>
            </w:r>
          </w:p>
        </w:tc>
      </w:tr>
      <w:tr>
        <w:trPr>
          <w:trHeight w:val="213"/>
        </w:trPr>
        <w:tc>
          <w:tcPr>
            <w:tcW w:w="4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6"/>
                <w:szCs w:val="16"/>
                <w:color w:val="auto"/>
                <w:w w:val="85"/>
              </w:rPr>
              <w:t>of 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paid per</w:t>
            </w:r>
          </w:p>
        </w:tc>
      </w:tr>
      <w:tr>
        <w:trPr>
          <w:trHeight w:val="215"/>
        </w:trPr>
        <w:tc>
          <w:tcPr>
            <w:tcW w:w="4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6"/>
                <w:szCs w:val="16"/>
                <w:color w:val="auto"/>
                <w:w w:val="85"/>
              </w:rPr>
              <w:t>purchased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share</w:t>
            </w:r>
          </w:p>
        </w:tc>
      </w:tr>
      <w:tr>
        <w:trPr>
          <w:trHeight w:val="222"/>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69.79</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060" w:type="dxa"/>
            <w:vAlign w:val="bottom"/>
          </w:tcPr>
          <w:p>
            <w:pPr>
              <w:spacing w:after="0"/>
              <w:rPr>
                <w:sz w:val="20"/>
                <w:szCs w:val="20"/>
                <w:color w:val="auto"/>
              </w:rPr>
            </w:pPr>
            <w:r>
              <w:rPr>
                <w:rFonts w:ascii="Arial" w:cs="Arial" w:eastAsia="Arial" w:hAnsi="Arial"/>
                <w:sz w:val="18"/>
                <w:szCs w:val="18"/>
                <w:color w:val="auto"/>
              </w:rPr>
              <w:t>Three months ended March 31,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78.97</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54" w:lineRule="exact"/>
        <w:rPr>
          <w:sz w:val="20"/>
          <w:szCs w:val="20"/>
          <w:color w:val="auto"/>
        </w:rPr>
      </w:pPr>
    </w:p>
    <w:p>
      <w:pPr>
        <w:ind w:left="1020" w:hanging="363"/>
        <w:spacing w:after="0" w:line="26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were $0.5 billion during the first three months of 2018 compared to $0.4 billion during the first three months of 2017. Capital expenditures for full-year 2018 are expected to be approximately $2.0 billion as compared to $2.1 billion in 2017.</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operates in more than 85 countries. As of December 31, 2017, only five of those countries individually accounted for greater than 5% of Schlumberger’s net receivables balance, of which only one (the United States) accounted for greater than 10% of such receivables.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2018, Schlumberger had $4.2 billion of cash and short-term investments on hand. Schlumberger had separate committed debt facility agreements aggregating $6.5 billion that support commercial paper programs, of which $3.5 billion was available and unused. Schlumberger believes these amounts are sufficient to meet future business requirements for at least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March 31, 2018 were $3.0 billion.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first-quarter 2018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retain key employees; and other risks and uncertainties detailed in this first-quarter 2018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2017. Schlumberger’s exposure to market risk has not changed materially since December 31,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10—</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Schlumberger had repurchased $421 million of Schlumberger common stock under its $10 billion share repurchase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March 31, 2018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w w:val="86"/>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7"/>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under the</w:t>
            </w:r>
          </w:p>
        </w:tc>
      </w:tr>
      <w:tr>
        <w:trPr>
          <w:trHeight w:val="207"/>
        </w:trPr>
        <w:tc>
          <w:tcPr>
            <w:tcW w:w="58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programs</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color w:val="auto"/>
                <w:w w:val="88"/>
              </w:rPr>
              <w:t>programs</w:t>
            </w:r>
          </w:p>
        </w:tc>
        <w:tc>
          <w:tcPr>
            <w:tcW w:w="100" w:type="dxa"/>
            <w:vAlign w:val="bottom"/>
            <w:tcBorders>
              <w:bottom w:val="single" w:sz="8" w:color="CFF0FC"/>
            </w:tcBorders>
          </w:tcPr>
          <w:p>
            <w:pPr>
              <w:spacing w:after="0"/>
              <w:rPr>
                <w:sz w:val="17"/>
                <w:szCs w:val="17"/>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January 2018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9,642,781</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February 2018</w:t>
            </w:r>
          </w:p>
        </w:tc>
        <w:tc>
          <w:tcPr>
            <w:tcW w:w="1160" w:type="dxa"/>
            <w:vAlign w:val="bottom"/>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441.6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9,612,478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March 2018</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9,578,866</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1,397.0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2013, Schlumberger completed the wind-down of its service operations in Iran. Prior to this, certain non-US subsidiaries provided oilfield services to the National Iranian Oil Company and certain of its affiliates (“NIOC”).</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Schlumberger’s residual transactions or dealings with the government of Iran during the first quarter of 2018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37" w:lineRule="exact"/>
        <w:rPr>
          <w:sz w:val="20"/>
          <w:szCs w:val="20"/>
          <w:color w:val="auto"/>
        </w:rPr>
      </w:pPr>
    </w:p>
    <w:p>
      <w:pPr>
        <w:ind w:left="440" w:right="40"/>
        <w:spacing w:after="0" w:line="266" w:lineRule="auto"/>
        <w:rPr>
          <w:rFonts w:ascii="Arial" w:cs="Arial" w:eastAsia="Arial" w:hAnsi="Arial"/>
          <w:sz w:val="18"/>
          <w:szCs w:val="18"/>
          <w:u w:val="single" w:color="auto"/>
          <w:color w:val="0000EE"/>
        </w:rPr>
      </w:pPr>
      <w:hyperlink r:id="rId44">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 Current</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Report on Form 8-K filed on April 6, 2016)</w:t>
        </w:r>
      </w:hyperlink>
    </w:p>
    <w:p>
      <w:pPr>
        <w:spacing w:after="0" w:line="86" w:lineRule="exact"/>
        <w:rPr>
          <w:sz w:val="20"/>
          <w:szCs w:val="20"/>
          <w:color w:val="auto"/>
        </w:rPr>
      </w:pPr>
    </w:p>
    <w:p>
      <w:pPr>
        <w:ind w:left="440" w:right="120"/>
        <w:spacing w:after="0" w:line="266" w:lineRule="auto"/>
        <w:rPr>
          <w:rFonts w:ascii="Arial" w:cs="Arial" w:eastAsia="Arial" w:hAnsi="Arial"/>
          <w:sz w:val="18"/>
          <w:szCs w:val="18"/>
          <w:u w:val="single" w:color="auto"/>
          <w:color w:val="0000EE"/>
        </w:rPr>
      </w:pPr>
      <w:hyperlink r:id="rId45">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3.1 to Schlumberger’s</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Current Report on Form 8-K filed on January 19, 2017)</w:t>
        </w:r>
      </w:hyperlink>
    </w:p>
    <w:p>
      <w:pPr>
        <w:spacing w:after="0" w:line="86" w:lineRule="exact"/>
        <w:rPr>
          <w:sz w:val="20"/>
          <w:szCs w:val="20"/>
          <w:color w:val="auto"/>
        </w:rPr>
      </w:pPr>
    </w:p>
    <w:p>
      <w:pPr>
        <w:ind w:left="580" w:hanging="140"/>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23—</w:t>
      </w:r>
      <w:hyperlink w:anchor="page24">
        <w:r>
          <w:rPr>
            <w:rFonts w:ascii="Arial" w:cs="Arial" w:eastAsia="Arial" w:hAnsi="Arial"/>
            <w:sz w:val="18"/>
            <w:szCs w:val="18"/>
            <w:u w:val="single" w:color="auto"/>
            <w:color w:val="0000EE"/>
          </w:rPr>
          <w:t>Consent of Independent Registered Public Accounting Firm (+)</w:t>
        </w:r>
      </w:hyperlink>
    </w:p>
    <w:p>
      <w:pPr>
        <w:spacing w:after="0" w:line="125" w:lineRule="exact"/>
        <w:rPr>
          <w:rFonts w:ascii="Arial" w:cs="Arial" w:eastAsia="Arial" w:hAnsi="Arial"/>
          <w:sz w:val="18"/>
          <w:szCs w:val="18"/>
          <w:color w:val="auto"/>
        </w:rPr>
      </w:pPr>
    </w:p>
    <w:p>
      <w:pPr>
        <w:ind w:left="440" w:right="420"/>
        <w:spacing w:after="0" w:line="266" w:lineRule="auto"/>
        <w:tabs>
          <w:tab w:leader="none" w:pos="573" w:val="left"/>
        </w:tabs>
        <w:numPr>
          <w:ilvl w:val="0"/>
          <w:numId w:val="19"/>
        </w:numPr>
        <w:rPr>
          <w:rFonts w:ascii="Arial" w:cs="Arial" w:eastAsia="Arial" w:hAnsi="Arial"/>
          <w:sz w:val="18"/>
          <w:szCs w:val="18"/>
          <w:u w:val="single" w:color="auto"/>
          <w:color w:val="0000EE"/>
        </w:rPr>
      </w:pPr>
      <w:hyperlink w:anchor="page25">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u w:val="single" w:color="auto"/>
          <w:color w:val="0000EE"/>
        </w:rPr>
      </w:pPr>
    </w:p>
    <w:p>
      <w:pPr>
        <w:ind w:left="440" w:right="480"/>
        <w:spacing w:after="0" w:line="266" w:lineRule="auto"/>
        <w:tabs>
          <w:tab w:leader="none" w:pos="573" w:val="left"/>
        </w:tabs>
        <w:numPr>
          <w:ilvl w:val="0"/>
          <w:numId w:val="19"/>
        </w:numPr>
        <w:rPr>
          <w:rFonts w:ascii="Arial" w:cs="Arial" w:eastAsia="Arial" w:hAnsi="Arial"/>
          <w:sz w:val="18"/>
          <w:szCs w:val="18"/>
          <w:u w:val="single" w:color="auto"/>
          <w:color w:val="0000EE"/>
        </w:rPr>
      </w:pPr>
      <w:hyperlink w:anchor="page27">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color w:val="auto"/>
        </w:rPr>
      </w:pPr>
    </w:p>
    <w:p>
      <w:pPr>
        <w:ind w:left="440" w:right="140"/>
        <w:spacing w:after="0" w:line="266" w:lineRule="auto"/>
        <w:tabs>
          <w:tab w:leader="none" w:pos="661" w:val="left"/>
        </w:tabs>
        <w:numPr>
          <w:ilvl w:val="0"/>
          <w:numId w:val="20"/>
        </w:numPr>
        <w:rPr>
          <w:rFonts w:ascii="Arial" w:cs="Arial" w:eastAsia="Arial" w:hAnsi="Arial"/>
          <w:sz w:val="18"/>
          <w:szCs w:val="18"/>
          <w:u w:val="single" w:color="auto"/>
          <w:color w:val="0000EE"/>
        </w:rPr>
      </w:pPr>
      <w:hyperlink w:anchor="page25">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Sarbanes-Oxley</w:t>
        </w:r>
      </w:hyperlink>
      <w:r>
        <w:rPr>
          <w:rFonts w:ascii="Arial" w:cs="Arial" w:eastAsia="Arial" w:hAnsi="Arial"/>
          <w:sz w:val="18"/>
          <w:szCs w:val="18"/>
          <w:color w:val="auto"/>
        </w:rPr>
        <w:t xml:space="preserve"> </w:t>
      </w:r>
      <w:hyperlink w:anchor="page25">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u w:val="single" w:color="auto"/>
          <w:color w:val="0000EE"/>
        </w:rPr>
      </w:pPr>
    </w:p>
    <w:p>
      <w:pPr>
        <w:ind w:left="440" w:right="180"/>
        <w:spacing w:after="0" w:line="266" w:lineRule="auto"/>
        <w:tabs>
          <w:tab w:leader="none" w:pos="661" w:val="left"/>
        </w:tabs>
        <w:numPr>
          <w:ilvl w:val="0"/>
          <w:numId w:val="20"/>
        </w:numPr>
        <w:rPr>
          <w:rFonts w:ascii="Arial" w:cs="Arial" w:eastAsia="Arial" w:hAnsi="Arial"/>
          <w:sz w:val="18"/>
          <w:szCs w:val="18"/>
          <w:u w:val="single" w:color="auto"/>
          <w:color w:val="0000EE"/>
        </w:rPr>
      </w:pPr>
      <w:hyperlink w:anchor="page28">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color w:val="auto"/>
        </w:rPr>
      </w:pPr>
    </w:p>
    <w:p>
      <w:pPr>
        <w:ind w:left="580" w:hanging="140"/>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95—</w:t>
      </w:r>
      <w:hyperlink w:anchor="page29">
        <w:r>
          <w:rPr>
            <w:rFonts w:ascii="Arial" w:cs="Arial" w:eastAsia="Arial" w:hAnsi="Arial"/>
            <w:sz w:val="18"/>
            <w:szCs w:val="18"/>
            <w:u w:val="single" w:color="auto"/>
            <w:color w:val="0000EE"/>
          </w:rPr>
          <w:t>Mine Safety Disclosures</w:t>
        </w:r>
      </w:hyperlink>
    </w:p>
    <w:p>
      <w:pPr>
        <w:spacing w:after="0" w:line="125" w:lineRule="exact"/>
        <w:rPr>
          <w:rFonts w:ascii="Arial" w:cs="Arial" w:eastAsia="Arial" w:hAnsi="Arial"/>
          <w:sz w:val="18"/>
          <w:szCs w:val="18"/>
          <w:color w:val="auto"/>
        </w:rPr>
      </w:pPr>
    </w:p>
    <w:p>
      <w:pPr>
        <w:ind w:left="440" w:right="20"/>
        <w:spacing w:after="0" w:line="253" w:lineRule="auto"/>
        <w:tabs>
          <w:tab w:leader="none" w:pos="5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March 31, 2018,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97" w:lineRule="exact"/>
        <w:rPr>
          <w:rFonts w:ascii="Arial" w:cs="Arial" w:eastAsia="Arial" w:hAnsi="Arial"/>
          <w:sz w:val="18"/>
          <w:szCs w:val="18"/>
          <w:color w:val="auto"/>
        </w:rPr>
      </w:pPr>
    </w:p>
    <w:p>
      <w:pPr>
        <w:ind w:left="580" w:hanging="140"/>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7"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6" w:lineRule="exact"/>
        <w:rPr>
          <w:rFonts w:ascii="Arial" w:cs="Arial" w:eastAsia="Arial" w:hAnsi="Arial"/>
          <w:sz w:val="18"/>
          <w:szCs w:val="18"/>
          <w:color w:val="auto"/>
        </w:rPr>
      </w:pPr>
    </w:p>
    <w:p>
      <w:pPr>
        <w:ind w:left="440"/>
        <w:spacing w:after="0" w:line="253"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Supersedes Exhibit 23 to Schlumberger Limited’s Annual Report on Form 10-K for the fiscal year ended December 31, 2017, filed with the Securities and Exchange Commission on January 24, 2018.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25, 2018</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911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127" w:right="6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333-36366; 333-104225; 333-115277; 333-124534; 333-151920; 333-173055, as amended by post-effective amendment on Form S-8; 333-188589; 333-188590; 333-218181; and 333-218182); on Form S-3 (No.333-221161); on Form S-4 (No. 333-97899); and on Form S-4 as amended by post-effective amendment on Form S-8 (Nos. 333-207260 and 333-166326) of Schlumberger Limited of our report dated January 24, 2018 relating to the consolidated financial statements and the effectiveness of internal control over financial reporting, which appears in the Form 10-K of Schlumberger Limited for the year ended December 31,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94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January 24, 2018</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Date: April 25, 2018</w:t>
            </w:r>
          </w:p>
        </w:tc>
        <w:tc>
          <w:tcPr>
            <w:tcW w:w="7260" w:type="dxa"/>
            <w:vAlign w:val="bottom"/>
            <w:gridSpan w:val="2"/>
          </w:tcPr>
          <w:p>
            <w:pPr>
              <w:ind w:left="2700"/>
              <w:spacing w:after="0"/>
              <w:rPr>
                <w:sz w:val="20"/>
                <w:szCs w:val="20"/>
                <w:color w:val="auto"/>
              </w:rPr>
            </w:pPr>
            <w:r>
              <w:rPr>
                <w:rFonts w:ascii="Arial" w:cs="Arial" w:eastAsia="Arial" w:hAnsi="Arial"/>
                <w:sz w:val="18"/>
                <w:szCs w:val="18"/>
                <w:color w:val="auto"/>
              </w:rPr>
              <w:t>/s/ Paal Kibsgaard</w:t>
            </w:r>
          </w:p>
        </w:tc>
      </w:tr>
      <w:tr>
        <w:trPr>
          <w:trHeight w:val="194"/>
        </w:trPr>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April 25, 2018</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March 31, 2018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Date: April 25, 2018</w:t>
            </w:r>
          </w:p>
        </w:tc>
        <w:tc>
          <w:tcPr>
            <w:tcW w:w="4960" w:type="dxa"/>
            <w:vAlign w:val="bottom"/>
            <w:gridSpan w:val="2"/>
          </w:tcPr>
          <w:p>
            <w:pPr>
              <w:ind w:left="1940"/>
              <w:spacing w:after="0"/>
              <w:rPr>
                <w:sz w:val="20"/>
                <w:szCs w:val="20"/>
                <w:color w:val="auto"/>
              </w:rPr>
            </w:pPr>
            <w:r>
              <w:rPr>
                <w:rFonts w:ascii="Arial" w:cs="Arial" w:eastAsia="Arial" w:hAnsi="Arial"/>
                <w:sz w:val="18"/>
                <w:szCs w:val="18"/>
                <w:color w:val="auto"/>
              </w:rPr>
              <w:t>/s/ Paal Kibsgaard</w:t>
            </w:r>
          </w:p>
        </w:tc>
      </w:tr>
      <w:tr>
        <w:trPr>
          <w:trHeight w:val="194"/>
        </w:trPr>
        <w:tc>
          <w:tcPr>
            <w:tcW w:w="3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2018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5" w:lineRule="exact"/>
        <w:rPr>
          <w:sz w:val="20"/>
          <w:szCs w:val="20"/>
          <w:color w:val="auto"/>
        </w:rPr>
      </w:pPr>
    </w:p>
    <w:p>
      <w:pPr>
        <w:ind w:left="1020" w:hanging="509"/>
        <w:spacing w:after="0" w:line="26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April 25, 2018</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March 31, 2018. Due to timing and other factors, the data may not agree with the mine data retrieval system maintained by the MSHA at www.MSHA.gov.</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00" w:lineRule="exact"/>
        <w:rPr>
          <w:sz w:val="20"/>
          <w:szCs w:val="20"/>
          <w:color w:val="auto"/>
        </w:rPr>
      </w:pPr>
    </w:p>
    <w:p>
      <w:pPr>
        <w:spacing w:after="0" w:line="279"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6"/>
              </w:rPr>
              <w:t>Violations</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color w:val="auto"/>
                <w:w w:val="94"/>
              </w:rPr>
              <w:t>Have Pattern Legal Actions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38"/>
              <w:spacing w:after="0" w:line="133" w:lineRule="exact"/>
              <w:rPr>
                <w:sz w:val="20"/>
                <w:szCs w:val="20"/>
                <w:color w:val="auto"/>
              </w:rPr>
            </w:pPr>
            <w:r>
              <w:rPr>
                <w:rFonts w:ascii="Arial" w:cs="Arial" w:eastAsia="Arial" w:hAnsi="Arial"/>
                <w:sz w:val="12"/>
                <w:szCs w:val="12"/>
                <w:color w:val="auto"/>
                <w:w w:val="92"/>
              </w:rPr>
              <w:t>Section 104(d)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2180" w:type="dxa"/>
            <w:vAlign w:val="bottom"/>
            <w:gridSpan w:val="3"/>
          </w:tcPr>
          <w:p>
            <w:pPr>
              <w:jc w:val="center"/>
              <w:spacing w:after="0" w:line="133" w:lineRule="exact"/>
              <w:rPr>
                <w:sz w:val="20"/>
                <w:szCs w:val="20"/>
                <w:color w:val="auto"/>
              </w:rPr>
            </w:pPr>
            <w:r>
              <w:rPr>
                <w:rFonts w:ascii="Arial" w:cs="Arial" w:eastAsia="Arial" w:hAnsi="Arial"/>
                <w:sz w:val="12"/>
                <w:szCs w:val="12"/>
                <w:color w:val="auto"/>
                <w:w w:val="92"/>
              </w:rPr>
              <w:t>Under SectionUnder Section Pending as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7"/>
              </w:rPr>
              <w:t>Section 104(b) Citations and</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4"/>
              </w:rPr>
              <w:t>Section 110(b) Section 107(a)</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Proposed MSHA</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8"/>
              </w:rPr>
              <w:t>Last Day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 During</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S&amp;S Citations</w:t>
            </w:r>
          </w:p>
        </w:tc>
        <w:tc>
          <w:tcPr>
            <w:tcW w:w="66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w w:val="87"/>
              </w:rPr>
              <w:t>Orders</w:t>
            </w: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color w:val="auto"/>
                <w:w w:val="97"/>
              </w:rPr>
              <w:t>(2) Violations</w:t>
            </w: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color w:val="auto"/>
                <w:w w:val="92"/>
              </w:rPr>
              <w:t>Orders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 xml:space="preserve">Assessments </w:t>
            </w:r>
            <w:r>
              <w:rPr>
                <w:rFonts w:ascii="Arial" w:cs="Arial" w:eastAsia="Arial" w:hAnsi="Arial"/>
                <w:sz w:val="10"/>
                <w:szCs w:val="10"/>
                <w:color w:val="auto"/>
                <w:w w:val="89"/>
              </w:rPr>
              <w:t>(1)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Fatalities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$354</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0"/>
                <w:szCs w:val="20"/>
                <w:color w:val="auto"/>
              </w:rPr>
            </w:pPr>
            <w:r>
              <w:rPr>
                <w:rFonts w:ascii="Arial" w:cs="Arial" w:eastAsia="Arial" w:hAnsi="Arial"/>
                <w:sz w:val="12"/>
                <w:szCs w:val="12"/>
                <w:color w:val="auto"/>
                <w:w w:val="99"/>
              </w:rPr>
              <w:t>Greybull Milling Operation/4800602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$472</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0"/>
                <w:szCs w:val="20"/>
                <w:color w:val="auto"/>
              </w:rPr>
            </w:pPr>
            <w:r>
              <w:rPr>
                <w:rFonts w:ascii="Arial" w:cs="Arial" w:eastAsia="Arial" w:hAnsi="Arial"/>
                <w:sz w:val="12"/>
                <w:szCs w:val="12"/>
                <w:color w:val="auto"/>
                <w:w w:val="99"/>
              </w:rPr>
              <w:t>Greybull Mining Operation/4800603</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72"/>
        </w:trPr>
        <w:tc>
          <w:tcPr>
            <w:tcW w:w="1900" w:type="dxa"/>
            <w:vAlign w:val="bottom"/>
          </w:tcPr>
          <w:p>
            <w:pPr>
              <w:spacing w:after="0"/>
              <w:rPr>
                <w:sz w:val="20"/>
                <w:szCs w:val="20"/>
                <w:color w:val="auto"/>
              </w:rPr>
            </w:pPr>
            <w:r>
              <w:rPr>
                <w:rFonts w:ascii="Arial" w:cs="Arial" w:eastAsia="Arial" w:hAnsi="Arial"/>
                <w:sz w:val="12"/>
                <w:szCs w:val="12"/>
                <w:color w:val="auto"/>
              </w:rPr>
              <w:t>Greystone Mine/2600411</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1900" w:type="dxa"/>
            <w:vAlign w:val="bottom"/>
          </w:tcPr>
          <w:p>
            <w:pPr>
              <w:spacing w:after="0"/>
              <w:rPr>
                <w:sz w:val="20"/>
                <w:szCs w:val="20"/>
                <w:color w:val="auto"/>
              </w:rPr>
            </w:pPr>
            <w:r>
              <w:rPr>
                <w:rFonts w:ascii="Arial" w:cs="Arial" w:eastAsia="Arial" w:hAnsi="Arial"/>
                <w:sz w:val="12"/>
                <w:szCs w:val="12"/>
                <w:color w:val="auto"/>
              </w:rPr>
              <w:t>Wisconsin Proppants/4703742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$118</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40" w:right="120" w:hanging="376"/>
        <w:spacing w:after="0" w:line="329" w:lineRule="auto"/>
        <w:tabs>
          <w:tab w:leader="none" w:pos="9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March 31, 2018,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44" Type="http://schemas.openxmlformats.org/officeDocument/2006/relationships/hyperlink" Target="http://www.sec.gov/Archives/edgar/data/87347/000119312516532046/d176097dex31.htm" TargetMode="External"/><Relationship Id="rId45" Type="http://schemas.openxmlformats.org/officeDocument/2006/relationships/hyperlink" Target="http://www.sec.gov/Archives/edgar/data/87347/000119312517013293/d33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2019-12-28T23:14:45Z</dcterms:created>
  <dcterms:modified xsi:type="dcterms:W3CDTF">2019-12-28T23:14:45Z</dcterms:modified>
</cp:coreProperties>
</file>