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LIBERTY ENERGY INC.</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Common Stock, $0.01 par value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53115L 104</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Dianne Ralston</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5599 San Felipe, 17th Floor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Houston, Texas 77056</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(713) 513-2000</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May 3, 2022</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right="10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0"/>
          </w:cols>
          <w:pgMar w:left="440" w:top="376"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Schlumberger N.V. (Schlumberger Limited)</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200" w:type="dxa"/>
            <w:vAlign w:val="bottom"/>
            <w:tcBorders>
              <w:bottom w:val="single" w:sz="8" w:color="auto"/>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CURAÇAO</w:t>
            </w: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35,101,961</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35,101,961</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w w:val="96"/>
              </w:rPr>
              <w:t>35,101,961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7"/>
              </w:rPr>
              <w:t>18.8%*</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HC</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160"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186,847,433 shares of Class A Common Stock outstanding as of April 20, 2022, as reported in the Issuer’s Quarterly Report on Form 10-Q (“</w:t>
      </w:r>
      <w:r>
        <w:rPr>
          <w:rFonts w:ascii="Times New Roman" w:cs="Times New Roman" w:eastAsia="Times New Roman" w:hAnsi="Times New Roman"/>
          <w:sz w:val="18"/>
          <w:szCs w:val="18"/>
          <w:b w:val="1"/>
          <w:bCs w:val="1"/>
          <w:color w:val="auto"/>
        </w:rPr>
        <w:t>Form 10-Q</w:t>
      </w:r>
      <w:r>
        <w:rPr>
          <w:rFonts w:ascii="Times New Roman" w:cs="Times New Roman" w:eastAsia="Times New Roman" w:hAnsi="Times New Roman"/>
          <w:sz w:val="18"/>
          <w:szCs w:val="18"/>
          <w:color w:val="auto"/>
        </w:rPr>
        <w:t>”) filed with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April 25, 2022.</w:t>
      </w:r>
    </w:p>
    <w:p>
      <w:pPr>
        <w:sectPr>
          <w:pgSz w:w="11900" w:h="16838" w:orient="portrait"/>
          <w:cols w:equalWidth="0" w:num="1">
            <w:col w:w="10904"/>
          </w:cols>
          <w:pgMar w:left="436" w:top="268" w:right="55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Schlumberger B.V.</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200" w:type="dxa"/>
            <w:vAlign w:val="bottom"/>
            <w:tcBorders>
              <w:bottom w:val="single" w:sz="8" w:color="auto"/>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color w:val="auto"/>
              </w:rPr>
              <w:t>Netherlands</w:t>
            </w: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35,101,961</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35,101,961</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w w:val="96"/>
              </w:rPr>
              <w:t>35,101,961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7"/>
              </w:rPr>
              <w:t>18.8%*</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HC</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24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186,847,433 shares of Class A Common Stock outstanding as of April 20, 2022, as reported in the Issuer’s Form 10-Q filed with the SEC on April 25, 2022.</w:t>
      </w:r>
    </w:p>
    <w:p>
      <w:pPr>
        <w:sectPr>
          <w:pgSz w:w="11900" w:h="16838" w:orient="portrait"/>
          <w:cols w:equalWidth="0" w:num="1">
            <w:col w:w="10904"/>
          </w:cols>
          <w:pgMar w:left="436" w:top="268" w:right="55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Schlumberger Holdings Corporation</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200" w:type="dxa"/>
            <w:vAlign w:val="bottom"/>
            <w:tcBorders>
              <w:bottom w:val="single" w:sz="8" w:color="auto"/>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35,101,961</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35,101,961</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w w:val="96"/>
              </w:rPr>
              <w:t>35,101,961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7"/>
              </w:rPr>
              <w:t>18.8%*</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HC</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4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186,847,433 shares of Class A Common Stock outstanding as of April 20, 2022, as reported in the Issuer’s Form 10-Q filed with the SEC on April 25, 2022.</w:t>
      </w:r>
    </w:p>
    <w:p>
      <w:pPr>
        <w:sectPr>
          <w:pgSz w:w="11900" w:h="16838" w:orient="portrait"/>
          <w:cols w:equalWidth="0" w:num="1">
            <w:col w:w="10904"/>
          </w:cols>
          <w:pgMar w:left="436" w:top="268" w:right="55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6"/>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Schlumberger Technology Corporation</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200" w:type="dxa"/>
            <w:vAlign w:val="bottom"/>
            <w:tcBorders>
              <w:bottom w:val="single" w:sz="8" w:color="auto"/>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w w:val="98"/>
              </w:rPr>
              <w:t>SEC Use Only</w:t>
            </w:r>
          </w:p>
        </w:tc>
        <w:tc>
          <w:tcPr>
            <w:tcW w:w="9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spacing w:after="0"/>
              <w:rPr>
                <w:sz w:val="20"/>
                <w:szCs w:val="20"/>
                <w:color w:val="auto"/>
              </w:rPr>
            </w:pPr>
          </w:p>
        </w:tc>
        <w:tc>
          <w:tcPr>
            <w:tcW w:w="9360" w:type="dxa"/>
            <w:vAlign w:val="bottom"/>
            <w:tcBorders>
              <w:bottom w:val="single" w:sz="8" w:color="auto"/>
              <w:right w:val="single" w:sz="8" w:color="auto"/>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Source of Funds</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AF</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Texas, United States</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Shares</w:t>
            </w:r>
          </w:p>
        </w:tc>
        <w:tc>
          <w:tcPr>
            <w:tcW w:w="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8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140" w:type="dxa"/>
            <w:vAlign w:val="bottom"/>
            <w:tcBorders>
              <w:left w:val="single" w:sz="8" w:color="auto"/>
              <w:right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35,101,961</w:t>
            </w:r>
          </w:p>
        </w:tc>
        <w:tc>
          <w:tcPr>
            <w:tcW w:w="0" w:type="dxa"/>
            <w:vAlign w:val="bottom"/>
          </w:tcPr>
          <w:p>
            <w:pPr>
              <w:spacing w:after="0"/>
              <w:rPr>
                <w:sz w:val="1"/>
                <w:szCs w:val="1"/>
                <w:color w:val="auto"/>
              </w:rPr>
            </w:pPr>
          </w:p>
        </w:tc>
      </w:tr>
      <w:tr>
        <w:trPr>
          <w:trHeight w:val="120"/>
        </w:trPr>
        <w:tc>
          <w:tcPr>
            <w:tcW w:w="380" w:type="dxa"/>
            <w:vAlign w:val="bottom"/>
            <w:tcBorders>
              <w:left w:val="single" w:sz="8" w:color="auto"/>
            </w:tcBorders>
          </w:tcPr>
          <w:p>
            <w:pPr>
              <w:spacing w:after="0"/>
              <w:rPr>
                <w:sz w:val="10"/>
                <w:szCs w:val="10"/>
                <w:color w:val="auto"/>
              </w:rPr>
            </w:pPr>
          </w:p>
        </w:tc>
        <w:tc>
          <w:tcPr>
            <w:tcW w:w="760" w:type="dxa"/>
            <w:vAlign w:val="bottom"/>
            <w:tcBorders>
              <w:right w:val="single" w:sz="8" w:color="auto"/>
            </w:tcBorders>
            <w:gridSpan w:val="2"/>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Each</w:t>
            </w: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380" w:type="dxa"/>
            <w:vAlign w:val="bottom"/>
            <w:tcBorders>
              <w:left w:val="single" w:sz="8" w:color="auto"/>
            </w:tcBorders>
          </w:tcPr>
          <w:p>
            <w:pPr>
              <w:spacing w:after="0"/>
              <w:rPr>
                <w:sz w:val="6"/>
                <w:szCs w:val="6"/>
                <w:color w:val="auto"/>
              </w:rPr>
            </w:pPr>
          </w:p>
        </w:tc>
        <w:tc>
          <w:tcPr>
            <w:tcW w:w="760" w:type="dxa"/>
            <w:vAlign w:val="bottom"/>
            <w:tcBorders>
              <w:right w:val="single" w:sz="8" w:color="auto"/>
            </w:tcBorders>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140" w:type="dxa"/>
            <w:vAlign w:val="bottom"/>
            <w:tcBorders>
              <w:left w:val="single" w:sz="8" w:color="auto"/>
              <w:right w:val="single" w:sz="8" w:color="auto"/>
            </w:tcBorders>
            <w:gridSpan w:val="3"/>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92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140" w:type="dxa"/>
            <w:vAlign w:val="bottom"/>
            <w:tcBorders>
              <w:left w:val="single" w:sz="8" w:color="auto"/>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9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760" w:type="dxa"/>
            <w:vAlign w:val="bottom"/>
            <w:tcBorders>
              <w:right w:val="single" w:sz="8" w:color="auto"/>
            </w:tcBorders>
            <w:gridSpan w:val="2"/>
          </w:tcPr>
          <w:p>
            <w:pPr>
              <w:jc w:val="center"/>
              <w:ind w:right="150"/>
              <w:spacing w:after="0"/>
              <w:rPr>
                <w:sz w:val="20"/>
                <w:szCs w:val="20"/>
                <w:color w:val="auto"/>
              </w:rPr>
            </w:pPr>
            <w:r>
              <w:rPr>
                <w:rFonts w:ascii="Times New Roman" w:cs="Times New Roman" w:eastAsia="Times New Roman" w:hAnsi="Times New Roman"/>
                <w:sz w:val="18"/>
                <w:szCs w:val="18"/>
                <w:color w:val="auto"/>
                <w:w w:val="97"/>
              </w:rPr>
              <w:t>Person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right w:val="single" w:sz="8" w:color="auto"/>
            </w:tcBorders>
          </w:tcPr>
          <w:p>
            <w:pPr>
              <w:jc w:val="center"/>
              <w:ind w:right="25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w:t>
            </w:r>
          </w:p>
        </w:tc>
        <w:tc>
          <w:tcPr>
            <w:tcW w:w="1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35,101,961</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20"/>
                <w:szCs w:val="20"/>
                <w:color w:val="auto"/>
              </w:rPr>
            </w:pPr>
          </w:p>
        </w:tc>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w w:val="96"/>
              </w:rPr>
              <w:t>35,101,961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6"/>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w w:val="97"/>
              </w:rPr>
              <w:t>18.8%*</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6"/>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24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186,847,433 shares of Class A Common Stock outstanding as of April 20, 2022, as reported in the Issuer’s Form 10-Q filed with the SEC on April 25, 2022.</w:t>
      </w:r>
    </w:p>
    <w:p>
      <w:pPr>
        <w:sectPr>
          <w:pgSz w:w="11900" w:h="16838" w:orient="portrait"/>
          <w:cols w:equalWidth="0" w:num="1">
            <w:col w:w="10904"/>
          </w:cols>
          <w:pgMar w:left="436" w:top="268" w:right="559" w:bottom="1440" w:gutter="0" w:footer="0" w:header="0"/>
        </w:sectPr>
      </w:pPr>
    </w:p>
    <w:bookmarkStart w:id="5" w:name="page6"/>
    <w:bookmarkEnd w:id="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5" w:lineRule="exact"/>
        <w:rPr>
          <w:sz w:val="20"/>
          <w:szCs w:val="20"/>
          <w:color w:val="auto"/>
        </w:rPr>
      </w:pPr>
    </w:p>
    <w:p>
      <w:pPr>
        <w:ind w:left="4" w:right="120" w:firstLine="440"/>
        <w:spacing w:after="0" w:line="259" w:lineRule="auto"/>
        <w:rPr>
          <w:sz w:val="20"/>
          <w:szCs w:val="20"/>
          <w:color w:val="auto"/>
        </w:rPr>
      </w:pPr>
      <w:r>
        <w:rPr>
          <w:rFonts w:ascii="Times New Roman" w:cs="Times New Roman" w:eastAsia="Times New Roman" w:hAnsi="Times New Roman"/>
          <w:sz w:val="18"/>
          <w:szCs w:val="18"/>
          <w:color w:val="auto"/>
        </w:rPr>
        <w:t>This Amendment No. 4 to Schedule 13D (this “</w:t>
      </w:r>
      <w:r>
        <w:rPr>
          <w:rFonts w:ascii="Times New Roman" w:cs="Times New Roman" w:eastAsia="Times New Roman" w:hAnsi="Times New Roman"/>
          <w:sz w:val="18"/>
          <w:szCs w:val="18"/>
          <w:b w:val="1"/>
          <w:bCs w:val="1"/>
          <w:color w:val="auto"/>
        </w:rPr>
        <w:t>Amendment No. 4</w:t>
      </w:r>
      <w:r>
        <w:rPr>
          <w:rFonts w:ascii="Times New Roman" w:cs="Times New Roman" w:eastAsia="Times New Roman" w:hAnsi="Times New Roman"/>
          <w:sz w:val="18"/>
          <w:szCs w:val="18"/>
          <w:color w:val="auto"/>
        </w:rPr>
        <w:t>”) amends and supplements the Schedule 13D filed with the SEC on January 11, 2021, as amended by Amendment No. 1 to Schedule 13D, filed on September 29, 2021, Amendment No. 2 to Schedule 13D, filed on November 9, 2021, and Amendment No. 3 to Schedule 13D, filed on March 3, 2022 (the “</w:t>
      </w:r>
      <w:r>
        <w:rPr>
          <w:rFonts w:ascii="Times New Roman" w:cs="Times New Roman" w:eastAsia="Times New Roman" w:hAnsi="Times New Roman"/>
          <w:sz w:val="18"/>
          <w:szCs w:val="18"/>
          <w:b w:val="1"/>
          <w:bCs w:val="1"/>
          <w:color w:val="auto"/>
        </w:rPr>
        <w:t>Current Schedule 13D</w:t>
      </w:r>
      <w:r>
        <w:rPr>
          <w:rFonts w:ascii="Times New Roman" w:cs="Times New Roman" w:eastAsia="Times New Roman" w:hAnsi="Times New Roman"/>
          <w:sz w:val="18"/>
          <w:szCs w:val="18"/>
          <w:color w:val="auto"/>
        </w:rPr>
        <w:t>”), relating to the Class A common stock, par value $0.01 per share, of Liberty Energy Inc. Capitalized terms used herein without definition shall have the meaning set forth in the Current Schedule 13D.</w:t>
      </w:r>
    </w:p>
    <w:p>
      <w:pPr>
        <w:spacing w:after="0" w:line="328"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Security and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1 of the Current Schedule 13D is hereby amended and restated in its entirety as follows:</w:t>
      </w:r>
    </w:p>
    <w:p>
      <w:pPr>
        <w:spacing w:after="0" w:line="221"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t>The Current Schedule 13D relates to shares of Class A common stock, par value $0.01 per share (the “</w:t>
      </w:r>
      <w:r>
        <w:rPr>
          <w:rFonts w:ascii="Times New Roman" w:cs="Times New Roman" w:eastAsia="Times New Roman" w:hAnsi="Times New Roman"/>
          <w:sz w:val="18"/>
          <w:szCs w:val="18"/>
          <w:b w:val="1"/>
          <w:bCs w:val="1"/>
          <w:color w:val="auto"/>
        </w:rPr>
        <w:t>Common A Shares</w:t>
      </w:r>
      <w:r>
        <w:rPr>
          <w:rFonts w:ascii="Times New Roman" w:cs="Times New Roman" w:eastAsia="Times New Roman" w:hAnsi="Times New Roman"/>
          <w:sz w:val="18"/>
          <w:szCs w:val="18"/>
          <w:color w:val="auto"/>
        </w:rPr>
        <w:t>”), of Liberty Energy Inc.,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formerly known as Liberty Oilfield Services Inc. The Issuer’s principal executive offices are located at 950 17th Street, Suite 2400, Denver, Colorado 80202.</w:t>
      </w:r>
    </w:p>
    <w:p>
      <w:pPr>
        <w:spacing w:after="0" w:line="319"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Purpose of Transaction.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4 of the Current Schedule 13D is hereby amended and supplemented to include the following additional information:</w:t>
      </w:r>
    </w:p>
    <w:p>
      <w:pPr>
        <w:spacing w:after="0" w:line="3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Underwriting Agreement and Lock-Up Agreement</w:t>
      </w:r>
    </w:p>
    <w:p>
      <w:pPr>
        <w:spacing w:after="0" w:line="115" w:lineRule="exact"/>
        <w:rPr>
          <w:sz w:val="20"/>
          <w:szCs w:val="20"/>
          <w:color w:val="auto"/>
        </w:rPr>
      </w:pPr>
    </w:p>
    <w:p>
      <w:pPr>
        <w:ind w:left="4" w:right="160" w:firstLine="440"/>
        <w:spacing w:after="0" w:line="259" w:lineRule="auto"/>
        <w:rPr>
          <w:sz w:val="20"/>
          <w:szCs w:val="20"/>
          <w:color w:val="auto"/>
        </w:rPr>
      </w:pPr>
      <w:r>
        <w:rPr>
          <w:rFonts w:ascii="Times New Roman" w:cs="Times New Roman" w:eastAsia="Times New Roman" w:hAnsi="Times New Roman"/>
          <w:sz w:val="18"/>
          <w:szCs w:val="18"/>
          <w:color w:val="auto"/>
        </w:rPr>
        <w:t>On May 3, 2022, pursuant to an underwriting agreement dated April 29, 2022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by and among the Issuer, Liberty Oilfield Services New HoldCo LLC, Schlumberger Technology Corporation (“</w:t>
      </w:r>
      <w:r>
        <w:rPr>
          <w:rFonts w:ascii="Times New Roman" w:cs="Times New Roman" w:eastAsia="Times New Roman" w:hAnsi="Times New Roman"/>
          <w:sz w:val="18"/>
          <w:szCs w:val="18"/>
          <w:b w:val="1"/>
          <w:bCs w:val="1"/>
          <w:color w:val="auto"/>
        </w:rPr>
        <w:t>STC</w:t>
      </w:r>
      <w:r>
        <w:rPr>
          <w:rFonts w:ascii="Times New Roman" w:cs="Times New Roman" w:eastAsia="Times New Roman" w:hAnsi="Times New Roman"/>
          <w:sz w:val="18"/>
          <w:szCs w:val="18"/>
          <w:color w:val="auto"/>
        </w:rPr>
        <w:t>”), BofA Securities, Inc. and J.P. Morgan Securities LLC (together with BofA Securities, Inc.,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STC sold 14,500,000 Common A Shares to the Underwriters at a price per share of $15.50, or aggregate consideration of $224,750,000. The Issuer filed with the SEC an automatic shelf registration statement on Form S-3 (Registration No. 333-264559) and a final prospectus dated April 29, 2022 in connection with the public offer and sale of the Common A Shares.</w:t>
      </w:r>
    </w:p>
    <w:p>
      <w:pPr>
        <w:spacing w:after="0" w:line="183"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On April 29, 2022, pursuant to the Underwriting Agreement, STC also entered into a lock-up letter agreement with the Underwriters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whereby STC agreed that, without the prior written consent of the Underwriters, STC will not, for a 30-day period commencing on April 29, 2022, and subject to specified exceptions: (1) offer, pledge, sell, contract to sell, sell any option or contract to purchase, purchase any option or contract to sell, grant any option, right or warrant to purchase, lend, or otherwise transfer or dispose of, directly or indirectly, any Common A Shares beneficially owned or any other securities so owned convertible into or exercisable or exchangeable for Common A Shares, or</w:t>
      </w:r>
    </w:p>
    <w:p>
      <w:pPr>
        <w:spacing w:after="0" w:line="3" w:lineRule="exact"/>
        <w:rPr>
          <w:sz w:val="20"/>
          <w:szCs w:val="20"/>
          <w:color w:val="auto"/>
        </w:rPr>
      </w:pPr>
    </w:p>
    <w:p>
      <w:pPr>
        <w:ind w:left="264" w:hanging="264"/>
        <w:spacing w:after="0"/>
        <w:tabs>
          <w:tab w:leader="none" w:pos="2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w:t>
      </w:r>
    </w:p>
    <w:p>
      <w:pPr>
        <w:spacing w:after="0" w:line="9" w:lineRule="exact"/>
        <w:rPr>
          <w:rFonts w:ascii="Times New Roman" w:cs="Times New Roman" w:eastAsia="Times New Roman" w:hAnsi="Times New Roman"/>
          <w:sz w:val="18"/>
          <w:szCs w:val="18"/>
          <w:color w:val="auto"/>
        </w:rPr>
      </w:pPr>
    </w:p>
    <w:p>
      <w:pPr>
        <w:ind w:left="4"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A Shares, whether any such transaction described in clause (1) or (2) above is to be settled by delivery of Common A Shares or such other securities, in cash or otherwise.</w:t>
      </w:r>
    </w:p>
    <w:p>
      <w:pPr>
        <w:spacing w:after="0" w:line="18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foregoing summary of the Underwriting Agreement and the Lock-Up Agreement does not purport to be complete and is subject to, and is qualified in its entirety by, the full text of the Underwriting Agreement (including the form of lock-up letter attached as an exhibit thereto), which is filed as an exhibit hereto and incorporated herein by reference.</w:t>
      </w:r>
    </w:p>
    <w:p>
      <w:pPr>
        <w:spacing w:after="0" w:line="2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A&amp;R Stockholders Agreement – Change to STC Board Designation Rights</w:t>
      </w:r>
    </w:p>
    <w:p>
      <w:pPr>
        <w:spacing w:after="0" w:line="119"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As previously discussed in the Current Schedule 13D, STC will have the right, pursuant to the A&amp;R SHA, to designate up to one nominee to the Issuer’s Board of Directors following the transactions reported in this Amendment No. 4, because STC and its affiliates collectively beneficially own at least 10% of the outstanding Common Shares.</w:t>
      </w:r>
    </w:p>
    <w:p>
      <w:pPr>
        <w:sectPr>
          <w:pgSz w:w="11900" w:h="16838" w:orient="portrait"/>
          <w:cols w:equalWidth="0" w:num="1">
            <w:col w:w="11004"/>
          </w:cols>
          <w:pgMar w:left="436" w:top="266" w:right="459" w:bottom="1440" w:gutter="0" w:footer="0" w:header="0"/>
        </w:sectPr>
      </w:pPr>
    </w:p>
    <w:bookmarkStart w:id="6" w:name="page7"/>
    <w:bookmarkEnd w:id="6"/>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Current Schedule 13D is hereby amended and restated in its entirety as follows:</w:t>
      </w:r>
    </w:p>
    <w:p>
      <w:pPr>
        <w:spacing w:after="0" w:line="131" w:lineRule="exact"/>
        <w:rPr>
          <w:sz w:val="20"/>
          <w:szCs w:val="20"/>
          <w:color w:val="auto"/>
        </w:rPr>
      </w:pPr>
    </w:p>
    <w:p>
      <w:pPr>
        <w:ind w:left="1180" w:right="140" w:hanging="644"/>
        <w:spacing w:after="0" w:line="258"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STC directly holds 35,101,961 Common A Shares, constituting approximately 18.8% of the 186,847,433 Common A Shares outstanding as of April 20, 2022, as reported in the Issuer’s Quarterly Report on Form 10-Q filed with the SEC on April 25, 2022. Since SHC controls STC, it is deemed to beneficially own the Common A Shares held directly by STC. Since Schlumberger BV controls SHC, it is deemed to beneficially own the Common A Shares held directly by STC. Since Schlumberger Limited controls Schlumberger BV, it is deemed to beneficially own the Common A Shares held directly by STC.</w:t>
      </w:r>
    </w:p>
    <w:p>
      <w:pPr>
        <w:spacing w:after="0" w:line="88" w:lineRule="exact"/>
        <w:rPr>
          <w:rFonts w:ascii="Times New Roman" w:cs="Times New Roman" w:eastAsia="Times New Roman" w:hAnsi="Times New Roman"/>
          <w:sz w:val="18"/>
          <w:szCs w:val="18"/>
          <w:color w:val="auto"/>
        </w:rPr>
      </w:pPr>
    </w:p>
    <w:p>
      <w:pPr>
        <w:ind w:left="1180" w:right="120" w:hanging="644"/>
        <w:spacing w:after="0" w:line="282"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Limited, Schlumberger BV, SHC and STC have shared voting power and shared dispositive power over the Common A Shares held directly by STC.</w:t>
      </w:r>
    </w:p>
    <w:p>
      <w:pPr>
        <w:spacing w:after="0" w:line="67" w:lineRule="exact"/>
        <w:rPr>
          <w:rFonts w:ascii="Times New Roman" w:cs="Times New Roman" w:eastAsia="Times New Roman" w:hAnsi="Times New Roman"/>
          <w:sz w:val="18"/>
          <w:szCs w:val="18"/>
          <w:color w:val="auto"/>
        </w:rPr>
      </w:pPr>
    </w:p>
    <w:p>
      <w:pPr>
        <w:ind w:left="1180" w:right="60" w:hanging="644"/>
        <w:spacing w:after="0" w:line="282"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Item 4 of this Amendment No. 4, none of the Reporting Persons has effected any transactions in the Common A Shares during the past 60 days.</w:t>
      </w:r>
    </w:p>
    <w:p>
      <w:pPr>
        <w:spacing w:after="0" w:line="67" w:lineRule="exact"/>
        <w:rPr>
          <w:rFonts w:ascii="Times New Roman" w:cs="Times New Roman" w:eastAsia="Times New Roman" w:hAnsi="Times New Roman"/>
          <w:sz w:val="18"/>
          <w:szCs w:val="18"/>
          <w:color w:val="auto"/>
        </w:rPr>
      </w:pPr>
    </w:p>
    <w:p>
      <w:pPr>
        <w:ind w:left="1180" w:hanging="644"/>
        <w:spacing w:after="0" w:line="261" w:lineRule="auto"/>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Persons have the right to receive distributions from, or proceeds from the sale of, the Common A Shares reported herein. Except as set forth in the preceding sentence, no other person is known by the Reporting Persons to have the right to receive or the power to direct the receipt of distributions from, or the proceeds from the sale of, Common A Shares beneficially owned by the Reporting Persons.</w:t>
      </w:r>
    </w:p>
    <w:p>
      <w:pPr>
        <w:spacing w:after="0" w:line="85"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of the Current Schedule 13D is hereby amended and supplemented to include the following additional information:</w:t>
      </w:r>
    </w:p>
    <w:p>
      <w:pPr>
        <w:spacing w:after="0" w:line="225"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7.4 Underwriting Agreement, dated April 29, 2022, by and among Liberty Energy Inc., Liberty Oilfield Services New HoldCo LLC, Schlumberger Technology Corporation, BofA Securities, Inc. and J.P. Morgan Securities LLC (incorporated by reference to Exhibit 1.1 to Liberty Energy Inc.’s Current Report on Form 8-K, filed with the SEC on May 3, 2022).</w:t>
      </w:r>
    </w:p>
    <w:p>
      <w:pPr>
        <w:sectPr>
          <w:pgSz w:w="11900" w:h="16838" w:orient="portrait"/>
          <w:cols w:equalWidth="0" w:num="1">
            <w:col w:w="10960"/>
          </w:cols>
          <w:pgMar w:left="440" w:top="266" w:right="49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5,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N.V. (Schlumberger Limited)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Samantha Blons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Samantha Blons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Assistant Secretary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Schlumberger B.V.</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Astrid Posthumus Meijjes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Astrid Posthumus Meijjes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Holdings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Corrie Merchant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17145</wp:posOffset>
            </wp:positionV>
            <wp:extent cx="24174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Corrie Merchant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Schlumberger Technology Corporation</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Corrie Merchant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17145</wp:posOffset>
            </wp:positionV>
            <wp:extent cx="2417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Corrie Merchant</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Treasurer</w:t>
      </w:r>
    </w:p>
    <w:p>
      <w:pPr>
        <w:spacing w:after="0" w:line="13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[Signature Page to Schedule 13D/A]</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2022-05-05T08:44:09Z</dcterms:created>
  <dcterms:modified xsi:type="dcterms:W3CDTF">2022-05-05T08:44:09Z</dcterms:modified>
</cp:coreProperties>
</file>