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5"/>
              <w:spacing w:after="0" w:line="116" w:lineRule="exact"/>
              <w:rPr>
                <w:sz w:val="20"/>
                <w:szCs w:val="20"/>
                <w:color w:val="auto"/>
              </w:rPr>
            </w:pPr>
            <w:r>
              <w:rPr>
                <w:rFonts w:ascii="Arial" w:cs="Arial" w:eastAsia="Arial" w:hAnsi="Arial"/>
                <w:sz w:val="13"/>
                <w:szCs w:val="13"/>
                <w:b w:val="1"/>
                <w:bCs w:val="1"/>
                <w:color w:val="auto"/>
                <w:w w:val="93"/>
              </w:rPr>
              <w:t>Proposed</w:t>
            </w:r>
          </w:p>
        </w:tc>
        <w:tc>
          <w:tcPr>
            <w:tcW w:w="18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tcBorders>
              <w:right w:val="single" w:sz="8" w:color="auto"/>
            </w:tcBorders>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w:t>
            </w:r>
          </w:p>
        </w:tc>
        <w:tc>
          <w:tcPr>
            <w:tcW w:w="184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8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Offered</w:t>
            </w:r>
          </w:p>
        </w:tc>
        <w:tc>
          <w:tcPr>
            <w:tcW w:w="184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1"/>
              </w:rPr>
              <w:t>Registered</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96"/>
              </w:rPr>
              <w:t xml:space="preserve">Per Unit </w:t>
            </w:r>
            <w:r>
              <w:rPr>
                <w:rFonts w:ascii="Arial" w:cs="Arial" w:eastAsia="Arial" w:hAnsi="Arial"/>
                <w:sz w:val="12"/>
                <w:szCs w:val="12"/>
                <w:b w:val="1"/>
                <w:bCs w:val="1"/>
                <w:color w:val="auto"/>
                <w:w w:val="96"/>
              </w:rPr>
              <w: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8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 xml:space="preserve">Registration Fee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84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9"/>
              </w:rPr>
              <w:t>2,108,964</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89"/>
              </w:rPr>
              <w:t>$101.08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$213,174,082</w:t>
            </w:r>
          </w:p>
        </w:tc>
        <w:tc>
          <w:tcPr>
            <w:tcW w:w="178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$27,457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460" w:right="12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Rules 457(c) and 457(r) of the Securities Act of 1933, as amended (the “Securities Act”), and based upon the average of the high and low sales price of a share of the Registrant’s common stock, as reported by the New York Stock Exchange on May 5, 2014.</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Rules 456(b) and 457(r) of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333-195342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323215</wp:posOffset>
            </wp:positionV>
            <wp:extent cx="147510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2,108,964 Shares</w:t>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397510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prospectus supplement relates to resales from time to time of up to 2,108,964 shares of our common stock by one or more stockholders who acquired shares of our common stock in a private transaction in connection with our acquisition of the remaining shares in SES Holdings Limited (“Saxon”), a Calgary-based provider of international land drilling services, that we did not previously own.</w:t>
      </w:r>
    </w:p>
    <w:p>
      <w:pPr>
        <w:spacing w:after="0" w:line="39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selling stockholders, or their pledgees, donees, transferees or other successors in interest, may offer and sell the shares through public or private transactions at prevailing market prices, at prices related to prevailing market prices or at privately negotiated prices by any of the methods described in this prospectus supplement under “Plan of Distribution.”</w:t>
      </w:r>
    </w:p>
    <w:p>
      <w:pPr>
        <w:spacing w:after="0" w:line="39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(the “NYSE”) under the symbol “SLB.” Our common stock is also traded on the Euronext Paris, Euronext Amsterdam, London and SIX Swiss stock exchanges. On May 7, 2014, the closing sale price as reported by the NYSE was $101.88 per share.</w:t>
      </w: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carefully read this prospectus supplement and accompanying prospectus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400685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 See “Risk Factors” on page S-5</w:t>
      </w:r>
      <w:r>
        <w:rPr>
          <w:rFonts w:ascii="Arial" w:cs="Arial" w:eastAsia="Arial" w:hAnsi="Arial"/>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347980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May 8,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0" w:type="dxa"/>
            <w:vAlign w:val="bottom"/>
            <w:gridSpan w:val="2"/>
          </w:tcPr>
          <w:p>
            <w:pPr>
              <w:ind w:left="280"/>
              <w:spacing w:after="0"/>
              <w:rPr>
                <w:sz w:val="20"/>
                <w:szCs w:val="20"/>
                <w:color w:val="auto"/>
              </w:rPr>
            </w:pPr>
            <w:r>
              <w:rPr>
                <w:rFonts w:ascii="Arial" w:cs="Arial" w:eastAsia="Arial" w:hAnsi="Arial"/>
                <w:sz w:val="18"/>
                <w:szCs w:val="18"/>
                <w:color w:val="auto"/>
              </w:rPr>
              <w:t>TABLE OF CONTENTS</w:t>
            </w:r>
          </w:p>
        </w:tc>
      </w:tr>
      <w:tr>
        <w:trPr>
          <w:trHeight w:val="440"/>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0" w:type="dxa"/>
            <w:vAlign w:val="bottom"/>
            <w:gridSpan w:val="2"/>
          </w:tcPr>
          <w:p>
            <w:pPr>
              <w:ind w:left="300"/>
              <w:spacing w:after="0"/>
              <w:rPr>
                <w:sz w:val="20"/>
                <w:szCs w:val="20"/>
                <w:color w:val="auto"/>
              </w:rPr>
            </w:pPr>
            <w:r>
              <w:rPr>
                <w:rFonts w:ascii="Arial" w:cs="Arial" w:eastAsia="Arial" w:hAnsi="Arial"/>
                <w:sz w:val="18"/>
                <w:szCs w:val="18"/>
                <w:color w:val="auto"/>
              </w:rPr>
              <w:t>Prospectus Supplement</w:t>
            </w:r>
          </w:p>
        </w:tc>
      </w:tr>
      <w:tr>
        <w:trPr>
          <w:trHeight w:val="167"/>
        </w:trPr>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64"/>
        </w:trPr>
        <w:tc>
          <w:tcPr>
            <w:tcW w:w="25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About This Prospectus Supplement</w:t>
              </w:r>
            </w:hyperlink>
          </w:p>
        </w:tc>
        <w:tc>
          <w:tcPr>
            <w:tcW w:w="1960" w:type="dxa"/>
            <w:vAlign w:val="bottom"/>
            <w:gridSpan w:val="3"/>
          </w:tcPr>
          <w:p>
            <w:pPr>
              <w:spacing w:after="0"/>
              <w:rPr>
                <w:sz w:val="22"/>
                <w:szCs w:val="22"/>
                <w:color w:val="auto"/>
              </w:rPr>
            </w:pPr>
          </w:p>
        </w:tc>
        <w:tc>
          <w:tcPr>
            <w:tcW w:w="65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the Company</w:t>
              </w:r>
            </w:hyperlink>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S-2</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45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Cautionary Statement Regarding Forward-Looking Statements</w:t>
              </w:r>
            </w:hyperlink>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S-3</w:t>
            </w: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3600" w:type="dxa"/>
            <w:vAlign w:val="bottom"/>
            <w:gridSpan w:val="13"/>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S-5</w:t>
            </w:r>
          </w:p>
        </w:tc>
      </w:tr>
      <w:tr>
        <w:trPr>
          <w:trHeight w:val="304"/>
        </w:trPr>
        <w:tc>
          <w:tcPr>
            <w:tcW w:w="11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340" w:type="dxa"/>
            <w:vAlign w:val="bottom"/>
            <w:gridSpan w:val="12"/>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S-5</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S-6</w:t>
            </w:r>
          </w:p>
        </w:tc>
      </w:tr>
      <w:tr>
        <w:trPr>
          <w:trHeight w:val="304"/>
        </w:trPr>
        <w:tc>
          <w:tcPr>
            <w:tcW w:w="1500" w:type="dxa"/>
            <w:vAlign w:val="bottom"/>
            <w:tcBorders>
              <w:top w:val="single" w:sz="8" w:color="0000EE"/>
            </w:tcBorders>
            <w:gridSpan w:val="5"/>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Plan of Distribution</w:t>
              </w:r>
            </w:hyperlink>
          </w:p>
        </w:tc>
        <w:tc>
          <w:tcPr>
            <w:tcW w:w="3020" w:type="dxa"/>
            <w:vAlign w:val="bottom"/>
            <w:gridSpan w:val="10"/>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S-8</w:t>
            </w:r>
          </w:p>
        </w:tc>
      </w:tr>
      <w:tr>
        <w:trPr>
          <w:trHeight w:val="4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PROSPECTUS</w:t>
            </w:r>
          </w:p>
        </w:tc>
      </w:tr>
      <w:tr>
        <w:trPr>
          <w:trHeight w:val="167"/>
        </w:trPr>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64"/>
        </w:trPr>
        <w:tc>
          <w:tcPr>
            <w:tcW w:w="452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640" w:type="dxa"/>
            <w:vAlign w:val="bottom"/>
            <w:tcBorders>
              <w:top w:val="single" w:sz="8" w:color="0000EE"/>
            </w:tcBorders>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the Company</w:t>
              </w:r>
            </w:hyperlink>
          </w:p>
        </w:tc>
        <w:tc>
          <w:tcPr>
            <w:tcW w:w="2880" w:type="dxa"/>
            <w:vAlign w:val="bottom"/>
            <w:gridSpan w:val="9"/>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r>
      <w:tr>
        <w:trPr>
          <w:trHeight w:val="304"/>
        </w:trPr>
        <w:tc>
          <w:tcPr>
            <w:tcW w:w="45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Cautionary Statement Regarding Forward-Looking Statements</w:t>
              </w:r>
            </w:hyperlink>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3600" w:type="dxa"/>
            <w:vAlign w:val="bottom"/>
            <w:gridSpan w:val="13"/>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1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Use of Proceeds</w:t>
              </w:r>
            </w:hyperlink>
          </w:p>
        </w:tc>
        <w:tc>
          <w:tcPr>
            <w:tcW w:w="3340" w:type="dxa"/>
            <w:vAlign w:val="bottom"/>
            <w:gridSpan w:val="12"/>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Ratio of Earnings to Fixed Charges</w:t>
              </w:r>
            </w:hyperlink>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2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24"/>
                <w:szCs w:val="24"/>
                <w:color w:val="auto"/>
              </w:rPr>
            </w:pPr>
          </w:p>
        </w:tc>
        <w:tc>
          <w:tcPr>
            <w:tcW w:w="1980" w:type="dxa"/>
            <w:vAlign w:val="bottom"/>
            <w:gridSpan w:val="4"/>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2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Common Stock</w:t>
              </w:r>
            </w:hyperlink>
          </w:p>
        </w:tc>
        <w:tc>
          <w:tcPr>
            <w:tcW w:w="2300" w:type="dxa"/>
            <w:vAlign w:val="bottom"/>
            <w:gridSpan w:val="5"/>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Description of Guarantees of Debt Securities</w:t>
              </w:r>
            </w:hyperlink>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10"/>
          </w:tcPr>
          <w:p>
            <w:pPr>
              <w:spacing w:after="0"/>
              <w:rPr>
                <w:sz w:val="24"/>
                <w:szCs w:val="24"/>
                <w:color w:val="auto"/>
              </w:rPr>
            </w:pPr>
          </w:p>
        </w:tc>
        <w:tc>
          <w:tcPr>
            <w:tcW w:w="12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Experts</w:t>
              </w:r>
            </w:hyperlink>
          </w:p>
        </w:tc>
        <w:tc>
          <w:tcPr>
            <w:tcW w:w="3960" w:type="dxa"/>
            <w:vAlign w:val="bottom"/>
            <w:gridSpan w:val="14"/>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Validity of the Securities</w:t>
              </w:r>
            </w:hyperlink>
          </w:p>
        </w:tc>
        <w:tc>
          <w:tcPr>
            <w:tcW w:w="2720" w:type="dxa"/>
            <w:vAlign w:val="bottom"/>
            <w:gridSpan w:val="8"/>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8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Where You Can Find More Information</w:t>
              </w:r>
            </w:hyperlink>
          </w:p>
        </w:tc>
        <w:tc>
          <w:tcPr>
            <w:tcW w:w="1640" w:type="dxa"/>
            <w:vAlign w:val="bottom"/>
            <w:gridSpan w:val="2"/>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52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Incorporation by Reference</w:t>
              </w:r>
            </w:hyperlink>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 AND THE ACCOMPANYING BASE PROSPECTUS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offering of shares of our common stock. The second part is the accompanying base prospectus dated April 17, 2014, which contains and incorporates by reference important business and financial information about us, as well as other information about this offering. 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 Generally, when we refer only to the “prospectus,” we are referring to both parts of this document combined.</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You will find more information about us in the registration statement and the documents incorporated by reference herein. Any statements made in this prospectus supplement or the accompanying prospectus concerning the provisions of legal documents are not necessarily complete. You should read the documents that are filed as exhibits to the registration statement or otherwise filed with the Securities and Exchange Commission, or the SEC, for a more complete understanding of the document or matter. It is important for you to read and consider all information contained or incorporated by reference in this prospectus supplement and the accompanying prospectus before investing in our common stock. You should also read and consider the information in the documents to which we have referred you in “Where You Can Find More Information” in the accompanying prospectus.</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or in any free writing prospectus. We have not, and none of the selling stockholders have, authorized anyone to provide you with different information. If anyone provides you with different or inconsistent information, you should not rely on it. We take no responsibility for, and can provide no assurance as to the reliability of, any other information that others may give you. Neither we nor any of the selling stockholders are making an offer or sale of these securities in any jurisdiction where the offer or sale is not permitted.</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You should not assume that the information contained in this prospectus supplement is accurate as of any date other than the date on the front of this prospectus supplement or accompanying prospectus or that any document incorporated by reference into this prospectus supplement or accompanying prospectus is accurate as of any date other than the date of such document. Our business, financial condition, results of operations and prospects may have changed since that date.</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or the accompanying prospectus, to “Registrant,” “Company,” “Schlumberger,” “we” or “our” are to Schlumberger Limited and its consolidated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the Company today provides the industry’s widest range of products and services from exploration through production.</w:t>
      </w:r>
    </w:p>
    <w:p>
      <w:pPr>
        <w:spacing w:after="0" w:line="16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Schlumberger is incorporated under the laws of Curaçao with principal executive offices in Paris, Houston and The Hague. Our principal executive offices in the United States are located at 5599 San Felipe, 17th Floor, Houston, Texas 77056, and our telephone number is (713) 375-3400.</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60"/>
          </w:cols>
          <w:pgMar w:left="240" w:top="459" w:right="5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Schlumberger in particular, and could cause those results to differ materially from those expressed in or implied by such forward-looking statements:</w:t>
      </w:r>
    </w:p>
    <w:p>
      <w:pPr>
        <w:spacing w:after="0" w:line="9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for Schlumberger as a whole and for each business segment (and for specified products or geographic areas within each business segment);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by Schlumberger and the oil and gas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strategies of Schlumberger’s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Schlumberger’s effective tax rate;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geopolitical and operational risks arising from the international nature of Schlumberger’s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and future global economic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political and business conditions in key regions of the world, including in Russia and the Ukraine;</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strategy and other plans and objectives for future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Schlumberger’s customers and changes in the level of oil and natural gas exploration and development;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declines;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Investing in our securities involves risk. You should carefully consider the risks described in the documents incorporated by reference herein, including the risks described in the “Management’s Discussion and Analysis of Financial Condition and Results of Operations” and “Risk Factors” sections of our Annual Report on Form 10-K for the fiscal year ended December 31, 2013, and in Part II, Item 1A, under the heading “Risk Factors” included in our Quarterly Reports on Form 10-Q thereafter, which are incorporated by reference in this prospectus, and which may be amended, supplemented or superseded from time to time by other reports we file with the SEC in the future.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risks described in the documents incorporated by reference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Because the selling stockholders will sell all of the shares offered under this prospectus supplement, we will not receive any cash proceeds. S-5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color w:val="auto"/>
        </w:rPr>
        <w:t>The shares of common stock covered by this prospectus are being registered pursuant to provisions of a certain registration rights agreement by and among us and the selling stockholders. The shares were acquired by the selling stockholders from us in connection with our acquisition of the remaining shares in Saxon, a Calgary-based provider of international land drilling services, that we did not previously own. The shares of common stock were issued without registration under the Securities Act, in reliance upon the exemption provided by Section 4(a)(2) of the Securities Act. As of April 30, 2014, there were 1,300,545,324 shares of our common stock outstanding. The selling stockholders have not held any position or office or had any other material relationship with us within the past three years, other than their ownership of shares of our common stock as described below.</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the total number of shares of our common stock held by each selling stockholder named below as of the date of this prospectus supplement. No selling stockholder named in the table below owns more than 1% of our outstanding common stock before the offering. All information in the table below, as well as information in the footnotes thereto, has been obtained solely from the relevant selling stockholders, and we have not independently verified this information.</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4"/>
                <w:szCs w:val="14"/>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shares of common stock</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4340" w:type="dxa"/>
            <w:vAlign w:val="bottom"/>
            <w:gridSpan w:val="3"/>
          </w:tcPr>
          <w:p>
            <w:pPr>
              <w:jc w:val="center"/>
              <w:ind w:left="1472"/>
              <w:spacing w:after="0"/>
              <w:rPr>
                <w:sz w:val="20"/>
                <w:szCs w:val="20"/>
                <w:color w:val="auto"/>
              </w:rPr>
            </w:pPr>
            <w:r>
              <w:rPr>
                <w:rFonts w:ascii="Arial" w:cs="Arial" w:eastAsia="Arial" w:hAnsi="Arial"/>
                <w:sz w:val="14"/>
                <w:szCs w:val="14"/>
                <w:b w:val="1"/>
                <w:bCs w:val="1"/>
                <w:color w:val="auto"/>
                <w:w w:val="93"/>
              </w:rPr>
              <w:t xml:space="preserve">beneficially owned prior to the offering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First</w:t>
            </w:r>
          </w:p>
        </w:tc>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Reserve Funds </w:t>
            </w:r>
            <w:r>
              <w:rPr>
                <w:rFonts w:ascii="Arial" w:cs="Arial" w:eastAsia="Arial" w:hAnsi="Arial"/>
                <w:sz w:val="15"/>
                <w:szCs w:val="15"/>
                <w:color w:val="auto"/>
              </w:rPr>
              <w:t>(2)</w:t>
            </w:r>
          </w:p>
        </w:tc>
        <w:tc>
          <w:tcPr>
            <w:tcW w:w="16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2,067,081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J. Tim Braun </w:t>
            </w:r>
            <w:r>
              <w:rPr>
                <w:rFonts w:ascii="Arial" w:cs="Arial" w:eastAsia="Arial" w:hAnsi="Arial"/>
                <w:sz w:val="15"/>
                <w:szCs w:val="15"/>
                <w:color w:val="auto"/>
              </w:rPr>
              <w:t>(3)</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McNulty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Darren Yausie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Katerina Marasco</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R. Gregory Lightfoot</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Mark Helmer and Aiga K. Helmer</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Bev Tremblay</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Dale E. Tremblay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Dean R. Miskiman</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May 5, 2014,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59" w:lineRule="exact"/>
        <w:rPr>
          <w:rFonts w:ascii="Arial" w:cs="Arial" w:eastAsia="Arial" w:hAnsi="Arial"/>
          <w:sz w:val="16"/>
          <w:szCs w:val="16"/>
          <w:color w:val="auto"/>
        </w:rPr>
      </w:pPr>
    </w:p>
    <w:p>
      <w:pPr>
        <w:ind w:left="460" w:hanging="452"/>
        <w:spacing w:after="0" w:line="28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First Reserve Funds are comprised of the following entities: FR SES Holdings Limited, a Cayman Islands exempted company (“FR SES”) and FR Parallel SES Holdings Limited, a Cayman Islands exempted company (“FR Parallel”). Before the offering, 2,030,627 shares of Schlumberger common stock were owned by FR SES and 36,454 shares of Schlumberger common stock were owned by FR Parallel. FR SES is wholly owned by First Reserve Fund XII, L.P., a Cayman Islands exempted limited partnership (“FR XII”). FR Parallel is wholly owned by FR XII-A Parallel Vehicle, L.P., a Cayman Islands exempted limited partnership (“FR XII-A”). First Reserve GP XII, L.P., a Cayman Islands exempted limited partnership (“FR XII GP”), is the general partner of FR XII and FR XII-A. First Reserve GP XII Limited, a Cayman Islands exempted company (“FR XII Limited”), is the general partner of FR XII GP. The address of FR XII, FR XII-A, FR XII GP and FR XII Limited is c/o First Reserve Management, L.P., One Lafayette Place, Greenwich, Connecticut 06830. William E. Macaulay is a director of FR XII Limited, and has the right to appoint a majority of the Board of Directors of FR XII Limited. By virtue of Mr. Macaulay’s right to appoint a majority of the directors of FR XII Limited, Mr. Macaulay may be deemed to have the shared power to vote or direct the vote of, and the shared power to dispose of or direct the disposition of, the shares held by each of FR SES and FR Parallel and therefore, Mr. Macaulay may be deemed to be a beneficial owner of such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 Tim Braun is comprised of J. Tim Braun and Old River’s Water Hauling Ltd., a Canadian corporation. J. Tim Braun is the sole shareholder of Old River’s Water Hauling Ltd. Before the offering, 11,852 shares of Schlumberger common stock were owned by J. Tim Braun and 1,987 shares of Schlumberger common stock were owned by Old River’s Water Hauling Ltd.</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do not know when or in what amounts the selling stockholders may offer shares for sale. The selling stockholders may elect not to sell any of the shares offered by this prospectus supplement. Because the selling stockholders may offer all or some of the shares pursuant to this offering, and because there are currently no agreements, arrangements or understandings with respect to the sale of any of the shares that will be held by the selling stockholders after completion of the offering, we cannot estimate the number of the shares that will be held by the selling stockholders after completion of the offering.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shares of our common stock covered by this prospectus may be offered and sold from time to time by the selling stockholders, including their pledgees, donees, transferees or other successors in interest selling shares received after the date of this prospectus from one of the selling stockholders as a pledge, gift or other non-sale related transfer. To the extent required, this prospectus may be amended and supplemented from time to time to describe a specific plan of distribution.</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selling stockholders will act independently of us in making decisions with respect to the timing, manner and size of each sale. These sales may be made at a fixed price or prices, which may be changed, or at prices on the NYSE, and under terms then prevailing or at prices related to the then-current market price. Sales may also be made in negotiated transactions at negotiated prices, including pursuant to one or more of the following methods:</w:t>
      </w:r>
    </w:p>
    <w:p>
      <w:pPr>
        <w:spacing w:after="0" w:line="5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NYSE or other exchange or trading system on which the shares are admitted for trading privileges;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“at the market” to or through a market maker or into an existing trading market, on an exchange or otherwise, for the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other ways not involving market makers or established trading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put or call transactions relating to the shares;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distributions of the shares or otherwise, the selling stockholders may:</w:t>
      </w:r>
    </w:p>
    <w:p>
      <w:pPr>
        <w:spacing w:after="0" w:line="131" w:lineRule="exact"/>
        <w:rPr>
          <w:sz w:val="20"/>
          <w:szCs w:val="20"/>
          <w:color w:val="auto"/>
        </w:rPr>
      </w:pPr>
    </w:p>
    <w:p>
      <w:pPr>
        <w:ind w:left="900" w:right="3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hedging transactions with broker-dealers or other financial institutions, which may in turn engage in short sales of the shares in the course of hedging the positions they assume;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the shares short and redeliver the shares to close out such short positions;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option or other transactions with broker-dealers or other financial institutions which require the delivery to them of shares offered by this prospectus, which they may in turn resell;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pledge shares to a broker-dealer or other financial institution, which, upon a default, they may in turn resell.</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any shares that qualify for sale pursuant to Rule 144 may be sold under Rule 144 rather than pursuant to this prospectus. Subject to certain conditions, shares of common stock that were issued in connection with the acquisition of the remaining shares in Saxon to someone who is not an “affiliate” of ours may be sold under Rule 144 without restriction after six months from the time of issuance.</w:t>
      </w:r>
    </w:p>
    <w:p>
      <w:pPr>
        <w:spacing w:after="0" w:line="18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2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offering the shares covered by this prospectus, the selling stockholders, and any broker-dealers and any other participating broker-dealers who execute sales for the selling stockholders may be deemed to be “underwriters” within the meaning of the Securities Act in connection with these sales. Any profits realized by the selling stockholders and the compensation of such broker-dealers may be deemed to be underwriting discounts and commissions.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the shares must be sold in those states only through registered or licensed brokers or dealers.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anti-manipulation rules of Regulation M under the Exchange Act may apply to sales of shares in the market and to the activities of the selling stockholders and their affiliates. The selling stockholders may indemnify any broker-dealer that participates in transactions involving the sale of the shares against certain liabilities, including liabilities arising under the Securities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selling stockholders against certain liabilities, including certain liabilities under the Securities Act.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such time as:</w:t>
      </w:r>
    </w:p>
    <w:p>
      <w:pPr>
        <w:spacing w:after="0" w:line="76" w:lineRule="exact"/>
        <w:rPr>
          <w:sz w:val="20"/>
          <w:szCs w:val="20"/>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shares covered by this prospectus supplement (i) have been disposed of pursuant to the Registration Statement, (ii) may be resold by the selling stockholders under Rule 144 under the Securities Act without any volume or manner-of-sale restrictions under Rule 144(e) and (f), or (iii) have otherwise been transferred and may be resold by the transferees of such shares without subsequent registration under the Securities Act; or</w:t>
      </w:r>
    </w:p>
    <w:p>
      <w:pPr>
        <w:spacing w:after="0" w:line="92"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removed any restrictive legends from such the shares covered by this prospectus supplement, cancelled any stop transfer orders and directed our transfer agent to deliver unlegended shares to the selling stockholders.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pay all expenses of the registration of the common shares pursuant to the registration rights agreement including SEC filing fees, accounting and legal fees (other than legal fees and expenses of counsel to the selling stockholders), and other expenses. The selling stockholders will be responsible for any brokers’ commissions, underwriters’ discounts or commissions, transfer taxes or fees and expenses of legal counsel to the selling stockholders, if any, incurred in connection with sales of their shares pursuant to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172085</wp:posOffset>
            </wp:positionV>
            <wp:extent cx="136334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33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“SLB.” Our common stock is also traded on the Euronext Paris, Euronext Amsterdam, London and SIX Swiss stock exchanges.</w:t>
      </w:r>
    </w:p>
    <w:p>
      <w:pPr>
        <w:spacing w:after="0" w:line="157" w:lineRule="exact"/>
        <w:rPr>
          <w:sz w:val="20"/>
          <w:szCs w:val="20"/>
          <w:color w:val="auto"/>
        </w:rPr>
      </w:pPr>
    </w:p>
    <w:p>
      <w:pPr>
        <w:ind w:right="100" w:firstLine="456"/>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See “</w:t>
      </w:r>
      <w:hyperlink w:anchor="page1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and all other information included or incorporated by reference in this prospectus before you decide whether to buy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April 17, 2014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2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520" w:type="dxa"/>
            <w:vAlign w:val="bottom"/>
            <w:gridSpan w:val="13"/>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65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520" w:type="dxa"/>
            <w:vAlign w:val="bottom"/>
            <w:gridSpan w:val="13"/>
            <w:vMerge w:val="continue"/>
          </w:tcPr>
          <w:p>
            <w:pPr>
              <w:spacing w:after="0"/>
              <w:rPr>
                <w:sz w:val="13"/>
                <w:szCs w:val="13"/>
                <w:color w:val="auto"/>
              </w:rPr>
            </w:pPr>
          </w:p>
        </w:tc>
        <w:tc>
          <w:tcPr>
            <w:tcW w:w="65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40" w:type="dxa"/>
            <w:vAlign w:val="bottom"/>
            <w:tcBorders>
              <w:top w:val="single" w:sz="8" w:color="0000EE"/>
            </w:tcBorders>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the Company</w:t>
              </w:r>
            </w:hyperlink>
          </w:p>
        </w:tc>
        <w:tc>
          <w:tcPr>
            <w:tcW w:w="2880" w:type="dxa"/>
            <w:vAlign w:val="bottom"/>
            <w:gridSpan w:val="8"/>
          </w:tcPr>
          <w:p>
            <w:pPr>
              <w:spacing w:after="0"/>
              <w:rPr>
                <w:sz w:val="18"/>
                <w:szCs w:val="18"/>
                <w:color w:val="auto"/>
              </w:rPr>
            </w:pPr>
          </w:p>
        </w:tc>
        <w:tc>
          <w:tcPr>
            <w:tcW w:w="68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Cautionary Statement Regarding Forward-Looking Statements</w:t>
              </w:r>
            </w:hyperlink>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3600" w:type="dxa"/>
            <w:vAlign w:val="bottom"/>
            <w:gridSpan w:val="11"/>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Use of Proceeds</w:t>
              </w:r>
            </w:hyperlink>
          </w:p>
        </w:tc>
        <w:tc>
          <w:tcPr>
            <w:tcW w:w="3340" w:type="dxa"/>
            <w:vAlign w:val="bottom"/>
            <w:gridSpan w:val="10"/>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Ratio of Earnings to Fixed Charges</w:t>
              </w:r>
            </w:hyperlink>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17"/>
                <w:szCs w:val="17"/>
                <w:color w:val="auto"/>
              </w:rPr>
            </w:pPr>
          </w:p>
        </w:tc>
        <w:tc>
          <w:tcPr>
            <w:tcW w:w="1980" w:type="dxa"/>
            <w:vAlign w:val="bottom"/>
            <w:gridSpan w:val="3"/>
          </w:tcPr>
          <w:p>
            <w:pPr>
              <w:spacing w:after="0"/>
              <w:rPr>
                <w:sz w:val="17"/>
                <w:szCs w:val="17"/>
                <w:color w:val="auto"/>
              </w:rPr>
            </w:pPr>
          </w:p>
        </w:tc>
        <w:tc>
          <w:tcPr>
            <w:tcW w:w="68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Common Stock</w:t>
              </w:r>
            </w:hyperlink>
          </w:p>
        </w:tc>
        <w:tc>
          <w:tcPr>
            <w:tcW w:w="2300" w:type="dxa"/>
            <w:vAlign w:val="bottom"/>
            <w:gridSpan w:val="4"/>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Guarantees of Debt Securities</w:t>
              </w:r>
            </w:hyperlink>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8"/>
          </w:tcPr>
          <w:p>
            <w:pPr>
              <w:spacing w:after="0"/>
              <w:rPr>
                <w:sz w:val="17"/>
                <w:szCs w:val="17"/>
                <w:color w:val="auto"/>
              </w:rPr>
            </w:pPr>
          </w:p>
        </w:tc>
        <w:tc>
          <w:tcPr>
            <w:tcW w:w="1280" w:type="dxa"/>
            <w:vAlign w:val="bottom"/>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Experts</w:t>
              </w:r>
            </w:hyperlink>
          </w:p>
        </w:tc>
        <w:tc>
          <w:tcPr>
            <w:tcW w:w="3960" w:type="dxa"/>
            <w:vAlign w:val="bottom"/>
            <w:gridSpan w:val="12"/>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Validity of the Securities</w:t>
              </w:r>
            </w:hyperlink>
          </w:p>
        </w:tc>
        <w:tc>
          <w:tcPr>
            <w:tcW w:w="2720" w:type="dxa"/>
            <w:vAlign w:val="bottom"/>
            <w:gridSpan w:val="7"/>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Where You Can Find More Information</w:t>
              </w:r>
            </w:hyperlink>
          </w:p>
        </w:tc>
        <w:tc>
          <w:tcPr>
            <w:tcW w:w="1640" w:type="dxa"/>
            <w:vAlign w:val="bottom"/>
            <w:gridSpan w:val="2"/>
          </w:tcPr>
          <w:p>
            <w:pPr>
              <w:spacing w:after="0"/>
              <w:rPr>
                <w:sz w:val="17"/>
                <w:szCs w:val="17"/>
                <w:color w:val="auto"/>
              </w:rPr>
            </w:pPr>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by Reference</w:t>
              </w:r>
            </w:hyperlink>
          </w:p>
        </w:tc>
        <w:tc>
          <w:tcPr>
            <w:tcW w:w="6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and in any accompanying prospectus supplement or in any related free writing prospectus. We have not authorized any other person to provide you with different information with respect to this offering. This document may only be used where it is legal to sell these securities. You should only assume that the information in this prospectus or in any prospectus supplement is accurate as of the date on the front of those documents. Our business, financial condition, results of operations and prospects may have changed since that date. We are not making an offer of these securities in any state where the offer is not permitted.</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or SEC, as a “well-known seasoned issuer” as defined in Rule 405 under the Securities Act of 1933, as amended.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use this prospectus to offer securities, we will provide you with a prospectus supplement that will describe the specific amounts, prices and terms of the securities being offered. The prospectus supplement may also add, update or change information contained in this prospectus. Therefore, if there is any inconsistency between the information in this prospectus and the prospectus supplement, you should rely on the information in the prospectus supplement.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understand the terms of our securities, you should carefully read this document and the applicable prospectus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or at the SEC as described under “Where You Can Find More Information.”</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to “Registrant,” “Company,” “Schlumberger,” “we” or “our” are to Schlumberger Limited and its consolidated subsidiaries.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COMPANY</w:t>
      </w:r>
    </w:p>
    <w:p>
      <w:pPr>
        <w:spacing w:after="0" w:line="22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w:t>
      </w:r>
    </w:p>
    <w:p>
      <w:pPr>
        <w:spacing w:after="0" w:line="166"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Schlumberger is incorporated under the laws of Curaçao with principal executive offices in Paris, Houston and The Hague. Our principal executive offices in the United States are located at 5599 San Felipe, 17th Floor, Houston, Texas 77056, and our telephone number is (713) 375-3400.</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Schlumberger in particular, and could cause those results to differ materially from those expressed in or implied by such forward-looking statements:</w:t>
      </w:r>
    </w:p>
    <w:p>
      <w:pPr>
        <w:spacing w:after="0" w:line="9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forecasts or expectations regarding business outlook;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demand for and pricing of the products and services of Schlumberger;</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for Schlumberger as a whole and for each business segment (and for specified products or geographic areas within each business segment);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by Schlumberger and the oil and gas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strategies of Schlumberger’s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Schlumberger’s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geopolitical and operational risks arising from the international nature of Schlumberger’s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and future global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political and business conditions in key regions of the world, including in Russia and the Ukraine;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strategy and other plans and objectives for future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operational delays;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liabilities, including environmental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Schlumberger’s customers and changes in the level of oil and natural gas exploration and development;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erosion;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declines;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Schlumberger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Investing in our securities involves risk. You should carefully consider the risks described in the documents incorporated by reference in this prospectus, including the “Management’s Discussion and Analysis of Financial Condition and Results of Operations” and “Risk Factors” sections of our Annual Report on Form 10-K for the fiscal year ended December 31, 2013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otherwise state in the applicable prospectus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The net proceeds may be temporarily invested or applied to repay short-term or revolving debt prior to use.</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240" w:top="459"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for the periods indicated. This information should be read in conjunction with the consolidated financial statements and the accompanying notes incorporated by reference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Borders>
              <w:bottom w:val="single" w:sz="8" w:color="CCEEFF"/>
            </w:tcBorders>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12.9x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11.2x</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12.3x</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9.6x</w:t>
            </w: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Earnings available for fixed charges represent earnings before income taxes, noncontrolling interests and fixed charges excluding capitalized interest, net of amortization, reduced by undistributed earnings of our less than 50% owned affiliates. Fixed charges represent interest expense, capitalized interest, plus that portion of rental expense deemed to be the equivalent of interest. Interest expense excludes interest related to uncertain tax positions, which has been included in the provision for income taxes.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this description of the debt securities, the words “we,” “us” or “our” refer only to Schlumberger Limited and not to any of our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section have the respective meanings set forth in the applicable indenture.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w:t>
      </w:r>
    </w:p>
    <w:p>
      <w:pPr>
        <w:spacing w:after="0" w:line="17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w:t>
      </w:r>
    </w:p>
    <w:p>
      <w:pPr>
        <w:spacing w:after="0" w:line="92"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applicable indenture;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in whole or in part, at our option;</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currency or currencies in which payment of the principal of, premium, if any, and interest on, debt securities of the series shall be payable;</w:t>
      </w:r>
    </w:p>
    <w:p>
      <w:pPr>
        <w:spacing w:after="0" w:line="153"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portion of the principal amount thereof that will be due and payable upon declaration of acceleration of the maturity thereof or upon any maturity other than the stated maturity or that will be deemed to be outstanding as of any such date, or, in any such case, the manner in which such deemed principal amount is to be determined;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securities,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59"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and upon what terms debt securities of a series may be defeased if different from the provisions set forth in the applicable indenture;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guarantees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applicable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subordinated debt securities, the subordination terms of the debt securities; and</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indentures that may afford the holders of debt securities protection in the event that we enter into a highly leveraged transaction.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indebtedness ranking senior to the debt securities being offered;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restrictions, if any, on payments to the holders of the debt securities being offered while a default with respect to the senior indebtedness is continuing;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requiring holders of the debt securities being offered to remit some payments to the holders of senior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are then incorporated or organized or any political subdivision thereof or therein (each, a “Company Tax Jurisdiction”) or (2) any jurisdiction from or through which payment is made by us or on our behalf (including the jurisdiction of any paying agent for the applicable debt securities) or any political subdivision thereof or therein (each, together with each Company Tax Jurisdiction, a “Tax Jurisdiction”) will at any time be required to be made from any payments made by us under or with respect to any debt securities, including payments of principal, redemption price, interest or premium, we will pay such additional amounts (the “Additional Amounts”) as may be necessary in order that the net amounts received with respect to such payments by each holder of the applicable debt securities after such withholding, deduction or imposition (including any such withholding, deduction or imposition from such Additional Amounts) will equal the respective amounts that would have been received with respect to such payments in the absence of such withholding or deduction;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Additional Amounts will be payable with respect to:</w:t>
      </w:r>
    </w:p>
    <w:p>
      <w:pPr>
        <w:spacing w:after="0" w:line="85" w:lineRule="exact"/>
        <w:rPr>
          <w:sz w:val="20"/>
          <w:szCs w:val="20"/>
          <w:color w:val="auto"/>
        </w:rPr>
      </w:pPr>
    </w:p>
    <w:p>
      <w:pPr>
        <w:ind w:left="900" w:hanging="446"/>
        <w:spacing w:after="0" w:line="297"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debt securities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the receipt of any payments with respect to such debt securities;</w:t>
      </w:r>
    </w:p>
    <w:p>
      <w:pPr>
        <w:spacing w:after="0" w:line="63" w:lineRule="exact"/>
        <w:rPr>
          <w:rFonts w:ascii="Arial" w:cs="Arial" w:eastAsia="Arial" w:hAnsi="Arial"/>
          <w:sz w:val="16"/>
          <w:szCs w:val="16"/>
          <w:color w:val="auto"/>
        </w:rPr>
      </w:pPr>
    </w:p>
    <w:p>
      <w:pPr>
        <w:ind w:left="900" w:right="440" w:hanging="446"/>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Taxes imposed by the United States, any such Taxes imposed by reason of the failure of such holder to fulfill the statement requirements of sections 871(h) or 881(c) of the Internal Revenue Code of 1986, as amended;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or beneficial owner of such debt securities who would have been able to avoid such withholding or deduction by presenting such debt securities (where presentation is required) to another paying agent;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w:t>
      </w:r>
    </w:p>
    <w:p>
      <w:pPr>
        <w:spacing w:after="0" w:line="130"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a relevant Tax Jurisdiction, as a precondition to exemption from, or reduction in the rate of deduction or withholding of, Taxes imposed by the relevant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to the foregoing, we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 relevant Tax Jurisdiction with respect to the execution, delivery, issuance, or registration of the debt securities, or the related indenture or any other document or instrument referred to therein.</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make all withholdings and deductions required by law with respect to the debt securities, and will remit the full amount deducted or withheld to the relevant Tax authority in accordance with applicable law. We will use our reasonable efforts to obtain Tax receipts from each Tax authority evidencing the payment of any Taxes so deducted or withheld. 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Whenever in the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shall be deemed to include mention of the payment of Additional Amounts to the extent that, in such context, Additional Amounts are, were or would be payable in respect thereof.</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The above obligations will survive any termination, defeasance or discharge of each indenture, any transfer by a holder or beneficial owner of the debt securities, and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any jurisdiction in which any successor person to us is incorporated or organized, or any jurisdiction from or through which payment is made by or on behalf of such person on the applicable debt securities and any political subdivision thereof or therein.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redeem the debt securities of any series, in whole but not in part, at our discretion at any time upon giving not less than 30 nor more than 60 days’ prior notice to the holders of the debt securities of such series (which notice will be irrevocable), at a redemption price equal to 100% of the aggregate principal amount thereof, together with accrued and unpaid interest, if any, to the date fixed by us for redemption (a “Tax Redemption Date”) and all Additional Amounts (if any) then due and which will become due on the Tax Redemption Date as a result of the redemption or otherwise (subject to the right of holders of the debt securities of such series on the relevant record date to receive interest due on the relevant interest payment date and Additional Amounts (if any) in respect thereof), if on the next date on which any amount would be payable with respect to the debt securities of such series, we are or would be required to pay Additional Amounts, and we cannot avoid any such payment obligation by taking reasonable measures available, and the requirement arises as a result of:</w:t>
      </w:r>
    </w:p>
    <w:p>
      <w:pPr>
        <w:spacing w:after="0" w:line="98" w:lineRule="exact"/>
        <w:rPr>
          <w:sz w:val="20"/>
          <w:szCs w:val="20"/>
          <w:color w:val="auto"/>
        </w:rPr>
      </w:pPr>
    </w:p>
    <w:p>
      <w:pPr>
        <w:jc w:val="both"/>
        <w:ind w:left="900" w:right="18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 to, or change in, the laws (or any regulations or rulings promulgated thereunder) of a relevant Tax Jurisdiction which change or amendment becomes effective on or after the issue date (or, if the applicable Tax Jurisdiction became a Tax Jurisdiction on a date after the issue date, such later date), or</w:t>
      </w:r>
    </w:p>
    <w:p>
      <w:pPr>
        <w:spacing w:after="0" w:line="86" w:lineRule="exact"/>
        <w:rPr>
          <w:rFonts w:ascii="Arial" w:cs="Arial" w:eastAsia="Arial" w:hAnsi="Arial"/>
          <w:sz w:val="18"/>
          <w:szCs w:val="18"/>
          <w:color w:val="auto"/>
        </w:rPr>
      </w:pPr>
    </w:p>
    <w:p>
      <w:pPr>
        <w:ind w:left="900" w:right="160" w:hanging="325"/>
        <w:spacing w:after="0" w:line="31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Tax Jurisdiction became a Tax Jurisdiction on a date after the issue date, such later date).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give any such notice of redemption earlier than 90 days prior to the earliest date on which we would be obligated to make such payment or withholding if a payment with respect to the debt securities of such series was then due, and the obligation to pay Additional Amounts must be in effect at the time such notice is given. Prior to the publication or, where relevant, mailing of any notice of redemption of the debt securities of such series pursuant to the foregoing, we will deliver to the trustee an opinion of independent tax counsel to the effect that there has been such amendment or change which would entitle us to redeem the debt securities of such series hereunder. In addition, before we publish or mail any notice of redemption as described above, we will deliver to the trustee an officer’s certificate to the effect that we cannot avoid our obligation to pay Additional Amounts by taking reasonable measures available to us.</w:t>
      </w:r>
    </w:p>
    <w:p>
      <w:pPr>
        <w:spacing w:after="0" w:line="18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The foregoing will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jurisdiction in which any successor person to us is incorporated or organized, or any jurisdiction from or through which payment is made by or on behalf of such person on the debt securities of such series and any political subdivision thereof or therein.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less than all of the debt securities of a series are to be redeemed at any time, the trustee will select the debt securities of such series for redemption on a pro rata basis (or, in the case of debt securities issued in global 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debt securities in principal amount of $2,000 or less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DTC, Euroclear or Clearstream, notices may be given by delivery of the relevant notices to DTC, Euroclear or Clearstream for communication to entitled account holders in substitution for the aforesaid mailing.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So long as any debt securities are outstanding, we shall file with the trustee, within 15 days after we file with the SEC, copies of the annual reports and of the information, documents and other reports (or copies of such portions of any of the forgoing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will be “Events of Default” with respect to debt securities of a particular series, except to the extent provided in the supplemental indenture or resolution of our board of directors pursuant to which a series of debt securities is issued:</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any interest on any of the debt securities of such series within 30 days after such interest becomes due and payable;</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principal of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jc w:val="both"/>
        <w:ind w:left="900" w:right="60" w:hanging="325"/>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comply with any of the covenants or agreements in any of the debt securities of such series or the indenture (other than an agreement or covenant that we included in the indenture solely for the benefit of another series of debt securities) for 90 days after written notice by the trustee or by the holders of at least 25% in principal amount of all outstanding debt securities affected by that failure;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 and</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our board of directors under which such series of debt securities is issued or in the form of security for such series.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 default under one series of debt securities issued under the indenture will not necessarily be a default under another series of debt securities under the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an event of default for a series of debt securities occurs and is continuing, the trustee or the holders of at least 25% in principal amount of the debt securities of that series may require us to pay immediately the principal amount plus accrued and unpaid interest on all the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the debt securities of such series then outstanding may in some cases rescind this accelerated payment requirement.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 In most cases, holders of a majority in principal amount of the debt securities of any series then outstanding may direct the time, method and place of:</w:t>
      </w:r>
    </w:p>
    <w:p>
      <w:pPr>
        <w:spacing w:after="0" w:line="87"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indenture requires us to file with the trustee each year a written statement as to our compliance with the covenants contained in the indenture.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us to repurchase any debt securities in the event of a decline in credit rating resulting from a takeover, recapitalization or similar restructuring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shall so determine, any of our other indebtedness or the indebtedness of any such restricted subsidiary then existing or thereafter created ranking on a parity with the debt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these provisions shall not apply to:</w:t>
      </w:r>
    </w:p>
    <w:p>
      <w:pPr>
        <w:spacing w:after="0" w:line="7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our subsidiary (including a restricted subsidiary);</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in favor of us or any of our subsidiaries;</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mortgage of any property or assets to secure indebtedness of the pollution control, industrial revenue or other revenue bond type;</w:t>
      </w:r>
    </w:p>
    <w:p>
      <w:pPr>
        <w:spacing w:after="0" w:line="142" w:lineRule="exact"/>
        <w:rPr>
          <w:rFonts w:ascii="Arial" w:cs="Arial" w:eastAsia="Arial" w:hAnsi="Arial"/>
          <w:sz w:val="17"/>
          <w:szCs w:val="17"/>
          <w:color w:val="auto"/>
        </w:rPr>
      </w:pPr>
    </w:p>
    <w:p>
      <w:pPr>
        <w:ind w:left="900" w:right="34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3"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our most recent quarterly consolidated statement of financial position.</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Schlumberger or any of its subsidiaries.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“restricted property” means any real property, manufacturing plant, warehouse, office building or other physical facility, or any item of marine, transportation or construction equipment or other like depreciable assets of Schlumberger or any of its restricted subsidiaries, whether owned on or acquired after the original issue date of the debt securities, unless, in the opinion of our board of directors, such plant or facility or other asset is not of material importance to the total business conducted by Schlumberger and its restricted subsidiaries taken as a whole.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subsidiary” means any of our subsidiaries which owns a restricted property.</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Merger or Sale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covenant not to consolidate with or merge into any other person or transfer or lease all or substantially all of our assets to any person unless any successor or purchaser expressly assumes our obligations under the debt securities by an indenture supplemental to the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may be amended or supplemented, and waivers may be obtained,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at least a majority in aggregate principal amount of the debt securities of each series at the time outstanding that is affected (including, without limitation, additional debt securities of such series, if any) voting as a single class (including, without limitation, consents obtained in connection with a purchase of, or tender offer or exchange offer for, such series). Without the consent of each holder of outstanding debt securities affected thereby, an amendment, supplement or waiver may not (with respect to any debt securities held by a non-consenting holder):</w:t>
      </w:r>
    </w:p>
    <w:p>
      <w:pPr>
        <w:spacing w:after="0" w:line="88"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 any premium payable on the redemption of any debt security or change the time at which any debt security may or must be redeemed;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payments on any debt security payable in currency other than as originally stated in such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w:t>
      </w:r>
    </w:p>
    <w:p>
      <w:pPr>
        <w:spacing w:after="0" w:line="130" w:lineRule="exact"/>
        <w:rPr>
          <w:rFonts w:ascii="Arial" w:cs="Arial" w:eastAsia="Arial" w:hAnsi="Arial"/>
          <w:sz w:val="18"/>
          <w:szCs w:val="18"/>
          <w:color w:val="auto"/>
        </w:rPr>
      </w:pPr>
    </w:p>
    <w:p>
      <w:pPr>
        <w:ind w:left="900" w:right="52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any change in the percentage of principal amount of the debt securities necessary to waive compliance with certain provisions of the indenture such debt securities were issued under or to make any change in this provision for modification;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Notwithstanding the preceding, without the consent of any holder of debt securities, we and the trustee may amend or supplement the indenture or the applicable debt securities in certain circumstances, including:</w:t>
      </w:r>
    </w:p>
    <w:p>
      <w:pPr>
        <w:spacing w:after="0" w:line="76" w:lineRule="exact"/>
        <w:rPr>
          <w:sz w:val="20"/>
          <w:szCs w:val="20"/>
          <w:color w:val="auto"/>
        </w:rPr>
      </w:pPr>
    </w:p>
    <w:p>
      <w:pPr>
        <w:ind w:left="900" w:right="2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or to provide for the assumption of our obligations under the indenture by a successor upon any merger, consolidation or asset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provide for the assumption of our obligations under the indenture by a successor upon any merger, consolidation or asset transfer;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5620" w:right="120" w:hanging="5045"/>
        <w:spacing w:after="0" w:line="449"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of our rights under the indenture; 17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not become effective with respect to any outstanding debt security of any series created prior to the execution of such supplemental indenture which is entitled to the benefit of such provision;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to issue additional debt securities of any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outstanding debt securities in any material respect; or</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holders of a majority in principal amount of the debt securities of each series then outstanding that is affected, voting as a single class, may waive any existing or past default or event of default with respect to those debt securities. Those holders may not, however, waive any default or event of default in any payment on any debt security.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shall be deemed not to affect the rights under the indenture of the holders of securities of any other series. It will not be necessary for the consent of the holders to approve the particular form of any proposed supplement, amendment or waiver, but it shall be sufficient if such consent approves the substance of 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Registrar and Transfer Agent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shall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shall act as such. We or any of our subsidiaries, upon notice to the trustee, may act as transfer agent.</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Agents will make payments on and facilitate transfer of debt securities on our behalf. We may change any Paying Agents, Registrars or transfer agents without prior notice to the holders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shall cease to be of further effect with respect to a series of debt securities when either:</w:t>
      </w:r>
    </w:p>
    <w:p>
      <w:pPr>
        <w:spacing w:after="0" w:line="131" w:lineRule="exact"/>
        <w:rPr>
          <w:sz w:val="20"/>
          <w:szCs w:val="20"/>
          <w:color w:val="auto"/>
        </w:rPr>
      </w:pPr>
    </w:p>
    <w:p>
      <w:pPr>
        <w:ind w:left="900" w:right="1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trustee for cancellation all outstanding securities of such series, other than any securities that have been destroyed, lost or stolen and that have been replaced or paid as provided in the indenture;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outstanding securities of such series have become due and payable or are by their terms to become due and payable within one year or are to be called for redemption within one year under arrangements satisfactory to the trustee for the giving of notice of redemption, and we shall have irrevocably deposited with the trustee as trust funds the entire amount, in funds or governmental obligations, or a combination thereof, sufficient, in the opinion of a nationally recognized firm of independent public accountants, to pay at maturity or upon redemption all securities of such series;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properly fulfilled any other means of satisfaction and discharge that may be set forth in the terms of the securities of such series.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we will also pay all other sums payable by us under the indenture with respect to the securities of such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term defeasance means the discharge of some or all of our obligations under the indenture. If we deposit with the trustee funds or government securities sufficient to make payments on any series of debt securities on the dates those payments are due and payable, then, at our option, either of the following will occur:</w:t>
      </w:r>
    </w:p>
    <w:p>
      <w:pPr>
        <w:spacing w:after="0" w:line="87" w:lineRule="exact"/>
        <w:rPr>
          <w:sz w:val="20"/>
          <w:szCs w:val="20"/>
          <w:color w:val="auto"/>
        </w:rPr>
      </w:pPr>
    </w:p>
    <w:p>
      <w:pPr>
        <w:ind w:left="5620" w:right="2180" w:hanging="5045"/>
        <w:spacing w:after="0" w:line="449" w:lineRule="auto"/>
        <w:tabs>
          <w:tab w:leader="none" w:pos="8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such series (“legal defeasance”); or 19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and the related events of default will no longer apply to us (“covenant defeasance”).</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we defease any series of debt securities, the holders of the defeased debt securities of such series will not be entitled to the benefits of the indenture under which such series was issued, except for our obligation to register the transfer or exchange of the debt securities of such series, replace stolen, lost or mutilated debt securities or maintain paying agencies and hold moneys for payment in trust. In the case of covenant defeasance, our obligation to pay principal, premium and interest on the debt securities of such series will also survive. We will be required to deliver to the trustee an opinion of counsel that the deposit and related defeasance would not cause the holders of the debt securities of such series to recognize income, gain or loss for federal income tax purposes. If we elect legal defeasance, that opinion of counsel must be based upon a ruling from the United States Internal Revenue Service or a change in law to that effect.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$1,000 or any integral multiple thereof and will be issued in registered form only, without coupons.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$1,000 and multiples of $1,000 in excess thereof. Except as set forth below, the global securities may be transferred, in whole and not in part, only to another nominee of DTC or to a successor of DTC or its nominee.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900" w:right="4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that global security and we do not appoint a successor depositary within 90 days after receiving that notice;</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(the “Exchange Act”), or other applicable statute or regulation and we do not appoint a successor depositary within 90 days after becoming aware that DTC has ceased to be registered as a clearing agency;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determine that that global security will be exchangeable for definitive securities in registered form and notifies the trustee of its decision.</w:t>
      </w:r>
    </w:p>
    <w:p>
      <w:pPr>
        <w:spacing w:after="0" w:line="23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71" w:lineRule="exact"/>
        <w:rPr>
          <w:sz w:val="20"/>
          <w:szCs w:val="20"/>
          <w:color w:val="auto"/>
        </w:rPr>
      </w:pPr>
    </w:p>
    <w:p>
      <w:pPr>
        <w:ind w:left="900" w:right="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1" w:lineRule="exact"/>
        <w:rPr>
          <w:sz w:val="20"/>
          <w:szCs w:val="20"/>
          <w:color w:val="auto"/>
        </w:rPr>
      </w:pPr>
    </w:p>
    <w:p>
      <w:pPr>
        <w:jc w:val="both"/>
        <w:ind w:right="260" w:firstLine="456"/>
        <w:spacing w:after="0" w:line="288"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w:t>
      </w:r>
    </w:p>
    <w:p>
      <w:pPr>
        <w:jc w:val="both"/>
        <w:spacing w:after="0" w:line="255" w:lineRule="auto"/>
        <w:rPr>
          <w:sz w:val="20"/>
          <w:szCs w:val="20"/>
          <w:color w:val="auto"/>
        </w:rPr>
      </w:pPr>
      <w:r>
        <w:rPr>
          <w:rFonts w:ascii="Arial" w:cs="Arial" w:eastAsia="Arial" w:hAnsi="Arial"/>
          <w:sz w:val="18"/>
          <w:szCs w:val="18"/>
          <w:color w:val="auto"/>
        </w:rPr>
        <w:t>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DTC</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7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Clearstream</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6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Euroclear</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countries. The Euroclear System is owned by Euroclear Clearance System Public Limited Company (ECSplc) and operated through Euroclear Bank S.A/N.V., or the Euroclear Operator, a bank incorporated under the laws of the Kingdom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following description of our share capital is a summary. This summary is not complete and is subject to the complete text of our Articles of Incorporation and Amended and Restated By-Laws, each as amended to date. Our Articles of Incorporation and Amended and Restated By-Laws, each as amended, are incorporated by reference as exhibits to the registration statement of which this prospectus forms a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Issued and Treasury Shares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may issue an aggregate of 4,500,000,000 shares of common stock, par value $0.01 per share. As of March 30, 2014, 1,434,212,164 shares of common stock were issued, of which 1,302,192,028 shares were outstanding and 132,020,136 shares were held by us as treasury stock.</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our Articles of Incorporation, the preferred stock (1) may be issued for not less than par value and not less than fair value taking into account the terms and conditions of such preferred stock, (2) would be subject to maximum and minimum dividend rates, (3) would be entitled to one vote per share,</w:t>
      </w:r>
    </w:p>
    <w:p>
      <w:pPr>
        <w:ind w:right="120" w:firstLine="8"/>
        <w:spacing w:after="0" w:line="323"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outstanding shares of common stock (i.e.,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(i.e., our net asset value) at least equals the nominal capital (i.e., the aggregate par value of our outstanding shares) and as a result of the distribution will not fall below the nominal capital.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common stock and each holder of preferred stock (if issued and outstanding) is entitled to one vote for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in that holder’s name. Voting rights may be exercised in person or by proxy.</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No action may be taken at any general meeting of Schlumberger stockholders unless a quorum consisting of the holders of at least one-half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8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Required Vote. </w:t>
      </w:r>
      <w:r>
        <w:rPr>
          <w:rFonts w:ascii="Arial" w:cs="Arial" w:eastAsia="Arial" w:hAnsi="Arial"/>
          <w:sz w:val="18"/>
          <w:szCs w:val="18"/>
          <w:color w:val="auto"/>
        </w:rPr>
        <w:t>In general, any action requiring the approval of Schlumberger stockholders may be authorized by a majority of the votes cast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abstentions) at any meeting at which a quorum is present (subject to the quorum exception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and elected by the general meeting of Schlumberger stockholders. Our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by one or more Schlumberger stockholders representing at least 10% of the votes that can be cast on the topics they wish to be addressed at such meeting and that have a reasonable interest in having such meeting convened, by one or more holders of shares representing in the aggregate a majority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then outstanding and,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Curaçao law, stockholders may not act by written consent without a meeting, unless all stockholders entitled to vote on the matter have cast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event of liquidation, each share of common stock is entitled to equal rights after satisfaction of any preferred stock liquidation preference.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for trading on the NYSE, Euronext Paris, Euronext Amsterdam, the London Stock Exchange and the SIX Swiss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 Canton, Massachusetts.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DESCRIPTION OF GUARANTEES OF DEBT SECURITIES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guarantees of debt securities that may be offered pursuant to this prospectus.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240" w:top="459" w:right="9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Gibson, Dunn &amp; Crutcher LLP, New York, New York, will pass upon the validity of the debt securities and guarantees, and STvB Advocaten (Curaçao) N.V., Curaçao, will pass upon the validity of the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You may read and copy any materials we file with the SEC at the SEC’s public reference room: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For information regarding the operation of the Public Reference Room, you may call the SEC at 1-800-SEC-0330. The SEC also maintains a website at www.sec.gov that contains reports, proxy and information statements and other information regarding Schlumberger and other companies that file materials with the SEC electronically. Our filings are also available on our website at </w:t>
      </w:r>
      <w:r>
        <w:rPr>
          <w:rFonts w:ascii="Arial" w:cs="Arial" w:eastAsia="Arial" w:hAnsi="Arial"/>
          <w:sz w:val="18"/>
          <w:szCs w:val="18"/>
          <w:i w:val="1"/>
          <w:iCs w:val="1"/>
          <w:color w:val="auto"/>
        </w:rPr>
        <w:t>www.slb.com</w:t>
      </w:r>
      <w:r>
        <w:rPr>
          <w:rFonts w:ascii="Arial" w:cs="Arial" w:eastAsia="Arial" w:hAnsi="Arial"/>
          <w:sz w:val="18"/>
          <w:szCs w:val="18"/>
          <w:color w:val="auto"/>
        </w:rPr>
        <w:t>. You are encouraged to read the materials that we file with the SEC, which disclose important information about us. This information includes any filing we have made with the SEC under Section 13(a), 13(c), 14 or 15(d) of the Exchange 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information into this prospectus “by reference,” which means that we can disclose important information to you by referring you to another document that we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incorporating by reference our filings listed below and any additional documents that we may file with the SEC pursuant to Section 13(a), 13(c), 14 or 15(d) of the Exchange Act on or after the date we file this prospectus and prior to the termination of any offering; except we are not incorporating by reference any information furnished (but not filed) under Item 2.02 or Item 7.01 of any Current Report on Form 8-K, unless specifically noted below or in a prospectus supplement:</w:t>
      </w:r>
    </w:p>
    <w:p>
      <w:pPr>
        <w:spacing w:after="0" w:line="92" w:lineRule="exact"/>
        <w:rPr>
          <w:sz w:val="20"/>
          <w:szCs w:val="20"/>
          <w:color w:val="auto"/>
        </w:rPr>
      </w:pPr>
    </w:p>
    <w:p>
      <w:pPr>
        <w:ind w:left="900" w:right="4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2013 (including the portions of our proxy statement for our 2013 annual meeting of stockholders incorporated by reference therein);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April 9, 2014;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description of our common stock, par value $0.01 per share, contained in our Current Report on Form 8-K filed on April 29, 2005.</w:t>
      </w:r>
    </w:p>
    <w:p>
      <w:pPr>
        <w:spacing w:after="0" w:line="23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will provide, without charge, to each person to whom a copy of this prospectus has been delivered, including any beneficial owner, a copy of any or all of the information that has been incorporated by reference into this prospectus but not delivered with the prospectus, if such person makes a written or oral request directed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375-3535</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ACCOMPANYING PROSPECTUS SUPPLEMENT, OR TO WHICH WE HAVE REFERRED YOU, IN MAKING YOUR DECISIONS WHETHER TO INVEST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SECURITIES. WE HAVE NOT AUTHORIZED ANYONE TO PROVIDE YOU WITH INFORMATION THAT DIFFERS FROM THAT CONTAINED IN THIS PROSPECTUS AND ANY ACCOMPANYING PROSPECTUS SUPPLEMENT. THIS PROSPECTUS IS DATED APRIL 17, 2014. YOU SHOULD NOT ASSUME THAT THE INFORMATION CONTAINED IN THIS PROSPECTUS IS ACCURATE AS ANY DATE OTHER THAN THAT DATE, UNLESS WE OTHERWISE NOTE IN THIS PROSPECTUS OR ANY ACCOMPANYING PROSPECTUS SUPPLEMENT.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4"/>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2019-12-05T14:06:20Z</dcterms:created>
  <dcterms:modified xsi:type="dcterms:W3CDTF">2019-12-05T14:06:20Z</dcterms:modified>
</cp:coreProperties>
</file>