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Rizk Tarek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Performance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March 7, 2025 upon achievement of the performance criteria and vesting of performance share units granted on January 19, 2022.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990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2025-03-11T16:32:51Z</dcterms:created>
  <dcterms:modified xsi:type="dcterms:W3CDTF">2025-03-11T16:32:51Z</dcterms:modified>
</cp:coreProperties>
</file>