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880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8022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Gassen Steve Matthew</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979"/>
        <w:spacing w:after="0"/>
        <w:rPr>
          <w:sz w:val="20"/>
          <w:szCs w:val="20"/>
          <w:color w:val="auto"/>
        </w:rPr>
      </w:pPr>
      <w:r>
        <w:rPr>
          <w:rFonts w:ascii="Times New Roman" w:cs="Times New Roman" w:eastAsia="Times New Roman" w:hAnsi="Times New Roman"/>
          <w:sz w:val="17"/>
          <w:szCs w:val="17"/>
          <w:color w:val="0000FF"/>
        </w:rPr>
        <w:t>EVP, Geographies</w:t>
      </w:r>
    </w:p>
    <w:p>
      <w:pPr>
        <w:spacing w:after="0" w:line="309" w:lineRule="exact"/>
        <w:rPr>
          <w:sz w:val="24"/>
          <w:szCs w:val="24"/>
          <w:color w:val="auto"/>
        </w:rPr>
      </w:pPr>
    </w:p>
    <w:p>
      <w:pPr>
        <w:sectPr>
          <w:pgSz w:w="11900" w:h="16838" w:orient="portrait"/>
          <w:cols w:equalWidth="0" w:num="3">
            <w:col w:w="3180" w:space="720"/>
            <w:col w:w="3101" w:space="720"/>
            <w:col w:w="335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75"/>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7"/>
          </w:tcPr>
          <w:p>
            <w:pPr>
              <w:ind w:left="12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jc w:val="center"/>
              <w:ind w:right="4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4"/>
          </w:tcPr>
          <w:p>
            <w:pPr>
              <w:jc w:val="center"/>
              <w:ind w:left="575"/>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280" w:type="dxa"/>
            <w:vAlign w:val="bottom"/>
            <w:tcBorders>
              <w:bottom w:val="single" w:sz="8" w:color="2C2C2C"/>
            </w:tcBorders>
            <w:gridSpan w:val="6"/>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2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960" w:type="dxa"/>
            <w:vAlign w:val="bottom"/>
            <w:tcBorders>
              <w:bottom w:val="single" w:sz="8" w:color="2C2C2C"/>
            </w:tcBorders>
            <w:gridSpan w:val="3"/>
          </w:tcPr>
          <w:p>
            <w:pPr>
              <w:jc w:val="center"/>
              <w:ind w:right="56"/>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56.16</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47,421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2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960" w:type="dxa"/>
            <w:vAlign w:val="bottom"/>
            <w:gridSpan w:val="3"/>
          </w:tcPr>
          <w:p>
            <w:pPr>
              <w:jc w:val="center"/>
              <w:ind w:right="56"/>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11,399</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41.47</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58,820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80" w:type="dxa"/>
            <w:vAlign w:val="bottom"/>
            <w:tcBorders>
              <w:bottom w:val="single" w:sz="8" w:color="2C2C2C"/>
            </w:tcBorders>
            <w:gridSpan w:val="6"/>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2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960" w:type="dxa"/>
            <w:vAlign w:val="bottom"/>
            <w:gridSpan w:val="3"/>
          </w:tcPr>
          <w:p>
            <w:pPr>
              <w:jc w:val="center"/>
              <w:ind w:right="56"/>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21,980</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38.75</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80,800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80" w:type="dxa"/>
            <w:vAlign w:val="bottom"/>
            <w:tcBorders>
              <w:bottom w:val="single" w:sz="8" w:color="2C2C2C"/>
            </w:tcBorders>
            <w:gridSpan w:val="6"/>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2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960" w:type="dxa"/>
            <w:vAlign w:val="bottom"/>
            <w:tcBorders>
              <w:bottom w:val="single" w:sz="8" w:color="2C2C2C"/>
            </w:tcBorders>
            <w:gridSpan w:val="3"/>
          </w:tcPr>
          <w:p>
            <w:pPr>
              <w:jc w:val="center"/>
              <w:ind w:right="56"/>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33,379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56.19</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47,421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SLB</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7"/>
                <w:szCs w:val="17"/>
                <w:color w:val="0000FF"/>
                <w:w w:val="91"/>
              </w:rPr>
              <w:t>5,739</w:t>
            </w:r>
            <w:r>
              <w:rPr>
                <w:rFonts w:ascii="Times New Roman" w:cs="Times New Roman" w:eastAsia="Times New Roman" w:hAnsi="Times New Roman"/>
                <w:sz w:val="21"/>
                <w:szCs w:val="21"/>
                <w:color w:val="008000"/>
                <w:w w:val="91"/>
                <w:vertAlign w:val="superscript"/>
              </w:rPr>
              <w:t>(3)</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1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3A. Deemed</w:t>
            </w:r>
          </w:p>
        </w:tc>
        <w:tc>
          <w:tcPr>
            <w:tcW w:w="3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rPr>
              <w:t>$0.01</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gridSpan w:val="2"/>
            <w:vMerge w:val="restart"/>
          </w:tcPr>
          <w:p>
            <w:pPr>
              <w:spacing w:after="0" w:line="218" w:lineRule="exact"/>
              <w:rPr>
                <w:sz w:val="20"/>
                <w:szCs w:val="20"/>
                <w:color w:val="auto"/>
              </w:rPr>
            </w:pPr>
            <w:r>
              <w:rPr>
                <w:rFonts w:ascii="Times New Roman" w:cs="Times New Roman" w:eastAsia="Times New Roman" w:hAnsi="Times New Roman"/>
                <w:sz w:val="13"/>
                <w:szCs w:val="13"/>
                <w:color w:val="0000FF"/>
              </w:rPr>
              <w:t>01/16/2024</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11,399</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41.47</w:t>
            </w:r>
          </w:p>
        </w:tc>
        <w:tc>
          <w:tcPr>
            <w:tcW w:w="160" w:type="dxa"/>
            <w:vAlign w:val="bottom"/>
          </w:tcPr>
          <w:p>
            <w:pPr>
              <w:spacing w:after="0"/>
              <w:rPr>
                <w:sz w:val="5"/>
                <w:szCs w:val="5"/>
                <w:color w:val="auto"/>
              </w:rPr>
            </w:pPr>
          </w:p>
        </w:tc>
        <w:tc>
          <w:tcPr>
            <w:tcW w:w="104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05/01/2026</w:t>
            </w: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11,399</w:t>
            </w:r>
          </w:p>
        </w:tc>
        <w:tc>
          <w:tcPr>
            <w:tcW w:w="860" w:type="dxa"/>
            <w:vAlign w:val="bottom"/>
            <w:gridSpan w:val="2"/>
            <w:vMerge w:val="continue"/>
          </w:tcPr>
          <w:p>
            <w:pPr>
              <w:spacing w:after="0"/>
              <w:rPr>
                <w:sz w:val="5"/>
                <w:szCs w:val="5"/>
                <w:color w:val="auto"/>
              </w:rPr>
            </w:pPr>
          </w:p>
        </w:tc>
        <w:tc>
          <w:tcPr>
            <w:tcW w:w="660" w:type="dxa"/>
            <w:vAlign w:val="bottom"/>
            <w:vMerge w:val="restart"/>
          </w:tcPr>
          <w:p>
            <w:pPr>
              <w:jc w:val="right"/>
              <w:ind w:right="12"/>
              <w:spacing w:after="0" w:line="141" w:lineRule="exact"/>
              <w:rPr>
                <w:sz w:val="20"/>
                <w:szCs w:val="20"/>
                <w:color w:val="auto"/>
              </w:rPr>
            </w:pPr>
            <w:r>
              <w:rPr>
                <w:rFonts w:ascii="Times New Roman" w:cs="Times New Roman" w:eastAsia="Times New Roman" w:hAnsi="Times New Roman"/>
                <w:sz w:val="13"/>
                <w:szCs w:val="13"/>
                <w:color w:val="0000FF"/>
                <w:w w:val="94"/>
              </w:rPr>
              <w:t>01/16/2029</w:t>
            </w:r>
          </w:p>
        </w:tc>
        <w:tc>
          <w:tcPr>
            <w:tcW w:w="66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rPr>
              <w:t>Par</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w w:val="96"/>
              </w:rPr>
              <w:t>Value</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rPr>
              <w:t>Per</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rPr>
              <w:t>$0.01</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01/15/2025</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21,980</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38.75</w:t>
            </w:r>
          </w:p>
        </w:tc>
        <w:tc>
          <w:tcPr>
            <w:tcW w:w="160" w:type="dxa"/>
            <w:vAlign w:val="bottom"/>
          </w:tcPr>
          <w:p>
            <w:pPr>
              <w:spacing w:after="0"/>
              <w:rPr>
                <w:sz w:val="5"/>
                <w:szCs w:val="5"/>
                <w:color w:val="auto"/>
              </w:rPr>
            </w:pPr>
          </w:p>
        </w:tc>
        <w:tc>
          <w:tcPr>
            <w:tcW w:w="10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05/01/2026</w:t>
            </w: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21,980</w:t>
            </w:r>
          </w:p>
        </w:tc>
        <w:tc>
          <w:tcPr>
            <w:tcW w:w="860" w:type="dxa"/>
            <w:vAlign w:val="bottom"/>
            <w:gridSpan w:val="2"/>
            <w:vMerge w:val="continue"/>
          </w:tcPr>
          <w:p>
            <w:pPr>
              <w:spacing w:after="0"/>
              <w:rPr>
                <w:sz w:val="5"/>
                <w:szCs w:val="5"/>
                <w:color w:val="auto"/>
              </w:rPr>
            </w:pP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3"/>
                <w:szCs w:val="13"/>
                <w:color w:val="0000FF"/>
                <w:w w:val="94"/>
              </w:rPr>
              <w:t>01/15/2030</w:t>
            </w:r>
          </w:p>
        </w:tc>
        <w:tc>
          <w:tcPr>
            <w:tcW w:w="66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Par</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7"/>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(Right to</w:t>
            </w:r>
          </w:p>
        </w:tc>
        <w:tc>
          <w:tcPr>
            <w:tcW w:w="3500" w:type="dxa"/>
            <w:vAlign w:val="bottom"/>
          </w:tcPr>
          <w:p>
            <w:pPr>
              <w:jc w:val="center"/>
              <w:ind w:left="3136"/>
              <w:spacing w:after="0" w:line="127" w:lineRule="exact"/>
              <w:rPr>
                <w:sz w:val="20"/>
                <w:szCs w:val="20"/>
                <w:color w:val="auto"/>
              </w:rPr>
            </w:pPr>
            <w:r>
              <w:rPr>
                <w:rFonts w:ascii="Times New Roman" w:cs="Times New Roman" w:eastAsia="Times New Roman" w:hAnsi="Times New Roman"/>
                <w:sz w:val="13"/>
                <w:szCs w:val="13"/>
                <w:color w:val="0000FF"/>
                <w:w w:val="96"/>
              </w:rPr>
              <w:t>Value</w:t>
            </w:r>
          </w:p>
        </w:tc>
        <w:tc>
          <w:tcPr>
            <w:tcW w:w="0" w:type="dxa"/>
            <w:vAlign w:val="bottom"/>
          </w:tcPr>
          <w:p>
            <w:pPr>
              <w:spacing w:after="0"/>
              <w:rPr>
                <w:sz w:val="1"/>
                <w:szCs w:val="1"/>
                <w:color w:val="auto"/>
              </w:rPr>
            </w:pPr>
          </w:p>
        </w:tc>
      </w:tr>
      <w:tr>
        <w:trPr>
          <w:trHeight w:val="64"/>
        </w:trPr>
        <w:tc>
          <w:tcPr>
            <w:tcW w:w="3660" w:type="dxa"/>
            <w:vAlign w:val="bottom"/>
            <w:vMerge w:val="continue"/>
          </w:tcPr>
          <w:p>
            <w:pPr>
              <w:spacing w:after="0"/>
              <w:rPr>
                <w:sz w:val="5"/>
                <w:szCs w:val="5"/>
                <w:color w:val="auto"/>
              </w:rPr>
            </w:pPr>
          </w:p>
        </w:tc>
        <w:tc>
          <w:tcPr>
            <w:tcW w:w="3500" w:type="dxa"/>
            <w:vAlign w:val="bottom"/>
            <w:vMerge w:val="restart"/>
          </w:tcPr>
          <w:p>
            <w:pPr>
              <w:jc w:val="center"/>
              <w:ind w:left="3136"/>
              <w:spacing w:after="0" w:line="141" w:lineRule="exact"/>
              <w:rPr>
                <w:sz w:val="20"/>
                <w:szCs w:val="20"/>
                <w:color w:val="auto"/>
              </w:rPr>
            </w:pPr>
            <w:r>
              <w:rPr>
                <w:rFonts w:ascii="Times New Roman" w:cs="Times New Roman" w:eastAsia="Times New Roman" w:hAnsi="Times New Roman"/>
                <w:sz w:val="13"/>
                <w:szCs w:val="13"/>
                <w:color w:val="0000FF"/>
              </w:rPr>
              <w:t>Per</w:t>
            </w:r>
          </w:p>
        </w:tc>
        <w:tc>
          <w:tcPr>
            <w:tcW w:w="0" w:type="dxa"/>
            <w:vAlign w:val="bottom"/>
          </w:tcPr>
          <w:p>
            <w:pPr>
              <w:spacing w:after="0"/>
              <w:rPr>
                <w:sz w:val="1"/>
                <w:szCs w:val="1"/>
                <w:color w:val="auto"/>
              </w:rPr>
            </w:pPr>
          </w:p>
        </w:tc>
      </w:tr>
      <w:tr>
        <w:trPr>
          <w:trHeight w:val="77"/>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tcPr>
          <w:p>
            <w:pPr>
              <w:spacing w:after="0"/>
              <w:rPr>
                <w:sz w:val="7"/>
                <w:szCs w:val="7"/>
                <w:color w:val="auto"/>
              </w:rPr>
            </w:pPr>
          </w:p>
        </w:tc>
        <w:tc>
          <w:tcPr>
            <w:tcW w:w="3500" w:type="dxa"/>
            <w:vAlign w:val="bottom"/>
            <w:vMerge w:val="restart"/>
          </w:tcPr>
          <w:p>
            <w:pPr>
              <w:jc w:val="center"/>
              <w:ind w:left="3136"/>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7"/>
        </w:trPr>
        <w:tc>
          <w:tcPr>
            <w:tcW w:w="366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$56.01 to $56.45.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18" w:lineRule="exact"/>
        <w:rPr>
          <w:rFonts w:ascii="Times New Roman" w:cs="Times New Roman" w:eastAsia="Times New Roman" w:hAnsi="Times New Roman"/>
          <w:sz w:val="13"/>
          <w:szCs w:val="13"/>
          <w:color w:val="008000"/>
        </w:rPr>
      </w:pPr>
    </w:p>
    <w:p>
      <w:pPr>
        <w:ind w:left="40" w:right="2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$56.13 to $56.235.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Equivalent shares as updated November 2025.</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became fully exercisable on January 16, 2024.</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became fully exercisable on January 15, 2025.</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Samantha Blons, Attorney-</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05/01/2026</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559" w:firstLine="1"/>
        <w:spacing w:after="0" w:line="33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65028"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2026-05-01T17:46:16Z</dcterms:created>
  <dcterms:modified xsi:type="dcterms:W3CDTF">2026-05-01T17:46:16Z</dcterms:modified>
</cp:coreProperties>
</file>