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179070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SCHLUMBERGER N.V. (SCHLUMBERGER LIMITED)</w:t>
      </w:r>
    </w:p>
    <w:p>
      <w:pPr>
        <w:spacing w:after="0" w:line="4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49" w:right="639" w:bottom="1440" w:gutter="0" w:footer="0" w:header="0"/>
        </w:sectPr>
      </w:pPr>
    </w:p>
    <w:p>
      <w:pPr>
        <w:spacing w:after="0" w:line="200" w:lineRule="exact"/>
        <w:rPr>
          <w:sz w:val="24"/>
          <w:szCs w:val="24"/>
          <w:color w:val="auto"/>
        </w:rPr>
      </w:pPr>
    </w:p>
    <w:p>
      <w:pPr>
        <w:spacing w:after="0" w:line="29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52-0684746</w:t>
      </w:r>
    </w:p>
    <w:p>
      <w:pPr>
        <w:spacing w:after="0" w:line="37" w:lineRule="exact"/>
        <w:rPr>
          <w:sz w:val="24"/>
          <w:szCs w:val="24"/>
          <w:color w:val="auto"/>
        </w:rPr>
      </w:pPr>
    </w:p>
    <w:p>
      <w:pPr>
        <w:sectPr>
          <w:pgSz w:w="11900" w:h="16838" w:orient="portrait"/>
          <w:cols w:equalWidth="0" w:num="3">
            <w:col w:w="4880" w:space="720"/>
            <w:col w:w="2860" w:space="720"/>
            <w:col w:w="1840"/>
          </w:cols>
          <w:pgMar w:left="240" w:top="349"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5" w:lineRule="exact"/>
        <w:rPr>
          <w:sz w:val="24"/>
          <w:szCs w:val="24"/>
          <w:color w:val="auto"/>
        </w:rPr>
      </w:pPr>
    </w:p>
    <w:p>
      <w:pPr>
        <w:sectPr>
          <w:pgSz w:w="11900" w:h="16838" w:orient="portrait"/>
          <w:cols w:equalWidth="0" w:num="3">
            <w:col w:w="4340" w:space="720"/>
            <w:col w:w="3280" w:space="720"/>
            <w:col w:w="1960"/>
          </w:cols>
          <w:pgMar w:left="240" w:top="349" w:right="639" w:bottom="1440" w:gutter="0" w:footer="0" w:header="0"/>
          <w:type w:val="continuous"/>
        </w:sect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153 East 53</w:t>
      </w:r>
      <w:r>
        <w:rPr>
          <w:rFonts w:ascii="Times New Roman" w:cs="Times New Roman" w:eastAsia="Times New Roman" w:hAnsi="Times New Roman"/>
          <w:sz w:val="10"/>
          <w:szCs w:val="10"/>
          <w:b w:val="1"/>
          <w:bCs w:val="1"/>
          <w:color w:val="auto"/>
        </w:rPr>
        <w:t>rd</w:t>
      </w:r>
      <w:r>
        <w:rPr>
          <w:rFonts w:ascii="Times New Roman" w:cs="Times New Roman" w:eastAsia="Times New Roman" w:hAnsi="Times New Roman"/>
          <w:sz w:val="16"/>
          <w:szCs w:val="16"/>
          <w:b w:val="1"/>
          <w:bCs w:val="1"/>
          <w:color w:val="auto"/>
        </w:rPr>
        <w:t xml:space="preserve"> Street, 57</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6"/>
          <w:szCs w:val="16"/>
          <w:b w:val="1"/>
          <w:bCs w:val="1"/>
          <w:color w:val="auto"/>
        </w:rPr>
        <w:t xml:space="preserve"> Floor New York, New York 10022-4624</w:t>
      </w:r>
    </w:p>
    <w:p>
      <w:pPr>
        <w:spacing w:after="0" w:line="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0"/>
          </w:cols>
          <w:pgMar w:left="240" w:top="349" w:right="639" w:bottom="1440" w:gutter="0" w:footer="0" w:header="0"/>
          <w:type w:val="continuous"/>
        </w:sectPr>
      </w:pPr>
    </w:p>
    <w:p>
      <w:pPr>
        <w:spacing w:after="0" w:line="122"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179070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49"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7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As described under Item 5.02 below, Frank A. Sorgie resigned as Chief Accounting Officer of Schlumberger N.V. (Schlumberger Limited), a Netherlands Antilles corporation (“Schlumberger”), on July 21, 2005. Also on July 21, 2005, Schlumberger and Mr. Sorgie entered into an employment agreement (the “Employment Agreement”) to be effective as of August 1, 2005.</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Under the terms of the Employment Agreement, Mr. Sorgie will be employed as a financial advisor to Schlumberger until August 31, 2007. Mr. Sorgie will receive compensation and benefits consisting of: (1) a base salary of $21,667 per month; (2) continued participation in certain of Schlumberger’s pension and profit-sharing plans and employee benefit plans; (3) a pro-rated portion of a performance incentive plan award for January 2005 through July 2005; and (4) a cash payment for his accrued and unused vacation as of July 31, 2005. Mr. Sorgie will retire from Schlumberger on August 31, 2007. In the event Mr. Sorgie’s employment is terminated due to death, disability or for cause, Mr. Sorgie or his beneficiaries, as the case may be, will receive any accrued but unpaid base salary and benefits through the termination date and any other amounts payable under applicable Schlumberger plans or programs. If Schlumberger and Mr. Sorgie mutually agree to terminate the Employment Agreement, Mr. Sorgie will receive his base salary through the termination date, other benefits for which he is eligible under applicable Schlumberger plans or programs and a lump sum payment equal to $541,675 multiplied by the number of months remaining under the term of the Employment Agreement divided by 25.</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copy of the Employment Agreement has been included as Exhibit 10.1 to this Current Report on Form 8-K and is incorporated by reference herein.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7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On July 21, 2005, Frank A. Sorgie resigned as Chief Accounting Officer of Schlumberger. Mr. Sorgie’s resignation was not the result of any disagreement with Schlumberger on any matter relating to Schlumberger’s operations, policies or practices.</w:t>
      </w:r>
    </w:p>
    <w:p>
      <w:pPr>
        <w:spacing w:after="0" w:line="106"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Also on July 21, 2005, Schlumberger’s Board of Directors elected Howard Guild as Chief Accounting Officer. Mr. Guild, 34, joined Schlumberger in October 2004 as Director of Financial Reporting. From July 2001 until October 2004, he was employed as a Senior Manager at PricewaterhouseCoopers LLP. From July 1998 to July 2001, he served as a Manager at 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Exhibits</w:t>
      </w:r>
    </w:p>
    <w:p>
      <w:pPr>
        <w:spacing w:after="0" w:line="158" w:lineRule="exact"/>
        <w:rPr>
          <w:sz w:val="20"/>
          <w:szCs w:val="20"/>
          <w:color w:val="auto"/>
        </w:rPr>
      </w:pPr>
    </w:p>
    <w:p>
      <w:pPr>
        <w:ind w:left="1100" w:right="540" w:hanging="617"/>
        <w:spacing w:after="0" w:line="275" w:lineRule="auto"/>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Employment Agreement, dated July 21, 2005 and effective as of August 1, 2005, between Schlumberger N.V. (Schlumberger Limited) and Frank A. Sorgie.</w:t>
      </w:r>
    </w:p>
    <w:p>
      <w:pPr>
        <w:sectPr>
          <w:pgSz w:w="11900" w:h="16838" w:orient="portrait"/>
          <w:cols w:equalWidth="0" w:num="1">
            <w:col w:w="11400"/>
          </w:cols>
          <w:pgMar w:left="240" w:top="272" w:right="2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83820</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Jean-Marc Perraud</w:t>
      </w:r>
    </w:p>
    <w:p>
      <w:pPr>
        <w:spacing w:after="0" w:line="2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2005</w:t>
      </w:r>
    </w:p>
    <w:p>
      <w:pPr>
        <w:sectPr>
          <w:pgSz w:w="11900" w:h="16838" w:orient="portrait"/>
          <w:cols w:equalWidth="0" w:num="1">
            <w:col w:w="11400"/>
          </w:cols>
          <w:pgMar w:left="240" w:top="272" w:right="2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xml:space="preserve">THIS EMPLOYMENT AGREEMENT (“Agreement”) is effective as of the 1st day of August, 2005, by and between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3"/>
          <w:szCs w:val="13"/>
          <w:b w:val="1"/>
          <w:bCs w:val="1"/>
          <w:color w:val="auto"/>
        </w:rPr>
        <w:t>CHLUMBERGER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w:t>
      </w:r>
      <w:r>
        <w:rPr>
          <w:rFonts w:ascii="Times New Roman" w:cs="Times New Roman" w:eastAsia="Times New Roman" w:hAnsi="Times New Roman"/>
          <w:sz w:val="13"/>
          <w:szCs w:val="13"/>
          <w:b w:val="1"/>
          <w:bCs w:val="1"/>
          <w:color w:val="auto"/>
        </w:rPr>
        <w:t>IMITED</w:t>
      </w:r>
      <w:r>
        <w:rPr>
          <w:rFonts w:ascii="Times New Roman" w:cs="Times New Roman" w:eastAsia="Times New Roman" w:hAnsi="Times New Roman"/>
          <w:sz w:val="16"/>
          <w:szCs w:val="16"/>
          <w:color w:val="auto"/>
        </w:rPr>
        <w:t>, a</w:t>
      </w:r>
    </w:p>
    <w:p>
      <w:pPr>
        <w:spacing w:after="0" w:line="46" w:lineRule="exact"/>
        <w:rPr>
          <w:sz w:val="20"/>
          <w:szCs w:val="20"/>
          <w:color w:val="auto"/>
        </w:rPr>
      </w:pPr>
    </w:p>
    <w:p>
      <w:pPr>
        <w:spacing w:after="0"/>
        <w:tabs>
          <w:tab w:leader="none" w:pos="8620" w:val="left"/>
        </w:tabs>
        <w:rPr>
          <w:sz w:val="20"/>
          <w:szCs w:val="20"/>
          <w:color w:val="auto"/>
        </w:rPr>
      </w:pPr>
      <w:r>
        <w:rPr>
          <w:rFonts w:ascii="Times New Roman" w:cs="Times New Roman" w:eastAsia="Times New Roman" w:hAnsi="Times New Roman"/>
          <w:sz w:val="18"/>
          <w:szCs w:val="18"/>
          <w:color w:val="auto"/>
        </w:rPr>
        <w:t>Netherlands Antilles corporation (the ”Company”), and Frank Sorgie, an individual currently residing at</w:t>
      </w:r>
      <w:r>
        <w:rPr>
          <w:sz w:val="20"/>
          <w:szCs w:val="20"/>
          <w:color w:val="auto"/>
        </w:rPr>
        <w:tab/>
      </w:r>
      <w:r>
        <w:rPr>
          <w:rFonts w:ascii="Times New Roman" w:cs="Times New Roman" w:eastAsia="Times New Roman" w:hAnsi="Times New Roman"/>
          <w:sz w:val="16"/>
          <w:szCs w:val="16"/>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-17780</wp:posOffset>
            </wp:positionV>
            <wp:extent cx="7804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25" w:lineRule="exact"/>
        <w:rPr>
          <w:sz w:val="20"/>
          <w:szCs w:val="20"/>
          <w:color w:val="auto"/>
        </w:rPr>
      </w:pPr>
    </w:p>
    <w:p>
      <w:pPr>
        <w:jc w:val="both"/>
        <w:ind w:right="80" w:firstLine="464"/>
        <w:spacing w:after="0" w:line="258" w:lineRule="auto"/>
        <w:tabs>
          <w:tab w:leader="none" w:pos="6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of Executive</w:t>
      </w:r>
      <w:r>
        <w:rPr>
          <w:rFonts w:ascii="Times New Roman" w:cs="Times New Roman" w:eastAsia="Times New Roman" w:hAnsi="Times New Roman"/>
          <w:sz w:val="18"/>
          <w:szCs w:val="18"/>
          <w:color w:val="auto"/>
        </w:rPr>
        <w:t>: In consideration of the mutual covenants and agreements herein contained, including Executive’s agreement to sign a release of claims as provided in Section 13, the Company and Executive wish to establish an Employment Agreement retaining Executive’s services as described herein, establishing certain incentive, tenure and performance criteria related to such employment and otherwise fixing Executive’s benefits, base salary and incentive compensation.</w:t>
      </w:r>
    </w:p>
    <w:p>
      <w:pPr>
        <w:spacing w:after="0" w:line="122" w:lineRule="exact"/>
        <w:rPr>
          <w:rFonts w:ascii="Times New Roman" w:cs="Times New Roman" w:eastAsia="Times New Roman" w:hAnsi="Times New Roman"/>
          <w:sz w:val="18"/>
          <w:szCs w:val="18"/>
          <w:color w:val="auto"/>
        </w:rPr>
      </w:pPr>
    </w:p>
    <w:p>
      <w:pPr>
        <w:ind w:right="80" w:firstLine="464"/>
        <w:spacing w:after="0" w:line="254" w:lineRule="auto"/>
        <w:tabs>
          <w:tab w:leader="none" w:pos="6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Extent of Services</w:t>
      </w:r>
      <w:r>
        <w:rPr>
          <w:rFonts w:ascii="Times New Roman" w:cs="Times New Roman" w:eastAsia="Times New Roman" w:hAnsi="Times New Roman"/>
          <w:sz w:val="18"/>
          <w:szCs w:val="18"/>
          <w:color w:val="auto"/>
        </w:rPr>
        <w:t>: During the Term, as defined below, Executive shall be employed as Financial Advisor with responsibility for special financial projects. He shall report to Jean-Marc Perraud, Schlumberger Limited Executive Vice President and Chief Financial Officer. The term shall commence August 1, 2005 (the ”Effective Date”) and shall continue until the close of business on August 31, 2007 (the “Term”). During the Term, Executive agrees to devote up to 50% of his time to perform special projects and, to the best of his ability and with reasonable diligence, the duties and responsibilities assigned to him by the appropriate management of the Company. At the expiration of the Term, Executive agrees to voluntarily terminate his employment with the Company and all affiliates and retire. During the term of this agreement, EXECUTIVE agrees that he will not be employed by, either as a director or employee of any company, which competes in the oilfield services industry with the Company.</w:t>
      </w:r>
    </w:p>
    <w:p>
      <w:pPr>
        <w:spacing w:after="0" w:line="127"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right="800" w:firstLine="921"/>
        <w:spacing w:after="0" w:line="275" w:lineRule="auto"/>
        <w:tabs>
          <w:tab w:leader="none" w:pos="11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During the Term, Executive’s base salary shall be $21,667.00 per month which will be payable monthly in accordance with the Company’s normal payroll practices.</w:t>
      </w:r>
    </w:p>
    <w:p>
      <w:pPr>
        <w:spacing w:after="0" w:line="106" w:lineRule="exact"/>
        <w:rPr>
          <w:rFonts w:ascii="Times New Roman" w:cs="Times New Roman" w:eastAsia="Times New Roman" w:hAnsi="Times New Roman"/>
          <w:sz w:val="18"/>
          <w:szCs w:val="18"/>
          <w:color w:val="auto"/>
        </w:rPr>
      </w:pPr>
    </w:p>
    <w:p>
      <w:pPr>
        <w:ind w:right="60" w:firstLine="921"/>
        <w:spacing w:after="0" w:line="275" w:lineRule="auto"/>
        <w:tabs>
          <w:tab w:leader="none" w:pos="116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Welfare Benefits</w:t>
      </w:r>
      <w:r>
        <w:rPr>
          <w:rFonts w:ascii="Times New Roman" w:cs="Times New Roman" w:eastAsia="Times New Roman" w:hAnsi="Times New Roman"/>
          <w:sz w:val="18"/>
          <w:szCs w:val="18"/>
          <w:color w:val="auto"/>
        </w:rPr>
        <w:t>: During the Term, Executive shall be eligible to participate in the Company’s medical and dental plans on a basis comparable to that of other employees at the Company’s New York offices.</w:t>
      </w:r>
    </w:p>
    <w:p>
      <w:pPr>
        <w:spacing w:after="0" w:line="106" w:lineRule="exact"/>
        <w:rPr>
          <w:rFonts w:ascii="Times New Roman" w:cs="Times New Roman" w:eastAsia="Times New Roman" w:hAnsi="Times New Roman"/>
          <w:sz w:val="18"/>
          <w:szCs w:val="18"/>
          <w:color w:val="auto"/>
        </w:rPr>
      </w:pPr>
    </w:p>
    <w:p>
      <w:pPr>
        <w:ind w:right="500" w:firstLine="921"/>
        <w:spacing w:after="0" w:line="275" w:lineRule="auto"/>
        <w:tabs>
          <w:tab w:leader="none" w:pos="11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Pension and Profit-Sharing</w:t>
      </w:r>
      <w:r>
        <w:rPr>
          <w:rFonts w:ascii="Times New Roman" w:cs="Times New Roman" w:eastAsia="Times New Roman" w:hAnsi="Times New Roman"/>
          <w:sz w:val="18"/>
          <w:szCs w:val="18"/>
          <w:color w:val="auto"/>
        </w:rPr>
        <w:t>: During the Term, Executive shall continue to accrue benefits under the Company’s qualified and non-qualified pension and profit-sharing plans based on his base salary in effect under this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4" w:name="page5"/>
    <w:bookmarkEnd w:id="4"/>
    <w:p>
      <w:pPr>
        <w:ind w:left="1160" w:hanging="239"/>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Plans</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460" w:right="140" w:firstLine="443"/>
        <w:spacing w:after="0" w:line="275" w:lineRule="auto"/>
        <w:tabs>
          <w:tab w:leader="none" w:pos="1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Executive shall not be eligible to participate in the Company’s Performance Incentive Plan (PIP). However, he shall be eligible to receive a pro-rated portion of a PIP award for the 7 months of January through July 2005.</w:t>
      </w:r>
    </w:p>
    <w:p>
      <w:pPr>
        <w:spacing w:after="0" w:line="25" w:lineRule="exact"/>
        <w:rPr>
          <w:rFonts w:ascii="Times New Roman" w:cs="Times New Roman" w:eastAsia="Times New Roman" w:hAnsi="Times New Roman"/>
          <w:sz w:val="18"/>
          <w:szCs w:val="18"/>
          <w:color w:val="auto"/>
        </w:rPr>
      </w:pPr>
    </w:p>
    <w:p>
      <w:pPr>
        <w:ind w:left="460" w:right="40" w:firstLine="443"/>
        <w:spacing w:after="0" w:line="262" w:lineRule="auto"/>
        <w:tabs>
          <w:tab w:leader="none" w:pos="11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or if Executive’s employment is terminated sooner pursuant to Section 4, until such termination, Executive will continue to vest in stock options previously granted to Executive under the Company’s stock option plans in accordance with the terms of those plans and any applicable agreements.</w:t>
      </w:r>
    </w:p>
    <w:p>
      <w:pPr>
        <w:spacing w:after="0" w:line="37" w:lineRule="exact"/>
        <w:rPr>
          <w:rFonts w:ascii="Times New Roman" w:cs="Times New Roman" w:eastAsia="Times New Roman" w:hAnsi="Times New Roman"/>
          <w:sz w:val="18"/>
          <w:szCs w:val="18"/>
          <w:color w:val="auto"/>
        </w:rPr>
      </w:pPr>
    </w:p>
    <w:p>
      <w:pPr>
        <w:ind w:left="460" w:right="200" w:firstLine="443"/>
        <w:spacing w:after="0" w:line="262" w:lineRule="auto"/>
        <w:tabs>
          <w:tab w:leader="none" w:pos="12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employment, except for a termination for Cause pursuant to Section 4(c), Executive shall have the lesser of 5 years or the length of time left on the option term from the date of such termination to exercise any previously granted stock options, to the extent that such options were exercisable as of the date of such termination.</w:t>
      </w:r>
    </w:p>
    <w:p>
      <w:pPr>
        <w:spacing w:after="0" w:line="38" w:lineRule="exact"/>
        <w:rPr>
          <w:sz w:val="20"/>
          <w:szCs w:val="20"/>
          <w:color w:val="auto"/>
        </w:rPr>
      </w:pPr>
    </w:p>
    <w:p>
      <w:pPr>
        <w:ind w:left="460" w:firstLine="443"/>
        <w:spacing w:after="0" w:line="275" w:lineRule="auto"/>
        <w:tabs>
          <w:tab w:leader="none" w:pos="113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xml:space="preserve"> During the Term, Executive shall not be eligible to accrue vacation pay. Within 30 days after the commencement of the Term, Executive shall be paid a cash amount representing his accrued and unused vacation accumulated as of July 31, 2005.</w:t>
      </w:r>
    </w:p>
    <w:p>
      <w:pPr>
        <w:spacing w:after="0" w:line="25" w:lineRule="exact"/>
        <w:rPr>
          <w:rFonts w:ascii="Times New Roman" w:cs="Times New Roman" w:eastAsia="Times New Roman" w:hAnsi="Times New Roman"/>
          <w:sz w:val="18"/>
          <w:szCs w:val="18"/>
          <w:color w:val="auto"/>
        </w:rPr>
      </w:pPr>
    </w:p>
    <w:p>
      <w:pPr>
        <w:ind w:left="460" w:right="440" w:firstLine="443"/>
        <w:spacing w:after="0" w:line="275" w:lineRule="auto"/>
        <w:tabs>
          <w:tab w:leader="none" w:pos="111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Executive shall continue to be reimbursed for any expenses incurred in the normal course of performing his duties including any pre-approved travel expenditures necessary to satisfactorily perform his duties.</w:t>
      </w:r>
    </w:p>
    <w:p>
      <w:pPr>
        <w:spacing w:after="0" w:line="106" w:lineRule="exact"/>
        <w:rPr>
          <w:rFonts w:ascii="Times New Roman" w:cs="Times New Roman" w:eastAsia="Times New Roman" w:hAnsi="Times New Roman"/>
          <w:sz w:val="18"/>
          <w:szCs w:val="18"/>
          <w:color w:val="auto"/>
        </w:rPr>
      </w:pPr>
    </w:p>
    <w:p>
      <w:pPr>
        <w:ind w:right="360" w:firstLine="464"/>
        <w:spacing w:after="0" w:line="275" w:lineRule="auto"/>
        <w:tabs>
          <w:tab w:leader="none" w:pos="6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Should Executive’s employment terminate prior to the end of the Term, the following provisions of this Section 4 shall govern the rights of Executive under this Agreement:</w:t>
      </w:r>
    </w:p>
    <w:p>
      <w:pPr>
        <w:spacing w:after="0" w:line="25" w:lineRule="exact"/>
        <w:rPr>
          <w:rFonts w:ascii="Times New Roman" w:cs="Times New Roman" w:eastAsia="Times New Roman" w:hAnsi="Times New Roman"/>
          <w:sz w:val="18"/>
          <w:szCs w:val="18"/>
          <w:color w:val="auto"/>
        </w:rPr>
      </w:pPr>
    </w:p>
    <w:p>
      <w:pPr>
        <w:ind w:right="360" w:firstLine="921"/>
        <w:spacing w:after="0" w:line="262" w:lineRule="auto"/>
        <w:tabs>
          <w:tab w:leader="none" w:pos="115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In the event Executive’s employment terminates during the Term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118" w:lineRule="exact"/>
        <w:rPr>
          <w:rFonts w:ascii="Times New Roman" w:cs="Times New Roman" w:eastAsia="Times New Roman" w:hAnsi="Times New Roman"/>
          <w:sz w:val="18"/>
          <w:szCs w:val="18"/>
          <w:color w:val="auto"/>
        </w:rPr>
      </w:pPr>
    </w:p>
    <w:p>
      <w:pPr>
        <w:ind w:right="40" w:firstLine="921"/>
        <w:spacing w:after="0" w:line="258" w:lineRule="auto"/>
        <w:tabs>
          <w:tab w:leader="none" w:pos="1161"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In the event Executive’s employment terminates during the Term due to his disability within the meaning of any long-term disability plan maintained by 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right="320" w:firstLine="921"/>
        <w:spacing w:after="0" w:line="275" w:lineRule="auto"/>
        <w:tabs>
          <w:tab w:leader="none" w:pos="11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by the Company for Cause</w:t>
      </w:r>
      <w:r>
        <w:rPr>
          <w:rFonts w:ascii="Times New Roman" w:cs="Times New Roman" w:eastAsia="Times New Roman" w:hAnsi="Times New Roman"/>
          <w:sz w:val="18"/>
          <w:szCs w:val="18"/>
          <w:color w:val="auto"/>
        </w:rPr>
        <w:t>: In the event the Company terminates Executive’s employment during the Term for Cause, as defined below, he shall be entitled to:</w:t>
      </w:r>
    </w:p>
    <w:p>
      <w:pPr>
        <w:spacing w:after="0" w:line="25"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through the date of the termination of his employment for Cause; and</w:t>
      </w:r>
    </w:p>
    <w:p>
      <w:pPr>
        <w:spacing w:after="0" w:line="76" w:lineRule="exact"/>
        <w:rPr>
          <w:rFonts w:ascii="Times New Roman" w:cs="Times New Roman" w:eastAsia="Times New Roman" w:hAnsi="Times New Roman"/>
          <w:sz w:val="18"/>
          <w:szCs w:val="18"/>
          <w:color w:val="auto"/>
        </w:rPr>
      </w:pPr>
    </w:p>
    <w:p>
      <w:pPr>
        <w:ind w:left="460" w:right="680" w:firstLine="443"/>
        <w:spacing w:after="0" w:line="275" w:lineRule="auto"/>
        <w:tabs>
          <w:tab w:leader="none" w:pos="11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earned, accrued or owing as of the date of termination of employment under the applicable employee benefit plans or programs of the Company.</w:t>
      </w:r>
    </w:p>
    <w:p>
      <w:pPr>
        <w:spacing w:after="0" w:line="106"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“Cause” means Executive’s material dishonesty, conviction of a felony, willful unauthorized disclosure of confidential information of the Company or willful refusal to perform the duties of Executive’s position or positions with the Company that are appropriate and legal.</w:t>
      </w:r>
    </w:p>
    <w:p>
      <w:pPr>
        <w:spacing w:after="0" w:line="106" w:lineRule="exact"/>
        <w:rPr>
          <w:sz w:val="20"/>
          <w:szCs w:val="20"/>
          <w:color w:val="auto"/>
        </w:rPr>
      </w:pPr>
    </w:p>
    <w:p>
      <w:pPr>
        <w:ind w:right="80" w:firstLine="921"/>
        <w:spacing w:after="0" w:line="275" w:lineRule="auto"/>
        <w:tabs>
          <w:tab w:leader="none" w:pos="11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Mutual Agreement:</w:t>
      </w:r>
      <w:r>
        <w:rPr>
          <w:rFonts w:ascii="Times New Roman" w:cs="Times New Roman" w:eastAsia="Times New Roman" w:hAnsi="Times New Roman"/>
          <w:sz w:val="18"/>
          <w:szCs w:val="18"/>
          <w:color w:val="auto"/>
        </w:rPr>
        <w:t xml:space="preserve"> In the event the Company and the Executive mutually agree to terminate this agreement, the Executive’s employment will be terminated and he shall be entitled to:</w:t>
      </w:r>
    </w:p>
    <w:p>
      <w:pPr>
        <w:spacing w:after="0" w:line="25" w:lineRule="exact"/>
        <w:rPr>
          <w:rFonts w:ascii="Times New Roman" w:cs="Times New Roman" w:eastAsia="Times New Roman" w:hAnsi="Times New Roman"/>
          <w:sz w:val="18"/>
          <w:szCs w:val="18"/>
          <w:color w:val="auto"/>
        </w:rPr>
      </w:pPr>
    </w:p>
    <w:p>
      <w:pPr>
        <w:ind w:left="1620" w:hanging="279"/>
        <w:spacing w:after="0"/>
        <w:tabs>
          <w:tab w:leader="none" w:pos="16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through the date of the termination of his employment;</w:t>
      </w:r>
    </w:p>
    <w:p>
      <w:pPr>
        <w:spacing w:after="0" w:line="74" w:lineRule="exact"/>
        <w:rPr>
          <w:rFonts w:ascii="Times New Roman" w:cs="Times New Roman" w:eastAsia="Times New Roman" w:hAnsi="Times New Roman"/>
          <w:sz w:val="18"/>
          <w:szCs w:val="18"/>
          <w:color w:val="auto"/>
        </w:rPr>
      </w:pPr>
    </w:p>
    <w:p>
      <w:pPr>
        <w:ind w:left="1620" w:hanging="279"/>
        <w:spacing w:after="0"/>
        <w:tabs>
          <w:tab w:leader="none" w:pos="16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for which he is eligible in accordance with applicable plans or programs of the Company</w:t>
      </w:r>
      <w:r>
        <w:rPr>
          <w:rFonts w:ascii="Times New Roman" w:cs="Times New Roman" w:eastAsia="Times New Roman" w:hAnsi="Times New Roman"/>
          <w:sz w:val="18"/>
          <w:szCs w:val="18"/>
          <w:b w:val="1"/>
          <w:bCs w:val="1"/>
          <w:color w:val="auto"/>
        </w:rPr>
        <w:t>;</w:t>
      </w:r>
    </w:p>
    <w:p>
      <w:pPr>
        <w:spacing w:after="0" w:line="78" w:lineRule="exact"/>
        <w:rPr>
          <w:rFonts w:ascii="Times New Roman" w:cs="Times New Roman" w:eastAsia="Times New Roman" w:hAnsi="Times New Roman"/>
          <w:sz w:val="18"/>
          <w:szCs w:val="18"/>
          <w:color w:val="auto"/>
        </w:rPr>
      </w:pPr>
    </w:p>
    <w:p>
      <w:pPr>
        <w:ind w:left="920" w:right="220" w:firstLine="421"/>
        <w:spacing w:after="0" w:line="262" w:lineRule="auto"/>
        <w:tabs>
          <w:tab w:leader="none" w:pos="161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stock options granted under a stock option plan of the Company that vested during the Term of the Agreement (and prior to his termination date) for up to the lesser of 5 years or the amount of time left on the option term after his termination date but not to exceed the original option term;</w:t>
      </w:r>
    </w:p>
    <w:p>
      <w:pPr>
        <w:spacing w:after="0" w:line="37" w:lineRule="exact"/>
        <w:rPr>
          <w:rFonts w:ascii="Times New Roman" w:cs="Times New Roman" w:eastAsia="Times New Roman" w:hAnsi="Times New Roman"/>
          <w:sz w:val="18"/>
          <w:szCs w:val="18"/>
          <w:color w:val="auto"/>
        </w:rPr>
      </w:pPr>
    </w:p>
    <w:p>
      <w:pPr>
        <w:ind w:left="920" w:firstLine="421"/>
        <w:spacing w:after="0" w:line="275" w:lineRule="auto"/>
        <w:tabs>
          <w:tab w:leader="none" w:pos="162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of $541,675 multiplied by the fraction of N divided by 25 where N equals the number of months remaining under this Agreement.</w:t>
      </w:r>
    </w:p>
    <w:p>
      <w:pPr>
        <w:spacing w:after="0" w:line="25" w:lineRule="exact"/>
        <w:rPr>
          <w:rFonts w:ascii="Times New Roman" w:cs="Times New Roman" w:eastAsia="Times New Roman" w:hAnsi="Times New Roman"/>
          <w:sz w:val="18"/>
          <w:szCs w:val="18"/>
          <w:color w:val="auto"/>
        </w:rPr>
      </w:pPr>
    </w:p>
    <w:p>
      <w:pPr>
        <w:ind w:left="1080" w:hanging="177"/>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Return of Property, and Covenant Not to Compete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firstLine="921"/>
        <w:spacing w:after="0" w:line="258" w:lineRule="auto"/>
        <w:tabs>
          <w:tab w:leader="none" w:pos="11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Company agrees to provide Executive with Confidential Information as necessary to perform his duties hereunder. Executive agrees that in return for this and other consideration provided under this Agreement he will not disclose or make available to any other person or entity, or use for his own personal gain, any Confidential Information, except for such disclosures as required in the performance of his duties hereunder. For purposes of this Agreement, “Confidential Information” shall mean any and all information,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right="2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manuals,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28"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In addition, the Company and Executive agree that the terms of this Agreement are confidential and that any disclosure to anyone for any purpose whatsoever (save and except disclosure to Executive’s spouse, to financial institutions as part of a financial statement, to immediate family members and/or heirs, financial, tax and legal advisors, outplacement, executive search advisors, prospective employers, or as required by law) by Executive or Executive’s agents, representatives, heirs, spouse, employees or spokespersons shall be a breach of this Agreement, and shall relieve the Company of its obligations hereunder. The above is not intended to restrict Executive from seeking or engaging in other employment and, in that connection, from making confidential disclosure to potential employers of such facts or opinions as Executive may elect to convey, nor is it intended to restrict the Company from conducting such confidential internal communications as may be necessary to manage implementation of this Agreement in a businesslike way.</w:t>
      </w:r>
    </w:p>
    <w:p>
      <w:pPr>
        <w:spacing w:after="0" w:line="128" w:lineRule="exact"/>
        <w:rPr>
          <w:sz w:val="20"/>
          <w:szCs w:val="20"/>
          <w:color w:val="auto"/>
        </w:rPr>
      </w:pPr>
    </w:p>
    <w:p>
      <w:pPr>
        <w:ind w:right="80" w:firstLine="921"/>
        <w:spacing w:after="0" w:line="256" w:lineRule="auto"/>
        <w:tabs>
          <w:tab w:leader="none" w:pos="116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Executive agrees that at the time of leaving the Company’s employ, he will deliver to the Company (and will not keep in his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w:t>
      </w:r>
    </w:p>
    <w:p>
      <w:pPr>
        <w:spacing w:after="0" w:line="125" w:lineRule="exact"/>
        <w:rPr>
          <w:rFonts w:ascii="Times New Roman" w:cs="Times New Roman" w:eastAsia="Times New Roman" w:hAnsi="Times New Roman"/>
          <w:sz w:val="18"/>
          <w:szCs w:val="18"/>
          <w:color w:val="auto"/>
        </w:rPr>
      </w:pPr>
    </w:p>
    <w:p>
      <w:pPr>
        <w:ind w:right="60" w:firstLine="921"/>
        <w:spacing w:after="0" w:line="255" w:lineRule="auto"/>
        <w:tabs>
          <w:tab w:leader="none" w:pos="11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by Affiliates</w:t>
      </w:r>
      <w:r>
        <w:rPr>
          <w:rFonts w:ascii="Times New Roman" w:cs="Times New Roman" w:eastAsia="Times New Roman" w:hAnsi="Times New Roman"/>
          <w:sz w:val="18"/>
          <w:szCs w:val="18"/>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Netherlands Antilles corporation, (ii) any corporation in which the shares owned or controlled directly or indirectly by Schlumberger Limited shall represent 40% or more of the voting power of the issued and outstanding stock of such corporation, and (iii) any other company controlled by, controlling or under common control with the Company within the meaning of Section 414 of the Internal Revenue Code of 1986, as amended.</w:t>
      </w:r>
    </w:p>
    <w:p>
      <w:pPr>
        <w:spacing w:after="0" w:line="125" w:lineRule="exact"/>
        <w:rPr>
          <w:rFonts w:ascii="Times New Roman" w:cs="Times New Roman" w:eastAsia="Times New Roman" w:hAnsi="Times New Roman"/>
          <w:sz w:val="18"/>
          <w:szCs w:val="18"/>
          <w:color w:val="auto"/>
        </w:rPr>
      </w:pPr>
    </w:p>
    <w:p>
      <w:pPr>
        <w:jc w:val="both"/>
        <w:ind w:right="460" w:firstLine="464"/>
        <w:spacing w:after="0" w:line="262" w:lineRule="auto"/>
        <w:tabs>
          <w:tab w:leader="none" w:pos="6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and Executive shall each be responsible for 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4" w:right="299" w:bottom="1440" w:gutter="0" w:footer="0" w:header="0"/>
        </w:sectPr>
      </w:pPr>
    </w:p>
    <w:bookmarkStart w:id="7" w:name="page8"/>
    <w:bookmarkEnd w:id="7"/>
    <w:p>
      <w:pPr>
        <w:ind w:right="80" w:firstLine="464"/>
        <w:spacing w:after="0" w:line="262" w:lineRule="auto"/>
        <w:tabs>
          <w:tab w:leader="none" w:pos="6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r>
        <w:rPr>
          <w:rFonts w:ascii="Times New Roman" w:cs="Times New Roman" w:eastAsia="Times New Roman" w:hAnsi="Times New Roman"/>
          <w:sz w:val="18"/>
          <w:szCs w:val="18"/>
          <w:color w:val="auto"/>
        </w:rPr>
        <w:t>: For purposes of this Agreement, notices and all other communications provided for herein shall be in writing and shall be deemed to have been duly given when personally delivered or when mailed by United States registered or certified mail, return receipt requested, postage prepaid, addressed as follows:</w:t>
      </w:r>
    </w:p>
    <w:p>
      <w:pPr>
        <w:spacing w:after="0" w:line="119"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Limited</w:t>
            </w:r>
          </w:p>
        </w:tc>
      </w:tr>
      <w:tr>
        <w:trPr>
          <w:trHeight w:val="216"/>
        </w:trPr>
        <w:tc>
          <w:tcPr>
            <w:tcW w:w="1720" w:type="dxa"/>
            <w:vAlign w:val="bottom"/>
          </w:tcPr>
          <w:p>
            <w:pPr>
              <w:spacing w:after="0"/>
              <w:rPr>
                <w:sz w:val="18"/>
                <w:szCs w:val="18"/>
                <w:color w:val="auto"/>
              </w:rPr>
            </w:pPr>
          </w:p>
        </w:tc>
        <w:tc>
          <w:tcPr>
            <w:tcW w:w="3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153 E.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8"/>
                <w:szCs w:val="18"/>
                <w:color w:val="auto"/>
              </w:rPr>
              <w:t xml:space="preserve"> Street</w:t>
            </w:r>
          </w:p>
        </w:tc>
      </w:tr>
      <w:tr>
        <w:trPr>
          <w:trHeight w:val="216"/>
        </w:trPr>
        <w:tc>
          <w:tcPr>
            <w:tcW w:w="17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10022-4624</w:t>
            </w:r>
          </w:p>
        </w:tc>
      </w:tr>
      <w:tr>
        <w:trPr>
          <w:trHeight w:val="228"/>
        </w:trPr>
        <w:tc>
          <w:tcPr>
            <w:tcW w:w="17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ATTENTION: Vice President of Personnel</w:t>
            </w: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If to Executive</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Frank Sorgie</w:t>
            </w:r>
          </w:p>
        </w:tc>
      </w:tr>
      <w:tr>
        <w:trPr>
          <w:trHeight w:val="259"/>
        </w:trPr>
        <w:tc>
          <w:tcPr>
            <w:tcW w:w="1720" w:type="dxa"/>
            <w:vAlign w:val="bottom"/>
          </w:tcPr>
          <w:p>
            <w:pPr>
              <w:spacing w:after="0"/>
              <w:rPr>
                <w:sz w:val="22"/>
                <w:szCs w:val="22"/>
                <w:color w:val="auto"/>
              </w:rPr>
            </w:pPr>
          </w:p>
        </w:tc>
        <w:tc>
          <w:tcPr>
            <w:tcW w:w="3180" w:type="dxa"/>
            <w:vAlign w:val="bottom"/>
            <w:tcBorders>
              <w:bottom w:val="single" w:sz="8" w:color="auto"/>
            </w:tcBorders>
          </w:tcPr>
          <w:p>
            <w:pPr>
              <w:spacing w:after="0"/>
              <w:rPr>
                <w:sz w:val="22"/>
                <w:szCs w:val="22"/>
                <w:color w:val="auto"/>
              </w:rPr>
            </w:pPr>
          </w:p>
        </w:tc>
      </w:tr>
      <w:tr>
        <w:trPr>
          <w:trHeight w:val="358"/>
        </w:trPr>
        <w:tc>
          <w:tcPr>
            <w:tcW w:w="17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pacing w:after="0" w:line="24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or to such other address as either party may furnish to the other in writing in accordance herewith, except that notices of changes of address shall be effective only upon receipt.</w:t>
      </w:r>
    </w:p>
    <w:p>
      <w:pPr>
        <w:spacing w:after="0" w:line="106" w:lineRule="exact"/>
        <w:rPr>
          <w:sz w:val="20"/>
          <w:szCs w:val="20"/>
          <w:color w:val="auto"/>
        </w:rPr>
      </w:pPr>
    </w:p>
    <w:p>
      <w:pPr>
        <w:ind w:right="80" w:firstLine="464"/>
        <w:spacing w:after="0" w:line="275" w:lineRule="auto"/>
        <w:tabs>
          <w:tab w:leader="none" w:pos="6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validity, interpretation, construction and performance of this Agreement will be governed by and construed in accordance with the substantive laws of the State of New York, without giving effect to the principles of conflict of laws of such State.</w:t>
      </w:r>
    </w:p>
    <w:p>
      <w:pPr>
        <w:spacing w:after="0" w:line="106" w:lineRule="exact"/>
        <w:rPr>
          <w:rFonts w:ascii="Times New Roman" w:cs="Times New Roman" w:eastAsia="Times New Roman" w:hAnsi="Times New Roman"/>
          <w:sz w:val="18"/>
          <w:szCs w:val="18"/>
          <w:color w:val="auto"/>
        </w:rPr>
      </w:pPr>
    </w:p>
    <w:p>
      <w:pPr>
        <w:ind w:right="160" w:firstLine="464"/>
        <w:spacing w:after="0" w:line="262" w:lineRule="auto"/>
        <w:tabs>
          <w:tab w:leader="none" w:pos="6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 court of competent jurisdiction determines that any provision of this Agreement is invalid or unenforceable, then the invalidity or unenforceability of that provision shall not affect the validity or enforceability of any other provision of this Agreement, and all other provisions shall remain in full force and effect.</w:t>
      </w:r>
    </w:p>
    <w:p>
      <w:pPr>
        <w:spacing w:after="0" w:line="118" w:lineRule="exact"/>
        <w:rPr>
          <w:rFonts w:ascii="Times New Roman" w:cs="Times New Roman" w:eastAsia="Times New Roman" w:hAnsi="Times New Roman"/>
          <w:sz w:val="18"/>
          <w:szCs w:val="18"/>
          <w:color w:val="auto"/>
        </w:rPr>
      </w:pPr>
    </w:p>
    <w:p>
      <w:pPr>
        <w:ind w:right="340" w:firstLine="464"/>
        <w:spacing w:after="0" w:line="275"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The Company may withhold from any benefits payable under this Agreement all federal, state, city or other taxes as may be required pursuant to any law or governmental regulation or ruling.</w:t>
      </w:r>
    </w:p>
    <w:p>
      <w:pPr>
        <w:spacing w:after="0" w:line="106" w:lineRule="exact"/>
        <w:rPr>
          <w:rFonts w:ascii="Times New Roman" w:cs="Times New Roman" w:eastAsia="Times New Roman" w:hAnsi="Times New Roman"/>
          <w:sz w:val="18"/>
          <w:szCs w:val="18"/>
          <w:color w:val="auto"/>
        </w:rPr>
      </w:pPr>
    </w:p>
    <w:p>
      <w:pPr>
        <w:ind w:firstLine="464"/>
        <w:spacing w:after="0" w:line="256" w:lineRule="auto"/>
        <w:tabs>
          <w:tab w:leader="none" w:pos="7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Successors</w:t>
      </w:r>
      <w:r>
        <w:rPr>
          <w:rFonts w:ascii="Times New Roman" w:cs="Times New Roman" w:eastAsia="Times New Roman" w:hAnsi="Times New Roman"/>
          <w:sz w:val="18"/>
          <w:szCs w:val="18"/>
          <w:color w:val="auto"/>
        </w:rPr>
        <w:t>: Executive’s right to receive payments or benefits hereunder shall not be assignable or transferable, whether by pledge, creation or a security interest or otherwise, whether voluntary, involuntary, by operation of law or otherwise, other than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25" w:lineRule="exact"/>
        <w:rPr>
          <w:sz w:val="20"/>
          <w:szCs w:val="20"/>
          <w:color w:val="auto"/>
        </w:rPr>
      </w:pPr>
    </w:p>
    <w:p>
      <w:pPr>
        <w:ind w:right="600" w:firstLine="913"/>
        <w:spacing w:after="0" w:line="275"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Company, its successors and assigns (including, without limitation, any company into or with which the Company may merge or consolidate).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ind w:right="420" w:firstLine="464"/>
        <w:spacing w:after="0" w:line="310" w:lineRule="auto"/>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Prior Agreements</w:t>
      </w:r>
      <w:r>
        <w:rPr>
          <w:rFonts w:ascii="Times New Roman" w:cs="Times New Roman" w:eastAsia="Times New Roman" w:hAnsi="Times New Roman"/>
          <w:sz w:val="16"/>
          <w:szCs w:val="16"/>
          <w:color w:val="auto"/>
        </w:rPr>
        <w:t>: This Agreement contains the entire understanding between the parties hereto and supersedes any prior employment agreement or severance agreement between the Company or any predecessor of the Company and Executive, except that this Agreement shall not affect or operate to reduce any benefit or compensation enuring to Executive of a kind elsewhere provided and not expressly provided or modified in this Agreement.</w:t>
      </w:r>
    </w:p>
    <w:p>
      <w:pPr>
        <w:spacing w:after="0" w:line="83" w:lineRule="exact"/>
        <w:rPr>
          <w:rFonts w:ascii="Times New Roman" w:cs="Times New Roman" w:eastAsia="Times New Roman" w:hAnsi="Times New Roman"/>
          <w:sz w:val="16"/>
          <w:szCs w:val="16"/>
          <w:color w:val="auto"/>
        </w:rPr>
      </w:pPr>
    </w:p>
    <w:p>
      <w:pPr>
        <w:ind w:right="80" w:firstLine="464"/>
        <w:spacing w:after="0" w:line="25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for the compensation and other benefits provided pursuant to this Agreement, Executive agrees to execute a “Waiver and Release,” a form of which is attached hereto as Exhibit A. Executive acknowledges that he was given copies of this Agreement and the Waiver and Release on July 1, 2005 and was given at least 21 days to consider whether to sign the Agreement and the Waiver and Release. The Company’s obligations under this Agreement are expressly conditioned on the execution of the Release of Claims contemporaneously with the execution of this Agreement, and Executive’s failure to execute and deliver such Release of Claims will void the Company’s obligations hereunder.</w:t>
      </w:r>
    </w:p>
    <w:p>
      <w:pPr>
        <w:spacing w:after="0" w:line="125" w:lineRule="exact"/>
        <w:rPr>
          <w:sz w:val="20"/>
          <w:szCs w:val="20"/>
          <w:color w:val="auto"/>
        </w:rPr>
      </w:pPr>
    </w:p>
    <w:p>
      <w:pPr>
        <w:ind w:right="40" w:firstLine="913"/>
        <w:spacing w:after="0" w:line="231"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and delivered the 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of July, 2005, but effective as of the day and year first above written.</w:t>
      </w:r>
    </w:p>
    <w:p>
      <w:pPr>
        <w:spacing w:after="0" w:line="1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  David Tournadre</w:t>
            </w:r>
          </w:p>
        </w:tc>
        <w:tc>
          <w:tcPr>
            <w:tcW w:w="0" w:type="dxa"/>
            <w:vAlign w:val="bottom"/>
          </w:tcPr>
          <w:p>
            <w:pPr>
              <w:spacing w:after="0"/>
              <w:rPr>
                <w:sz w:val="1"/>
                <w:szCs w:val="1"/>
                <w:color w:val="auto"/>
              </w:rPr>
            </w:pPr>
          </w:p>
        </w:tc>
      </w:tr>
      <w:tr>
        <w:trPr>
          <w:trHeight w:val="104"/>
        </w:trPr>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420" w:type="dxa"/>
            <w:vAlign w:val="bottom"/>
          </w:tcPr>
          <w:p>
            <w:pPr>
              <w:spacing w:after="0"/>
              <w:rPr>
                <w:sz w:val="24"/>
                <w:szCs w:val="24"/>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David Tournadre</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Vice President Personnel</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Frank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80" w:val="left"/>
        </w:tabs>
        <w:rPr>
          <w:sz w:val="20"/>
          <w:szCs w:val="20"/>
          <w:color w:val="auto"/>
        </w:rPr>
      </w:pPr>
      <w:r>
        <w:rPr>
          <w:rFonts w:ascii="Times New Roman" w:cs="Times New Roman" w:eastAsia="Times New Roman" w:hAnsi="Times New Roman"/>
          <w:sz w:val="18"/>
          <w:szCs w:val="18"/>
          <w:color w:val="auto"/>
        </w:rPr>
        <w:t>Name</w:t>
        <w:tab/>
        <w:t>Frank Sorgie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lvl w:ilvl="1">
      <w:lvlJc w:val="left"/>
      <w:lvlText w:val="(%2)"/>
      <w:numFmt w:val="lowerLetter"/>
      <w:start w:val="1"/>
    </w:lvl>
  </w:abstractNum>
  <w:abstractNum w:abstractNumId="2">
    <w:nsid w:val="5BD062C2"/>
    <w:multiLevelType w:val="hybridMultilevel"/>
    <w:lvl w:ilvl="0">
      <w:lvlJc w:val="left"/>
      <w:lvlText w:val="%1"/>
      <w:numFmt w:val="lowerRoman"/>
      <w:start w:val="1"/>
    </w:lvl>
    <w:lvl w:ilvl="1">
      <w:lvlJc w:val="left"/>
      <w:lvlText w:val="(%2)"/>
      <w:numFmt w:val="lowerLetter"/>
      <w:start w:val="4"/>
    </w:lvl>
  </w:abstractNum>
  <w:abstractNum w:abstractNumId="3">
    <w:nsid w:val="12200854"/>
    <w:multiLevelType w:val="hybridMultilevel"/>
    <w:lvl w:ilvl="0">
      <w:lvlJc w:val="left"/>
      <w:lvlText w:val="(%1)"/>
      <w:numFmt w:val="lowerRoman"/>
      <w:start w:val="1"/>
    </w:lvl>
    <w:lvl w:ilvl="1">
      <w:lvlJc w:val="left"/>
      <w:lvlText w:val="%2"/>
      <w:numFmt w:val="lowerLetter"/>
      <w:start w:val="1"/>
    </w:lvl>
  </w:abstractNum>
  <w:abstractNum w:abstractNumId="4">
    <w:nsid w:val="4DB127F8"/>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
    <w:nsid w:val="216231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6">
    <w:nsid w:val="1F16E9E8"/>
    <w:multiLevelType w:val="hybridMultilevel"/>
    <w:lvl w:ilvl="0">
      <w:lvlJc w:val="left"/>
      <w:lvlText w:val="%1"/>
      <w:numFmt w:val="lowerRoman"/>
      <w:start w:val="1"/>
    </w:lvl>
    <w:lvl w:ilvl="1">
      <w:lvlJc w:val="left"/>
      <w:lvlText w:val="(%2)"/>
      <w:numFmt w:val="lowerLetter"/>
      <w:start w:val="3"/>
    </w:lvl>
  </w:abstractNum>
  <w:abstractNum w:abstractNumId="7">
    <w:nsid w:val="1190CDE7"/>
    <w:multiLevelType w:val="hybridMultilevel"/>
    <w:lvl w:ilvl="0">
      <w:lvlJc w:val="left"/>
      <w:lvlText w:val="(%1)"/>
      <w:numFmt w:val="lowerRoman"/>
      <w:start w:val="1"/>
    </w:lvl>
    <w:lvl w:ilvl="1">
      <w:lvlJc w:val="left"/>
      <w:lvlText w:val="%2"/>
      <w:numFmt w:val="lowerLetter"/>
      <w:start w:val="1"/>
    </w:lvl>
  </w:abstractNum>
  <w:abstractNum w:abstractNumId="8">
    <w:nsid w:val="66EF438D"/>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9">
    <w:nsid w:val="140E0F76"/>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10">
    <w:nsid w:val="3352255A"/>
    <w:multiLevelType w:val="hybridMultilevel"/>
    <w:lvl w:ilvl="0">
      <w:lvlJc w:val="left"/>
      <w:lvlText w:val="%1"/>
      <w:numFmt w:val="decimal"/>
      <w:start w:val="1"/>
    </w:lvl>
    <w:lvl w:ilvl="1">
      <w:lvlJc w:val="left"/>
      <w:lvlText w:val="(%2)"/>
      <w:numFmt w:val="lowerLetter"/>
      <w:start w:val="2"/>
    </w:lvl>
  </w:abstractNum>
  <w:abstractNum w:abstractNumId="11">
    <w:nsid w:val="109CF92E"/>
    <w:multiLevelType w:val="hybridMultilevel"/>
    <w:lvl w:ilvl="0">
      <w:lvlJc w:val="left"/>
      <w:lvlText w:val="%1."/>
      <w:numFmt w:val="decimal"/>
      <w:start w:val="6"/>
    </w:lvl>
    <w:lvl w:ilvl="1">
      <w:lvlJc w:val="left"/>
      <w:lvlText w:val="%2"/>
      <w:numFmt w:val="lowerLetter"/>
      <w:start w:val="1"/>
    </w:lvl>
  </w:abstractNum>
  <w:abstractNum w:abstractNumId="12">
    <w:nsid w:val="DED7263"/>
    <w:multiLevelType w:val="hybridMultilevel"/>
    <w:lvl w:ilvl="0">
      <w:lvlJc w:val="left"/>
      <w:lvlText w:val="%1."/>
      <w:numFmt w:val="decimal"/>
      <w:start w:val="7"/>
    </w:lvl>
  </w:abstractNum>
  <w:abstractNum w:abstractNumId="13">
    <w:nsid w:val="7FDCC233"/>
    <w:multiLevelType w:val="hybridMultilevel"/>
    <w:lvl w:ilvl="0">
      <w:lvlJc w:val="left"/>
      <w:lvlText w:val="%1."/>
      <w:numFmt w:val="decimal"/>
      <w:start w:val="8"/>
    </w:lvl>
  </w:abstractNum>
  <w:abstractNum w:abstractNumId="14">
    <w:nsid w:val="1BEFD79F"/>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2019-12-11T19:01:58Z</dcterms:created>
  <dcterms:modified xsi:type="dcterms:W3CDTF">2019-12-11T19:01:58Z</dcterms:modified>
</cp:coreProperties>
</file>