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#806857108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2,687,533</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50,431,204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50,431,204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8.685%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50,431,204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50,431,204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8.685%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50,431,204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50,431,204</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8.685%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153 East 53 Street, 57th Floor</w:t>
      </w:r>
    </w:p>
    <w:p>
      <w:pPr>
        <w:ind w:left="17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New York, NY</w:t>
        <w:tab/>
        <w:t>10020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38"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806857108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50,431,204</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8.685%</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2,687,533</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50,431,204</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Schlumberger Limited. No one person's interest in the Common Stock of Schlumberger</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Limited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the Common Stock of Schlumberger Limited at December 31, 2002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47,503,431 shares or 8.181% of the Common Stock</w:t>
      </w:r>
    </w:p>
    <w:p>
      <w:pPr>
        <w:spacing w:after="0"/>
        <w:tabs>
          <w:tab w:leader="none" w:pos="3880" w:val="left"/>
        </w:tabs>
        <w:rPr>
          <w:sz w:val="20"/>
          <w:szCs w:val="20"/>
          <w:color w:val="auto"/>
        </w:rPr>
      </w:pPr>
      <w:r>
        <w:rPr>
          <w:rFonts w:ascii="Courier New" w:cs="Courier New" w:eastAsia="Courier New" w:hAnsi="Courier New"/>
          <w:sz w:val="18"/>
          <w:szCs w:val="18"/>
          <w:color w:val="auto"/>
        </w:rPr>
        <w:t>outstanding of Schlumberger Limited</w:t>
      </w:r>
      <w:r>
        <w:rPr>
          <w:sz w:val="20"/>
          <w:szCs w:val="20"/>
          <w:color w:val="auto"/>
        </w:rPr>
        <w:tab/>
      </w:r>
      <w:r>
        <w:rPr>
          <w:rFonts w:ascii="Courier New" w:cs="Courier New" w:eastAsia="Courier New" w:hAnsi="Courier New"/>
          <w:sz w:val="16"/>
          <w:szCs w:val="16"/>
          <w:color w:val="auto"/>
        </w:rPr>
        <w:t>("the Company") as a</w:t>
      </w:r>
    </w:p>
    <w:p>
      <w:pPr>
        <w:spacing w:after="0" w:line="237" w:lineRule="auto"/>
        <w:rPr>
          <w:sz w:val="20"/>
          <w:szCs w:val="20"/>
          <w:color w:val="auto"/>
        </w:rPr>
      </w:pPr>
      <w:r>
        <w:rPr>
          <w:rFonts w:ascii="Courier New" w:cs="Courier New" w:eastAsia="Courier New" w:hAnsi="Courier New"/>
          <w:sz w:val="18"/>
          <w:szCs w:val="18"/>
          <w:color w:val="auto"/>
        </w:rPr>
        <w:t>result of acting as investment adviser to various investment</w:t>
      </w:r>
    </w:p>
    <w:p>
      <w:pPr>
        <w:spacing w:after="0"/>
        <w:rPr>
          <w:sz w:val="20"/>
          <w:szCs w:val="20"/>
          <w:color w:val="auto"/>
        </w:rPr>
      </w:pPr>
      <w:r>
        <w:rPr>
          <w:rFonts w:ascii="Courier New" w:cs="Courier New" w:eastAsia="Courier New" w:hAnsi="Courier New"/>
          <w:sz w:val="18"/>
          <w:szCs w:val="18"/>
          <w:color w:val="auto"/>
        </w:rPr>
        <w:t>companies registered under Section 8 of the Investment</w:t>
      </w:r>
    </w:p>
    <w:p>
      <w:pPr>
        <w:spacing w:after="0" w:line="237" w:lineRule="auto"/>
        <w:rPr>
          <w:sz w:val="20"/>
          <w:szCs w:val="20"/>
          <w:color w:val="auto"/>
        </w:rPr>
      </w:pPr>
      <w:r>
        <w:rPr>
          <w:rFonts w:ascii="Courier New" w:cs="Courier New" w:eastAsia="Courier New" w:hAnsi="Courier New"/>
          <w:sz w:val="18"/>
          <w:szCs w:val="18"/>
          <w:color w:val="auto"/>
        </w:rPr>
        <w:t>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47,503,431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2,367,896 shares or 0.408%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2,367,896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2,127,656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240,240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779"/>
        <w:spacing w:after="0" w:line="272" w:lineRule="auto"/>
        <w:rPr>
          <w:sz w:val="20"/>
          <w:szCs w:val="20"/>
          <w:color w:val="auto"/>
        </w:rPr>
      </w:pPr>
      <w:r>
        <w:rPr>
          <w:rFonts w:ascii="Courier New" w:cs="Courier New" w:eastAsia="Courier New" w:hAnsi="Courier New"/>
          <w:sz w:val="16"/>
          <w:szCs w:val="16"/>
          <w:color w:val="auto"/>
        </w:rPr>
        <w:t>Corp. and an investment adviser registered under Section 203 of the Investment Advisers Act of 1940, provides investment advisory services to individuals. As such, FMR Corp.'s beneficial ownership includes 9,345 shares, or 0.002%, of the Common Stock stock outstanding of Schlumberger Limited, beneficially owned through Strategic Advisers, Inc.</w:t>
      </w:r>
    </w:p>
    <w:p>
      <w:pPr>
        <w:spacing w:after="0" w:line="18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Geode Capital Management, LLC, 53 State Street,</w:t>
      </w:r>
    </w:p>
    <w:p>
      <w:pPr>
        <w:spacing w:after="0" w:line="238" w:lineRule="auto"/>
        <w:rPr>
          <w:sz w:val="20"/>
          <w:szCs w:val="20"/>
          <w:color w:val="auto"/>
        </w:rPr>
      </w:pPr>
      <w:r>
        <w:rPr>
          <w:rFonts w:ascii="Courier New" w:cs="Courier New" w:eastAsia="Courier New" w:hAnsi="Courier New"/>
          <w:sz w:val="18"/>
          <w:szCs w:val="18"/>
          <w:color w:val="auto"/>
        </w:rPr>
        <w:t>Boston, Massachusetts 02109, a Delaware limited liability</w:t>
      </w:r>
    </w:p>
    <w:p>
      <w:pPr>
        <w:spacing w:after="0"/>
        <w:rPr>
          <w:sz w:val="20"/>
          <w:szCs w:val="20"/>
          <w:color w:val="auto"/>
        </w:rPr>
      </w:pPr>
      <w:r>
        <w:rPr>
          <w:rFonts w:ascii="Courier New" w:cs="Courier New" w:eastAsia="Courier New" w:hAnsi="Courier New"/>
          <w:sz w:val="18"/>
          <w:szCs w:val="18"/>
          <w:color w:val="auto"/>
        </w:rPr>
        <w:t>company ("Geode LLC"), is the beneficial owner of 18,772</w:t>
      </w:r>
    </w:p>
    <w:p>
      <w:pPr>
        <w:spacing w:after="0" w:line="237" w:lineRule="auto"/>
        <w:rPr>
          <w:sz w:val="20"/>
          <w:szCs w:val="20"/>
          <w:color w:val="auto"/>
        </w:rPr>
      </w:pPr>
      <w:r>
        <w:rPr>
          <w:rFonts w:ascii="Courier New" w:cs="Courier New" w:eastAsia="Courier New" w:hAnsi="Courier New"/>
          <w:sz w:val="18"/>
          <w:szCs w:val="18"/>
          <w:color w:val="auto"/>
        </w:rPr>
        <w:t>shares or 0.003% of the outstanding common stock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Geode LLC is wholly-owned by Fidelity</w:t>
      </w:r>
    </w:p>
    <w:p>
      <w:pPr>
        <w:spacing w:after="0"/>
        <w:rPr>
          <w:sz w:val="20"/>
          <w:szCs w:val="20"/>
          <w:color w:val="auto"/>
        </w:rPr>
      </w:pPr>
      <w:r>
        <w:rPr>
          <w:rFonts w:ascii="Courier New" w:cs="Courier New" w:eastAsia="Courier New" w:hAnsi="Courier New"/>
          <w:sz w:val="18"/>
          <w:szCs w:val="18"/>
          <w:color w:val="auto"/>
        </w:rPr>
        <w:t>Investors III Limited Partnership ("FILP III"), a Delaware</w:t>
      </w:r>
    </w:p>
    <w:p>
      <w:pPr>
        <w:spacing w:after="0"/>
        <w:tabs>
          <w:tab w:leader="none" w:pos="2300" w:val="left"/>
        </w:tabs>
        <w:rPr>
          <w:sz w:val="20"/>
          <w:szCs w:val="20"/>
          <w:color w:val="auto"/>
        </w:rPr>
      </w:pPr>
      <w:r>
        <w:rPr>
          <w:rFonts w:ascii="Courier New" w:cs="Courier New" w:eastAsia="Courier New" w:hAnsi="Courier New"/>
          <w:sz w:val="18"/>
          <w:szCs w:val="18"/>
          <w:color w:val="auto"/>
        </w:rPr>
        <w:t>limited partnership.</w:t>
      </w:r>
      <w:r>
        <w:rPr>
          <w:sz w:val="20"/>
          <w:szCs w:val="20"/>
          <w:color w:val="auto"/>
        </w:rPr>
        <w:tab/>
      </w:r>
      <w:r>
        <w:rPr>
          <w:rFonts w:ascii="Courier New" w:cs="Courier New" w:eastAsia="Courier New" w:hAnsi="Courier New"/>
          <w:sz w:val="16"/>
          <w:szCs w:val="16"/>
          <w:color w:val="auto"/>
        </w:rPr>
        <w:t>Geode LLC is an investment adviser</w:t>
      </w:r>
    </w:p>
    <w:p>
      <w:pPr>
        <w:spacing w:after="0"/>
        <w:rPr>
          <w:sz w:val="20"/>
          <w:szCs w:val="20"/>
          <w:color w:val="auto"/>
        </w:rPr>
      </w:pPr>
      <w:r>
        <w:rPr>
          <w:rFonts w:ascii="Courier New" w:cs="Courier New" w:eastAsia="Courier New" w:hAnsi="Courier New"/>
          <w:sz w:val="18"/>
          <w:szCs w:val="18"/>
          <w:color w:val="auto"/>
        </w:rPr>
        <w:t>registered under Section 203 of the Investment Advisers Act</w:t>
      </w:r>
    </w:p>
    <w:p>
      <w:pPr>
        <w:spacing w:after="0" w:line="237" w:lineRule="auto"/>
        <w:rPr>
          <w:sz w:val="20"/>
          <w:szCs w:val="20"/>
          <w:color w:val="auto"/>
        </w:rPr>
      </w:pPr>
      <w:r>
        <w:rPr>
          <w:rFonts w:ascii="Courier New" w:cs="Courier New" w:eastAsia="Courier New" w:hAnsi="Courier New"/>
          <w:sz w:val="18"/>
          <w:szCs w:val="18"/>
          <w:color w:val="auto"/>
        </w:rPr>
        <w:t>of 1940. Fidelity Investors Management, LLC ("FIML"), a</w:t>
      </w:r>
    </w:p>
    <w:p>
      <w:pPr>
        <w:spacing w:after="0"/>
        <w:rPr>
          <w:sz w:val="20"/>
          <w:szCs w:val="20"/>
          <w:color w:val="auto"/>
        </w:rPr>
      </w:pPr>
      <w:r>
        <w:rPr>
          <w:rFonts w:ascii="Courier New" w:cs="Courier New" w:eastAsia="Courier New" w:hAnsi="Courier New"/>
          <w:sz w:val="18"/>
          <w:szCs w:val="18"/>
          <w:color w:val="auto"/>
        </w:rPr>
        <w:t>Delaware limited liability company, is the general partner</w:t>
      </w:r>
    </w:p>
    <w:p>
      <w:pPr>
        <w:spacing w:after="0" w:line="237" w:lineRule="auto"/>
        <w:rPr>
          <w:sz w:val="20"/>
          <w:szCs w:val="20"/>
          <w:color w:val="auto"/>
        </w:rPr>
      </w:pPr>
      <w:r>
        <w:rPr>
          <w:rFonts w:ascii="Courier New" w:cs="Courier New" w:eastAsia="Courier New" w:hAnsi="Courier New"/>
          <w:sz w:val="18"/>
          <w:szCs w:val="18"/>
          <w:color w:val="auto"/>
        </w:rPr>
        <w:t>and investment manager of FILP III, and is an investment</w:t>
      </w:r>
    </w:p>
    <w:p>
      <w:pPr>
        <w:spacing w:after="0" w:line="238" w:lineRule="auto"/>
        <w:rPr>
          <w:sz w:val="20"/>
          <w:szCs w:val="20"/>
          <w:color w:val="auto"/>
        </w:rPr>
      </w:pPr>
      <w:r>
        <w:rPr>
          <w:rFonts w:ascii="Courier New" w:cs="Courier New" w:eastAsia="Courier New" w:hAnsi="Courier New"/>
          <w:sz w:val="18"/>
          <w:szCs w:val="18"/>
          <w:color w:val="auto"/>
        </w:rPr>
        <w:t>manager registered under Section 203 of the Investment</w:t>
      </w:r>
    </w:p>
    <w:p>
      <w:pPr>
        <w:spacing w:after="0"/>
        <w:rPr>
          <w:sz w:val="20"/>
          <w:szCs w:val="20"/>
          <w:color w:val="auto"/>
        </w:rPr>
      </w:pPr>
      <w:r>
        <w:rPr>
          <w:rFonts w:ascii="Courier New" w:cs="Courier New" w:eastAsia="Courier New" w:hAnsi="Courier New"/>
          <w:sz w:val="18"/>
          <w:szCs w:val="18"/>
          <w:color w:val="auto"/>
        </w:rPr>
        <w:t>Advisers Act of 1940. The managers of Geode LLC, the</w:t>
      </w:r>
    </w:p>
    <w:p>
      <w:pPr>
        <w:spacing w:after="0" w:line="237" w:lineRule="auto"/>
        <w:rPr>
          <w:sz w:val="20"/>
          <w:szCs w:val="20"/>
          <w:color w:val="auto"/>
        </w:rPr>
      </w:pPr>
      <w:r>
        <w:rPr>
          <w:rFonts w:ascii="Courier New" w:cs="Courier New" w:eastAsia="Courier New" w:hAnsi="Courier New"/>
          <w:sz w:val="18"/>
          <w:szCs w:val="18"/>
          <w:color w:val="auto"/>
        </w:rPr>
        <w:t>members of FIML and the limited partners of FILP III are</w:t>
      </w:r>
    </w:p>
    <w:p>
      <w:pPr>
        <w:spacing w:after="0"/>
        <w:rPr>
          <w:sz w:val="20"/>
          <w:szCs w:val="20"/>
          <w:color w:val="auto"/>
        </w:rPr>
      </w:pPr>
      <w:r>
        <w:rPr>
          <w:rFonts w:ascii="Courier New" w:cs="Courier New" w:eastAsia="Courier New" w:hAnsi="Courier New"/>
          <w:sz w:val="18"/>
          <w:szCs w:val="18"/>
          <w:color w:val="auto"/>
        </w:rPr>
        <w:t>certain shareholders and employees of FMR Corp.</w:t>
      </w:r>
    </w:p>
    <w:p>
      <w:pPr>
        <w:spacing w:after="0" w:line="206" w:lineRule="exact"/>
        <w:rPr>
          <w:sz w:val="20"/>
          <w:szCs w:val="20"/>
          <w:color w:val="auto"/>
        </w:rPr>
      </w:pPr>
    </w:p>
    <w:p>
      <w:pPr>
        <w:ind w:right="4099" w:firstLine="843"/>
        <w:spacing w:after="0" w:line="290" w:lineRule="auto"/>
        <w:rPr>
          <w:sz w:val="20"/>
          <w:szCs w:val="20"/>
          <w:color w:val="auto"/>
        </w:rPr>
      </w:pPr>
      <w:r>
        <w:rPr>
          <w:rFonts w:ascii="Courier New" w:cs="Courier New" w:eastAsia="Courier New" w:hAnsi="Courier New"/>
          <w:sz w:val="16"/>
          <w:szCs w:val="16"/>
          <w:color w:val="auto"/>
        </w:rPr>
        <w:t>Members of the Edward C. Johnson 3d family are the predominant owners of Class B shares of common stock of</w:t>
      </w:r>
    </w:p>
    <w:p>
      <w:pPr>
        <w:sectPr>
          <w:pgSz w:w="11900" w:h="16838" w:orient="portrait"/>
          <w:cols w:equalWidth="0" w:num="1">
            <w:col w:w="10219"/>
          </w:cols>
          <w:pgMar w:left="240" w:top="136" w:right="1440" w:bottom="0" w:gutter="0" w:footer="0" w:header="0"/>
        </w:sectPr>
      </w:pPr>
    </w:p>
    <w:bookmarkStart w:id="3" w:name="page4"/>
    <w:bookmarkEnd w:id="3"/>
    <w:p>
      <w:pPr>
        <w:ind w:right="4199"/>
        <w:spacing w:after="0" w:line="238" w:lineRule="auto"/>
        <w:rPr>
          <w:sz w:val="20"/>
          <w:szCs w:val="20"/>
          <w:color w:val="auto"/>
        </w:rPr>
      </w:pPr>
      <w:r>
        <w:rPr>
          <w:rFonts w:ascii="Courier New" w:cs="Courier New" w:eastAsia="Courier New" w:hAnsi="Courier New"/>
          <w:sz w:val="18"/>
          <w:szCs w:val="18"/>
          <w:color w:val="auto"/>
        </w:rPr>
        <w:t>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531,760 shares or 0.092%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531,760 shares or 0.092% of the Common Stock outstanding of Schlumberger Limited.</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79" w:lineRule="auto"/>
        <w:rPr>
          <w:sz w:val="20"/>
          <w:szCs w:val="20"/>
          <w:color w:val="auto"/>
        </w:rPr>
      </w:pPr>
      <w:r>
        <w:rPr>
          <w:rFonts w:ascii="Courier New" w:cs="Courier New" w:eastAsia="Courier New" w:hAnsi="Courier New"/>
          <w:sz w:val="16"/>
          <w:szCs w:val="16"/>
          <w:color w:val="auto"/>
        </w:rPr>
        <w:t>FIL may continue to have the International Funds or other accounts purchase shares subject to a number of factors, including, among others, the availability of shares for sale at</w:t>
      </w:r>
    </w:p>
    <w:p>
      <w:pPr>
        <w:sectPr>
          <w:pgSz w:w="11900" w:h="16838" w:orient="portrait"/>
          <w:cols w:equalWidth="0" w:num="1">
            <w:col w:w="10219"/>
          </w:cols>
          <w:pgMar w:left="240" w:top="142" w:right="1440" w:bottom="0" w:gutter="0" w:footer="0" w:header="0"/>
        </w:sectPr>
      </w:pPr>
    </w:p>
    <w:bookmarkStart w:id="4" w:name="page5"/>
    <w:bookmarkEnd w:id="4"/>
    <w:p>
      <w:pPr>
        <w:ind w:right="4619"/>
        <w:spacing w:after="0" w:line="236" w:lineRule="auto"/>
        <w:rPr>
          <w:sz w:val="20"/>
          <w:szCs w:val="20"/>
          <w:color w:val="auto"/>
        </w:rPr>
      </w:pPr>
      <w:r>
        <w:rPr>
          <w:rFonts w:ascii="Courier New" w:cs="Courier New" w:eastAsia="Courier New" w:hAnsi="Courier New"/>
          <w:sz w:val="18"/>
          <w:szCs w:val="18"/>
          <w:color w:val="auto"/>
        </w:rPr>
        <w:t>what FIL considers to be reasonable prices and other investment opportunities that may be available to the International Funds.</w:t>
      </w:r>
    </w:p>
    <w:p>
      <w:pPr>
        <w:spacing w:after="0" w:line="209"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531,760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rPr>
          <w:sz w:val="20"/>
          <w:szCs w:val="20"/>
          <w:color w:val="auto"/>
        </w:rPr>
      </w:pPr>
      <w:r>
        <w:rPr>
          <w:rFonts w:ascii="Courier New" w:cs="Courier New" w:eastAsia="Courier New" w:hAnsi="Courier New"/>
          <w:sz w:val="18"/>
          <w:szCs w:val="18"/>
          <w:color w:val="auto"/>
        </w:rPr>
        <w:t>The undersigned persons, on February 14, 2003, agree and consent to the joint filing on their behalf of this Schedule 13G in connection with their beneficial ownership of the Common Stock of Schlumberger Limited at December 31, 2002.</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42"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2019-12-13T06:37:51Z</dcterms:created>
  <dcterms:modified xsi:type="dcterms:W3CDTF">2019-12-13T06:37:51Z</dcterms:modified>
</cp:coreProperties>
</file>