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23 October 2024</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September 30, 2024, which was filed with the U.S. Securities and Exchange Commission on October 23, 2024. Such disclosure appears on page 23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2024-10-23T12:54:14Z</dcterms:created>
  <dcterms:modified xsi:type="dcterms:W3CDTF">2024-10-23T12:54:14Z</dcterms:modified>
</cp:coreProperties>
</file>