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204470</wp:posOffset>
            </wp:positionH>
            <wp:positionV relativeFrom="page">
              <wp:posOffset>387350</wp:posOffset>
            </wp:positionV>
            <wp:extent cx="7140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451485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50" w:lineRule="exact"/>
        <w:rPr>
          <w:sz w:val="24"/>
          <w:szCs w:val="24"/>
          <w:color w:val="auto"/>
        </w:rPr>
      </w:pPr>
    </w:p>
    <w:p>
      <w:pPr>
        <w:jc w:val="center"/>
        <w:ind w:right="60"/>
        <w:spacing w:after="0"/>
        <w:rPr>
          <w:sz w:val="20"/>
          <w:szCs w:val="20"/>
          <w:color w:val="auto"/>
        </w:rPr>
      </w:pPr>
      <w:r>
        <w:rPr>
          <w:rFonts w:ascii="Arial" w:cs="Arial" w:eastAsia="Arial" w:hAnsi="Arial"/>
          <w:sz w:val="21"/>
          <w:szCs w:val="21"/>
          <w:b w:val="1"/>
          <w:bCs w:val="1"/>
          <w:color w:val="auto"/>
        </w:rPr>
        <w:t>SECURITIES AND EXCHANGE COMMISSION</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Washington, D.C. 20549</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-146050</wp:posOffset>
            </wp:positionV>
            <wp:extent cx="1434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4465" cy="8255"/>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54610</wp:posOffset>
            </wp:positionV>
            <wp:extent cx="1434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p>
    <w:p>
      <w:pPr>
        <w:ind w:left="500" w:hanging="49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2025</w:t>
      </w:r>
    </w:p>
    <w:p>
      <w:pPr>
        <w:jc w:val="center"/>
        <w:ind w:right="40"/>
        <w:spacing w:after="0" w:line="227" w:lineRule="auto"/>
        <w:rPr>
          <w:sz w:val="20"/>
          <w:szCs w:val="20"/>
          <w:color w:val="auto"/>
        </w:rPr>
      </w:pPr>
      <w:r>
        <w:rPr>
          <w:rFonts w:ascii="Arial" w:cs="Arial" w:eastAsia="Arial" w:hAnsi="Arial"/>
          <w:sz w:val="14"/>
          <w:szCs w:val="14"/>
          <w:b w:val="1"/>
          <w:bCs w:val="1"/>
          <w:color w:val="auto"/>
        </w:rPr>
        <w:t>OR</w:t>
      </w:r>
    </w:p>
    <w:p>
      <w:pPr>
        <w:ind w:left="500" w:hanging="498"/>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8" w:lineRule="exact"/>
        <w:rPr>
          <w:sz w:val="24"/>
          <w:szCs w:val="24"/>
          <w:color w:val="auto"/>
        </w:rPr>
      </w:pPr>
    </w:p>
    <w:p>
      <w:pPr>
        <w:ind w:left="3900"/>
        <w:spacing w:after="0"/>
        <w:rPr>
          <w:sz w:val="20"/>
          <w:szCs w:val="20"/>
          <w:color w:val="auto"/>
        </w:rPr>
      </w:pPr>
      <w:r>
        <w:rPr>
          <w:rFonts w:ascii="Arial" w:cs="Arial" w:eastAsia="Arial" w:hAnsi="Arial"/>
          <w:sz w:val="13"/>
          <w:szCs w:val="13"/>
          <w:b w:val="1"/>
          <w:bCs w:val="1"/>
          <w:color w:val="auto"/>
        </w:rPr>
        <w:t xml:space="preserve">For the transition period from </w:t>
      </w:r>
      <w:r>
        <w:rPr>
          <w:rFonts w:ascii="Arial" w:cs="Arial" w:eastAsia="Arial" w:hAnsi="Arial"/>
          <w:sz w:val="13"/>
          <w:szCs w:val="13"/>
          <w:b w:val="1"/>
          <w:bCs w:val="1"/>
          <w:u w:val="single" w:color="auto"/>
          <w:color w:val="auto"/>
        </w:rPr>
        <w:t>__________</w:t>
      </w:r>
      <w:r>
        <w:rPr>
          <w:rFonts w:ascii="Arial" w:cs="Arial" w:eastAsia="Arial" w:hAnsi="Arial"/>
          <w:sz w:val="13"/>
          <w:szCs w:val="13"/>
          <w:b w:val="1"/>
          <w:bCs w:val="1"/>
          <w:color w:val="auto"/>
        </w:rPr>
        <w:t xml:space="preserve"> to </w:t>
      </w:r>
      <w:r>
        <w:rPr>
          <w:rFonts w:ascii="Arial" w:cs="Arial" w:eastAsia="Arial" w:hAnsi="Arial"/>
          <w:sz w:val="13"/>
          <w:szCs w:val="13"/>
          <w:b w:val="1"/>
          <w:bCs w:val="1"/>
          <w:u w:val="single" w:color="auto"/>
          <w:color w:val="auto"/>
        </w:rPr>
        <w:t>__________</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36830</wp:posOffset>
            </wp:positionV>
            <wp:extent cx="1434465" cy="838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4465" cy="838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tbl>
      <w:tblPr>
        <w:tblLayout w:type="fixed"/>
        <w:tblInd w:w="1240" w:type="dxa"/>
        <w:tblCellMar>
          <w:top w:w="0" w:type="dxa"/>
          <w:left w:w="0" w:type="dxa"/>
          <w:bottom w:w="0" w:type="dxa"/>
          <w:right w:w="0" w:type="dxa"/>
        </w:tblCellMar>
      </w:tblPr>
      <w:tr>
        <w:trPr>
          <w:trHeight w:val="292"/>
        </w:trPr>
        <w:tc>
          <w:tcPr>
            <w:tcW w:w="6100" w:type="dxa"/>
            <w:vAlign w:val="bottom"/>
            <w:gridSpan w:val="3"/>
          </w:tcPr>
          <w:p>
            <w:pPr>
              <w:ind w:left="3080"/>
              <w:spacing w:after="0"/>
              <w:rPr>
                <w:sz w:val="20"/>
                <w:szCs w:val="20"/>
                <w:color w:val="auto"/>
              </w:rPr>
            </w:pPr>
            <w:r>
              <w:rPr>
                <w:rFonts w:ascii="Arial" w:cs="Arial" w:eastAsia="Arial" w:hAnsi="Arial"/>
                <w:sz w:val="23"/>
                <w:szCs w:val="23"/>
                <w:b w:val="1"/>
                <w:bCs w:val="1"/>
                <w:color w:val="auto"/>
              </w:rPr>
              <w:t>SLB N.V. (SLB Limited)</w:t>
            </w:r>
          </w:p>
        </w:tc>
        <w:tc>
          <w:tcPr>
            <w:tcW w:w="2020" w:type="dxa"/>
            <w:vAlign w:val="bottom"/>
          </w:tcPr>
          <w:p>
            <w:pPr>
              <w:spacing w:after="0"/>
              <w:rPr>
                <w:sz w:val="24"/>
                <w:szCs w:val="24"/>
                <w:color w:val="auto"/>
              </w:rPr>
            </w:pPr>
          </w:p>
        </w:tc>
      </w:tr>
      <w:tr>
        <w:trPr>
          <w:trHeight w:val="167"/>
        </w:trPr>
        <w:tc>
          <w:tcPr>
            <w:tcW w:w="6100" w:type="dxa"/>
            <w:vAlign w:val="bottom"/>
            <w:gridSpan w:val="3"/>
          </w:tcPr>
          <w:p>
            <w:pPr>
              <w:ind w:left="2920"/>
              <w:spacing w:after="0"/>
              <w:rPr>
                <w:sz w:val="20"/>
                <w:szCs w:val="20"/>
                <w:color w:val="auto"/>
              </w:rPr>
            </w:pPr>
            <w:r>
              <w:rPr>
                <w:rFonts w:ascii="Arial" w:cs="Arial" w:eastAsia="Arial" w:hAnsi="Arial"/>
                <w:sz w:val="13"/>
                <w:szCs w:val="13"/>
                <w:color w:val="auto"/>
              </w:rPr>
              <w:t>(Exact name of registrant as specified in its charter)</w:t>
            </w:r>
          </w:p>
        </w:tc>
        <w:tc>
          <w:tcPr>
            <w:tcW w:w="2020" w:type="dxa"/>
            <w:vAlign w:val="bottom"/>
          </w:tcPr>
          <w:p>
            <w:pPr>
              <w:spacing w:after="0"/>
              <w:rPr>
                <w:sz w:val="14"/>
                <w:szCs w:val="14"/>
                <w:color w:val="auto"/>
              </w:rPr>
            </w:pPr>
          </w:p>
        </w:tc>
      </w:tr>
      <w:tr>
        <w:trPr>
          <w:trHeight w:val="49"/>
        </w:trPr>
        <w:tc>
          <w:tcPr>
            <w:tcW w:w="326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167"/>
        </w:trPr>
        <w:tc>
          <w:tcPr>
            <w:tcW w:w="6100" w:type="dxa"/>
            <w:vAlign w:val="bottom"/>
            <w:gridSpan w:val="3"/>
          </w:tcPr>
          <w:p>
            <w:pPr>
              <w:jc w:val="center"/>
              <w:ind w:right="3040"/>
              <w:spacing w:after="0"/>
              <w:rPr>
                <w:sz w:val="20"/>
                <w:szCs w:val="20"/>
                <w:color w:val="auto"/>
              </w:rPr>
            </w:pPr>
            <w:r>
              <w:rPr>
                <w:rFonts w:ascii="Arial" w:cs="Arial" w:eastAsia="Arial" w:hAnsi="Arial"/>
                <w:sz w:val="14"/>
                <w:szCs w:val="14"/>
                <w:b w:val="1"/>
                <w:bCs w:val="1"/>
                <w:color w:val="auto"/>
                <w:w w:val="96"/>
              </w:rPr>
              <w:t>Curaçao</w:t>
            </w:r>
          </w:p>
        </w:tc>
        <w:tc>
          <w:tcPr>
            <w:tcW w:w="2020" w:type="dxa"/>
            <w:vAlign w:val="bottom"/>
          </w:tcPr>
          <w:p>
            <w:pPr>
              <w:jc w:val="center"/>
              <w:ind w:left="235"/>
              <w:spacing w:after="0"/>
              <w:rPr>
                <w:sz w:val="20"/>
                <w:szCs w:val="20"/>
                <w:color w:val="auto"/>
              </w:rPr>
            </w:pPr>
            <w:r>
              <w:rPr>
                <w:rFonts w:ascii="Arial" w:cs="Arial" w:eastAsia="Arial" w:hAnsi="Arial"/>
                <w:sz w:val="14"/>
                <w:szCs w:val="14"/>
                <w:b w:val="1"/>
                <w:bCs w:val="1"/>
                <w:color w:val="auto"/>
                <w:w w:val="96"/>
              </w:rPr>
              <w:t>52-0684746</w:t>
            </w:r>
          </w:p>
        </w:tc>
      </w:tr>
      <w:tr>
        <w:trPr>
          <w:trHeight w:val="155"/>
        </w:trPr>
        <w:tc>
          <w:tcPr>
            <w:tcW w:w="6100" w:type="dxa"/>
            <w:vAlign w:val="bottom"/>
            <w:gridSpan w:val="3"/>
          </w:tcPr>
          <w:p>
            <w:pPr>
              <w:jc w:val="center"/>
              <w:ind w:right="3060"/>
              <w:spacing w:after="0"/>
              <w:rPr>
                <w:sz w:val="20"/>
                <w:szCs w:val="20"/>
                <w:color w:val="auto"/>
              </w:rPr>
            </w:pPr>
            <w:r>
              <w:rPr>
                <w:rFonts w:ascii="Arial" w:cs="Arial" w:eastAsia="Arial" w:hAnsi="Arial"/>
                <w:sz w:val="12"/>
                <w:szCs w:val="12"/>
                <w:color w:val="auto"/>
                <w:w w:val="98"/>
              </w:rPr>
              <w:t>(State or other jurisdiction of incorporation or organization)</w:t>
            </w:r>
          </w:p>
        </w:tc>
        <w:tc>
          <w:tcPr>
            <w:tcW w:w="2020" w:type="dxa"/>
            <w:vAlign w:val="bottom"/>
          </w:tcPr>
          <w:p>
            <w:pPr>
              <w:jc w:val="center"/>
              <w:ind w:left="235"/>
              <w:spacing w:after="0"/>
              <w:rPr>
                <w:sz w:val="20"/>
                <w:szCs w:val="20"/>
                <w:color w:val="auto"/>
              </w:rPr>
            </w:pPr>
            <w:r>
              <w:rPr>
                <w:rFonts w:ascii="Arial" w:cs="Arial" w:eastAsia="Arial" w:hAnsi="Arial"/>
                <w:sz w:val="12"/>
                <w:szCs w:val="12"/>
                <w:color w:val="auto"/>
                <w:w w:val="98"/>
              </w:rPr>
              <w:t>(IRS Employer Identification No.)</w:t>
            </w:r>
          </w:p>
        </w:tc>
      </w:tr>
      <w:tr>
        <w:trPr>
          <w:trHeight w:val="168"/>
        </w:trPr>
        <w:tc>
          <w:tcPr>
            <w:tcW w:w="6100" w:type="dxa"/>
            <w:vAlign w:val="bottom"/>
            <w:gridSpan w:val="3"/>
          </w:tcPr>
          <w:p>
            <w:pPr>
              <w:jc w:val="center"/>
              <w:ind w:right="3060"/>
              <w:spacing w:after="0"/>
              <w:rPr>
                <w:sz w:val="20"/>
                <w:szCs w:val="20"/>
                <w:color w:val="auto"/>
              </w:rPr>
            </w:pPr>
            <w:r>
              <w:rPr>
                <w:rFonts w:ascii="Arial" w:cs="Arial" w:eastAsia="Arial" w:hAnsi="Arial"/>
                <w:sz w:val="14"/>
                <w:szCs w:val="14"/>
                <w:b w:val="1"/>
                <w:bCs w:val="1"/>
                <w:color w:val="auto"/>
                <w:w w:val="97"/>
              </w:rPr>
              <w:t>42 rue Saint-Dominique</w:t>
            </w:r>
          </w:p>
        </w:tc>
        <w:tc>
          <w:tcPr>
            <w:tcW w:w="2020" w:type="dxa"/>
            <w:vAlign w:val="bottom"/>
          </w:tcPr>
          <w:p>
            <w:pPr>
              <w:spacing w:after="0"/>
              <w:rPr>
                <w:sz w:val="14"/>
                <w:szCs w:val="14"/>
                <w:color w:val="auto"/>
              </w:rPr>
            </w:pPr>
          </w:p>
        </w:tc>
      </w:tr>
      <w:tr>
        <w:trPr>
          <w:trHeight w:val="173"/>
        </w:trPr>
        <w:tc>
          <w:tcPr>
            <w:tcW w:w="6100" w:type="dxa"/>
            <w:vAlign w:val="bottom"/>
            <w:gridSpan w:val="3"/>
          </w:tcPr>
          <w:p>
            <w:pPr>
              <w:jc w:val="center"/>
              <w:ind w:right="3060"/>
              <w:spacing w:after="0"/>
              <w:rPr>
                <w:sz w:val="20"/>
                <w:szCs w:val="20"/>
                <w:color w:val="auto"/>
              </w:rPr>
            </w:pPr>
            <w:r>
              <w:rPr>
                <w:rFonts w:ascii="Arial" w:cs="Arial" w:eastAsia="Arial" w:hAnsi="Arial"/>
                <w:sz w:val="14"/>
                <w:szCs w:val="14"/>
                <w:b w:val="1"/>
                <w:bCs w:val="1"/>
                <w:color w:val="auto"/>
                <w:w w:val="95"/>
              </w:rPr>
              <w:t>Paris, France</w:t>
            </w:r>
          </w:p>
        </w:tc>
        <w:tc>
          <w:tcPr>
            <w:tcW w:w="2020" w:type="dxa"/>
            <w:vAlign w:val="bottom"/>
          </w:tcPr>
          <w:p>
            <w:pPr>
              <w:jc w:val="center"/>
              <w:ind w:left="215"/>
              <w:spacing w:after="0"/>
              <w:rPr>
                <w:sz w:val="20"/>
                <w:szCs w:val="20"/>
                <w:color w:val="auto"/>
              </w:rPr>
            </w:pPr>
            <w:r>
              <w:rPr>
                <w:rFonts w:ascii="Arial" w:cs="Arial" w:eastAsia="Arial" w:hAnsi="Arial"/>
                <w:sz w:val="14"/>
                <w:szCs w:val="14"/>
                <w:b w:val="1"/>
                <w:bCs w:val="1"/>
                <w:color w:val="auto"/>
                <w:w w:val="97"/>
              </w:rPr>
              <w:t>75007</w:t>
            </w:r>
          </w:p>
        </w:tc>
      </w:tr>
      <w:tr>
        <w:trPr>
          <w:trHeight w:val="169"/>
        </w:trPr>
        <w:tc>
          <w:tcPr>
            <w:tcW w:w="6100" w:type="dxa"/>
            <w:vAlign w:val="bottom"/>
            <w:gridSpan w:val="3"/>
          </w:tcPr>
          <w:p>
            <w:pPr>
              <w:jc w:val="center"/>
              <w:ind w:right="3040"/>
              <w:spacing w:after="0" w:line="170" w:lineRule="exact"/>
              <w:rPr>
                <w:sz w:val="20"/>
                <w:szCs w:val="20"/>
                <w:color w:val="auto"/>
              </w:rPr>
            </w:pPr>
            <w:r>
              <w:rPr>
                <w:rFonts w:ascii="Arial" w:cs="Arial" w:eastAsia="Arial" w:hAnsi="Arial"/>
                <w:sz w:val="14"/>
                <w:szCs w:val="14"/>
                <w:b w:val="1"/>
                <w:bCs w:val="1"/>
                <w:color w:val="auto"/>
                <w:w w:val="95"/>
              </w:rPr>
              <w:t>5599 San Felipe, 17</w:t>
            </w:r>
            <w:r>
              <w:rPr>
                <w:rFonts w:ascii="Arial" w:cs="Arial" w:eastAsia="Arial" w:hAnsi="Arial"/>
                <w:sz w:val="18"/>
                <w:szCs w:val="18"/>
                <w:b w:val="1"/>
                <w:bCs w:val="1"/>
                <w:color w:val="auto"/>
                <w:w w:val="95"/>
                <w:vertAlign w:val="superscript"/>
              </w:rPr>
              <w:t>th</w:t>
            </w:r>
            <w:r>
              <w:rPr>
                <w:rFonts w:ascii="Arial" w:cs="Arial" w:eastAsia="Arial" w:hAnsi="Arial"/>
                <w:sz w:val="14"/>
                <w:szCs w:val="14"/>
                <w:b w:val="1"/>
                <w:bCs w:val="1"/>
                <w:color w:val="auto"/>
                <w:w w:val="95"/>
              </w:rPr>
              <w:t xml:space="preserve"> Floor</w:t>
            </w:r>
          </w:p>
        </w:tc>
        <w:tc>
          <w:tcPr>
            <w:tcW w:w="2020" w:type="dxa"/>
            <w:vAlign w:val="bottom"/>
          </w:tcPr>
          <w:p>
            <w:pPr>
              <w:spacing w:after="0"/>
              <w:rPr>
                <w:sz w:val="14"/>
                <w:szCs w:val="14"/>
                <w:color w:val="auto"/>
              </w:rPr>
            </w:pPr>
          </w:p>
        </w:tc>
      </w:tr>
      <w:tr>
        <w:trPr>
          <w:trHeight w:val="186"/>
        </w:trPr>
        <w:tc>
          <w:tcPr>
            <w:tcW w:w="6100" w:type="dxa"/>
            <w:vAlign w:val="bottom"/>
            <w:gridSpan w:val="3"/>
          </w:tcPr>
          <w:p>
            <w:pPr>
              <w:jc w:val="center"/>
              <w:ind w:right="3060"/>
              <w:spacing w:after="0"/>
              <w:rPr>
                <w:sz w:val="20"/>
                <w:szCs w:val="20"/>
                <w:color w:val="auto"/>
              </w:rPr>
            </w:pPr>
            <w:r>
              <w:rPr>
                <w:rFonts w:ascii="Arial" w:cs="Arial" w:eastAsia="Arial" w:hAnsi="Arial"/>
                <w:sz w:val="14"/>
                <w:szCs w:val="14"/>
                <w:b w:val="1"/>
                <w:bCs w:val="1"/>
                <w:color w:val="auto"/>
                <w:w w:val="96"/>
              </w:rPr>
              <w:t>Houston, Texas, United States of America</w:t>
            </w:r>
          </w:p>
        </w:tc>
        <w:tc>
          <w:tcPr>
            <w:tcW w:w="2020" w:type="dxa"/>
            <w:vAlign w:val="bottom"/>
          </w:tcPr>
          <w:p>
            <w:pPr>
              <w:jc w:val="center"/>
              <w:ind w:left="215"/>
              <w:spacing w:after="0"/>
              <w:rPr>
                <w:sz w:val="20"/>
                <w:szCs w:val="20"/>
                <w:color w:val="auto"/>
              </w:rPr>
            </w:pPr>
            <w:r>
              <w:rPr>
                <w:rFonts w:ascii="Arial" w:cs="Arial" w:eastAsia="Arial" w:hAnsi="Arial"/>
                <w:sz w:val="14"/>
                <w:szCs w:val="14"/>
                <w:b w:val="1"/>
                <w:bCs w:val="1"/>
                <w:color w:val="auto"/>
                <w:w w:val="97"/>
              </w:rPr>
              <w:t>77056</w:t>
            </w:r>
          </w:p>
        </w:tc>
      </w:tr>
      <w:tr>
        <w:trPr>
          <w:trHeight w:val="156"/>
        </w:trPr>
        <w:tc>
          <w:tcPr>
            <w:tcW w:w="6100" w:type="dxa"/>
            <w:vAlign w:val="bottom"/>
            <w:gridSpan w:val="3"/>
          </w:tcPr>
          <w:p>
            <w:pPr>
              <w:jc w:val="center"/>
              <w:ind w:right="3060"/>
              <w:spacing w:after="0" w:line="156" w:lineRule="exact"/>
              <w:rPr>
                <w:sz w:val="20"/>
                <w:szCs w:val="20"/>
                <w:color w:val="auto"/>
              </w:rPr>
            </w:pPr>
            <w:r>
              <w:rPr>
                <w:rFonts w:ascii="Arial" w:cs="Arial" w:eastAsia="Arial" w:hAnsi="Arial"/>
                <w:sz w:val="14"/>
                <w:szCs w:val="14"/>
                <w:b w:val="1"/>
                <w:bCs w:val="1"/>
                <w:color w:val="auto"/>
                <w:w w:val="95"/>
              </w:rPr>
              <w:t>Parkstraat 83</w:t>
            </w:r>
          </w:p>
        </w:tc>
        <w:tc>
          <w:tcPr>
            <w:tcW w:w="2020" w:type="dxa"/>
            <w:vAlign w:val="bottom"/>
          </w:tcPr>
          <w:p>
            <w:pPr>
              <w:spacing w:after="0"/>
              <w:rPr>
                <w:sz w:val="13"/>
                <w:szCs w:val="13"/>
                <w:color w:val="auto"/>
              </w:rPr>
            </w:pPr>
          </w:p>
        </w:tc>
      </w:tr>
      <w:tr>
        <w:trPr>
          <w:trHeight w:val="146"/>
        </w:trPr>
        <w:tc>
          <w:tcPr>
            <w:tcW w:w="6100" w:type="dxa"/>
            <w:vAlign w:val="bottom"/>
            <w:gridSpan w:val="3"/>
          </w:tcPr>
          <w:p>
            <w:pPr>
              <w:jc w:val="center"/>
              <w:ind w:right="3060"/>
              <w:spacing w:after="0" w:line="146" w:lineRule="exact"/>
              <w:rPr>
                <w:sz w:val="20"/>
                <w:szCs w:val="20"/>
                <w:color w:val="auto"/>
              </w:rPr>
            </w:pPr>
            <w:r>
              <w:rPr>
                <w:rFonts w:ascii="Arial" w:cs="Arial" w:eastAsia="Arial" w:hAnsi="Arial"/>
                <w:sz w:val="14"/>
                <w:szCs w:val="14"/>
                <w:b w:val="1"/>
                <w:bCs w:val="1"/>
                <w:color w:val="auto"/>
                <w:w w:val="97"/>
              </w:rPr>
              <w:t>The Hague, The Netherlands</w:t>
            </w:r>
          </w:p>
        </w:tc>
        <w:tc>
          <w:tcPr>
            <w:tcW w:w="2020" w:type="dxa"/>
            <w:vAlign w:val="bottom"/>
          </w:tcPr>
          <w:p>
            <w:pPr>
              <w:jc w:val="center"/>
              <w:ind w:left="235"/>
              <w:spacing w:after="0" w:line="146" w:lineRule="exact"/>
              <w:rPr>
                <w:sz w:val="20"/>
                <w:szCs w:val="20"/>
                <w:color w:val="auto"/>
              </w:rPr>
            </w:pPr>
            <w:r>
              <w:rPr>
                <w:rFonts w:ascii="Arial" w:cs="Arial" w:eastAsia="Arial" w:hAnsi="Arial"/>
                <w:sz w:val="14"/>
                <w:szCs w:val="14"/>
                <w:b w:val="1"/>
                <w:bCs w:val="1"/>
                <w:color w:val="auto"/>
                <w:w w:val="96"/>
              </w:rPr>
              <w:t>2514 JG</w:t>
            </w:r>
          </w:p>
        </w:tc>
      </w:tr>
      <w:tr>
        <w:trPr>
          <w:trHeight w:val="155"/>
        </w:trPr>
        <w:tc>
          <w:tcPr>
            <w:tcW w:w="6100" w:type="dxa"/>
            <w:vAlign w:val="bottom"/>
            <w:gridSpan w:val="3"/>
          </w:tcPr>
          <w:p>
            <w:pPr>
              <w:jc w:val="center"/>
              <w:ind w:right="3060"/>
              <w:spacing w:after="0"/>
              <w:rPr>
                <w:sz w:val="20"/>
                <w:szCs w:val="20"/>
                <w:color w:val="auto"/>
              </w:rPr>
            </w:pPr>
            <w:r>
              <w:rPr>
                <w:rFonts w:ascii="Arial" w:cs="Arial" w:eastAsia="Arial" w:hAnsi="Arial"/>
                <w:sz w:val="12"/>
                <w:szCs w:val="12"/>
                <w:color w:val="auto"/>
                <w:w w:val="99"/>
              </w:rPr>
              <w:t>(Addresses of principal executive offices)</w:t>
            </w:r>
          </w:p>
        </w:tc>
        <w:tc>
          <w:tcPr>
            <w:tcW w:w="2020" w:type="dxa"/>
            <w:vAlign w:val="bottom"/>
          </w:tcPr>
          <w:p>
            <w:pPr>
              <w:jc w:val="center"/>
              <w:ind w:left="215"/>
              <w:spacing w:after="0"/>
              <w:rPr>
                <w:sz w:val="20"/>
                <w:szCs w:val="20"/>
                <w:color w:val="auto"/>
              </w:rPr>
            </w:pPr>
            <w:r>
              <w:rPr>
                <w:rFonts w:ascii="Arial" w:cs="Arial" w:eastAsia="Arial" w:hAnsi="Arial"/>
                <w:sz w:val="12"/>
                <w:szCs w:val="12"/>
                <w:color w:val="auto"/>
                <w:w w:val="98"/>
              </w:rPr>
              <w:t>(Zip Codes)</w:t>
            </w:r>
          </w:p>
        </w:tc>
      </w:tr>
    </w:tbl>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 (713) 513-2000</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853" w:right="339" w:bottom="1440" w:gutter="0" w:footer="0" w:header="0"/>
        </w:sectPr>
      </w:pP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Title of each class</w:t>
      </w:r>
    </w:p>
    <w:p>
      <w:pPr>
        <w:spacing w:after="0" w:line="5" w:lineRule="exact"/>
        <w:rPr>
          <w:sz w:val="24"/>
          <w:szCs w:val="24"/>
          <w:color w:val="auto"/>
        </w:rPr>
      </w:pPr>
    </w:p>
    <w:p>
      <w:pPr>
        <w:jc w:val="center"/>
        <w:ind w:right="340"/>
        <w:spacing w:after="0"/>
        <w:rPr>
          <w:sz w:val="20"/>
          <w:szCs w:val="20"/>
          <w:color w:val="auto"/>
        </w:rPr>
      </w:pPr>
      <w:r>
        <w:rPr>
          <w:rFonts w:ascii="Arial" w:cs="Arial" w:eastAsia="Arial" w:hAnsi="Arial"/>
          <w:sz w:val="12"/>
          <w:szCs w:val="12"/>
          <w:color w:val="auto"/>
        </w:rPr>
        <w:t>Common Stock, par value $0.01 per share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900"/>
        <w:spacing w:after="0"/>
        <w:rPr>
          <w:sz w:val="20"/>
          <w:szCs w:val="20"/>
          <w:color w:val="auto"/>
        </w:rPr>
      </w:pPr>
      <w:r>
        <w:rPr>
          <w:rFonts w:ascii="Arial" w:cs="Arial" w:eastAsia="Arial" w:hAnsi="Arial"/>
          <w:sz w:val="12"/>
          <w:szCs w:val="12"/>
          <w:b w:val="1"/>
          <w:bCs w:val="1"/>
          <w:color w:val="auto"/>
        </w:rPr>
        <w:t>Trading Symbol(s)</w:t>
      </w:r>
    </w:p>
    <w:p>
      <w:pPr>
        <w:spacing w:after="0" w:line="28" w:lineRule="exact"/>
        <w:rPr>
          <w:sz w:val="24"/>
          <w:szCs w:val="24"/>
          <w:color w:val="auto"/>
        </w:rPr>
      </w:pPr>
    </w:p>
    <w:p>
      <w:pPr>
        <w:jc w:val="center"/>
        <w:ind w:right="900"/>
        <w:spacing w:after="0"/>
        <w:rPr>
          <w:sz w:val="20"/>
          <w:szCs w:val="20"/>
          <w:color w:val="auto"/>
        </w:rPr>
      </w:pPr>
      <w:r>
        <w:rPr>
          <w:rFonts w:ascii="Arial" w:cs="Arial" w:eastAsia="Arial" w:hAnsi="Arial"/>
          <w:sz w:val="14"/>
          <w:szCs w:val="14"/>
          <w:color w:val="auto"/>
        </w:rPr>
        <w:t>SLB</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54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8" w:lineRule="exact"/>
        <w:rPr>
          <w:sz w:val="24"/>
          <w:szCs w:val="24"/>
          <w:color w:val="auto"/>
        </w:rPr>
      </w:pPr>
    </w:p>
    <w:p>
      <w:pPr>
        <w:jc w:val="center"/>
        <w:ind w:right="540"/>
        <w:spacing w:after="0"/>
        <w:rPr>
          <w:sz w:val="20"/>
          <w:szCs w:val="20"/>
          <w:color w:val="auto"/>
        </w:rPr>
      </w:pPr>
      <w:r>
        <w:rPr>
          <w:rFonts w:ascii="Arial" w:cs="Arial" w:eastAsia="Arial" w:hAnsi="Arial"/>
          <w:sz w:val="14"/>
          <w:szCs w:val="14"/>
          <w:color w:val="auto"/>
        </w:rPr>
        <w:t>New York Stock Exchange</w:t>
      </w:r>
    </w:p>
    <w:p>
      <w:pPr>
        <w:spacing w:after="0" w:line="15" w:lineRule="exact"/>
        <w:rPr>
          <w:sz w:val="24"/>
          <w:szCs w:val="24"/>
          <w:color w:val="auto"/>
        </w:rPr>
      </w:pPr>
    </w:p>
    <w:p>
      <w:pPr>
        <w:sectPr>
          <w:pgSz w:w="11900" w:h="16838" w:orient="portrait"/>
          <w:cols w:equalWidth="0" w:num="3">
            <w:col w:w="4320" w:space="720"/>
            <w:col w:w="2080" w:space="720"/>
            <w:col w:w="3400"/>
          </w:cols>
          <w:pgMar w:left="320" w:top="853" w:right="339" w:bottom="1440" w:gutter="0" w:footer="0" w:header="0"/>
          <w:type w:val="continuous"/>
        </w:sectPr>
      </w:pPr>
    </w:p>
    <w:p>
      <w:pPr>
        <w:jc w:val="center"/>
        <w:ind w:right="40"/>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47625</wp:posOffset>
            </wp:positionV>
            <wp:extent cx="143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p>
      <w:pPr>
        <w:spacing w:after="0" w:line="84" w:lineRule="exact"/>
        <w:rPr>
          <w:sz w:val="24"/>
          <w:szCs w:val="24"/>
          <w:color w:val="auto"/>
        </w:rPr>
      </w:pPr>
    </w:p>
    <w:p>
      <w:pPr>
        <w:ind w:right="3880"/>
        <w:spacing w:after="0" w:line="192" w:lineRule="exact"/>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w:t>
      </w:r>
      <w:r>
        <w:rPr>
          <w:rFonts w:ascii="Arial" w:cs="Arial" w:eastAsia="Arial" w:hAnsi="Arial"/>
          <w:sz w:val="7"/>
          <w:szCs w:val="7"/>
          <w:color w:val="auto"/>
        </w:rPr>
        <w:t>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w:t>
      </w:r>
      <w:r>
        <w:rPr>
          <w:rFonts w:ascii="Arial" w:cs="Arial" w:eastAsia="Arial" w:hAnsi="Arial"/>
          <w:sz w:val="7"/>
          <w:szCs w:val="7"/>
          <w:color w:val="auto"/>
        </w:rPr>
        <w:t>o</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w:t>
      </w:r>
      <w:r>
        <w:rPr>
          <w:rFonts w:ascii="Arial" w:cs="Arial" w:eastAsia="Arial" w:hAnsi="Arial"/>
          <w:sz w:val="7"/>
          <w:szCs w:val="7"/>
          <w:color w:val="auto"/>
        </w:rPr>
        <w:t>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w:t>
      </w:r>
      <w:r>
        <w:rPr>
          <w:rFonts w:ascii="Arial" w:cs="Arial" w:eastAsia="Arial" w:hAnsi="Arial"/>
          <w:sz w:val="7"/>
          <w:szCs w:val="7"/>
          <w:color w:val="auto"/>
        </w:rPr>
        <w:t>o</w:t>
      </w:r>
      <w:r>
        <w:rPr>
          <w:rFonts w:ascii="Arial" w:cs="Arial" w:eastAsia="Arial" w:hAnsi="Arial"/>
          <w:sz w:val="12"/>
          <w:szCs w:val="12"/>
          <w:color w:val="auto"/>
        </w:rPr>
        <w:t xml:space="preserve"> </w:t>
      </w:r>
      <w:r>
        <w:rPr>
          <w:rFonts w:ascii="MS PGothic" w:cs="MS PGothic" w:eastAsia="MS PGothic" w:hAnsi="MS PGothic"/>
          <w:sz w:val="12"/>
          <w:szCs w:val="12"/>
          <w:color w:val="auto"/>
        </w:rPr>
        <w:t>☑</w:t>
      </w:r>
    </w:p>
    <w:p>
      <w:pPr>
        <w:spacing w:after="0" w:line="1" w:lineRule="exact"/>
        <w:rPr>
          <w:sz w:val="24"/>
          <w:szCs w:val="24"/>
          <w:color w:val="auto"/>
        </w:rPr>
      </w:pPr>
    </w:p>
    <w:p>
      <w:pPr>
        <w:ind w:right="300"/>
        <w:spacing w:after="0" w:line="140" w:lineRule="exact"/>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Arial" w:cs="Arial" w:eastAsia="Arial" w:hAnsi="Arial"/>
          <w:sz w:val="8"/>
          <w:szCs w:val="8"/>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8"/>
          <w:szCs w:val="8"/>
          <w:color w:val="auto"/>
        </w:rPr>
        <w:t>o</w:t>
      </w:r>
      <w:r>
        <w:rPr>
          <w:rFonts w:ascii="MS PGothic" w:cs="MS PGothic" w:eastAsia="MS PGothic" w:hAnsi="MS PGothic"/>
          <w:sz w:val="13"/>
          <w:szCs w:val="13"/>
          <w:color w:val="auto"/>
        </w:rPr>
        <w:t>☐</w:t>
      </w:r>
    </w:p>
    <w:p>
      <w:pPr>
        <w:ind w:right="120"/>
        <w:spacing w:after="0" w:line="156"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w:t>
      </w:r>
      <w:r>
        <w:rPr>
          <w:rFonts w:ascii="Arial" w:cs="Arial" w:eastAsia="Arial" w:hAnsi="Arial"/>
          <w:sz w:val="8"/>
          <w:szCs w:val="8"/>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8"/>
          <w:szCs w:val="8"/>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38"/>
        </w:trPr>
        <w:tc>
          <w:tcPr>
            <w:tcW w:w="1860" w:type="dxa"/>
            <w:vAlign w:val="bottom"/>
          </w:tcPr>
          <w:p>
            <w:pPr>
              <w:spacing w:after="0" w:line="138" w:lineRule="exact"/>
              <w:rPr>
                <w:sz w:val="20"/>
                <w:szCs w:val="20"/>
                <w:color w:val="auto"/>
              </w:rPr>
            </w:pPr>
            <w:r>
              <w:rPr>
                <w:rFonts w:ascii="Arial" w:cs="Arial" w:eastAsia="Arial" w:hAnsi="Arial"/>
                <w:sz w:val="13"/>
                <w:szCs w:val="13"/>
                <w:color w:val="auto"/>
              </w:rPr>
              <w:t>Large accelerated filer</w:t>
            </w:r>
          </w:p>
        </w:tc>
        <w:tc>
          <w:tcPr>
            <w:tcW w:w="36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ind w:left="3160"/>
              <w:spacing w:after="0" w:line="138" w:lineRule="exact"/>
              <w:rPr>
                <w:sz w:val="20"/>
                <w:szCs w:val="20"/>
                <w:color w:val="auto"/>
              </w:rPr>
            </w:pPr>
            <w:r>
              <w:rPr>
                <w:rFonts w:ascii="Arial" w:cs="Arial" w:eastAsia="Arial" w:hAnsi="Arial"/>
                <w:sz w:val="13"/>
                <w:szCs w:val="13"/>
                <w:color w:val="auto"/>
              </w:rPr>
              <w:t>Accelerated filer</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0"/>
        </w:trPr>
        <w:tc>
          <w:tcPr>
            <w:tcW w:w="1860" w:type="dxa"/>
            <w:vAlign w:val="bottom"/>
          </w:tcPr>
          <w:p>
            <w:pPr>
              <w:spacing w:after="0" w:line="140" w:lineRule="exact"/>
              <w:rPr>
                <w:sz w:val="20"/>
                <w:szCs w:val="20"/>
                <w:color w:val="auto"/>
              </w:rPr>
            </w:pPr>
            <w:r>
              <w:rPr>
                <w:rFonts w:ascii="Arial" w:cs="Arial" w:eastAsia="Arial" w:hAnsi="Arial"/>
                <w:sz w:val="13"/>
                <w:szCs w:val="13"/>
                <w:color w:val="auto"/>
              </w:rPr>
              <w:t>Non-accelerated filer</w:t>
            </w:r>
          </w:p>
        </w:tc>
        <w:tc>
          <w:tcPr>
            <w:tcW w:w="36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ind w:left="3160"/>
              <w:spacing w:after="0" w:line="140" w:lineRule="exact"/>
              <w:rPr>
                <w:sz w:val="20"/>
                <w:szCs w:val="20"/>
                <w:color w:val="auto"/>
              </w:rPr>
            </w:pPr>
            <w:r>
              <w:rPr>
                <w:rFonts w:ascii="Arial" w:cs="Arial" w:eastAsia="Arial" w:hAnsi="Arial"/>
                <w:sz w:val="13"/>
                <w:szCs w:val="13"/>
                <w:color w:val="auto"/>
              </w:rPr>
              <w:t>Smaller reporting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ind w:right="340"/>
        <w:spacing w:after="0" w:line="14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40"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520"/>
        <w:spacing w:after="0" w:line="140"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80"/>
        <w:spacing w:after="0" w:line="138"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4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4" w:lineRule="auto"/>
        <w:rPr>
          <w:sz w:val="20"/>
          <w:szCs w:val="20"/>
          <w:color w:val="auto"/>
        </w:rPr>
      </w:pPr>
      <w:r>
        <w:rPr>
          <w:rFonts w:ascii="Arial" w:cs="Arial" w:eastAsia="Arial" w:hAnsi="Arial"/>
          <w:sz w:val="13"/>
          <w:szCs w:val="13"/>
          <w:color w:val="auto"/>
        </w:rPr>
        <w:t>As of June 30, 2025, the aggregate market value of the common stock of the registrant held by non-affiliates of the registrant was approximately $45.58 billion.</w:t>
      </w:r>
    </w:p>
    <w:p>
      <w:pPr>
        <w:spacing w:after="0"/>
        <w:rPr>
          <w:sz w:val="20"/>
          <w:szCs w:val="20"/>
          <w:color w:val="auto"/>
        </w:rPr>
      </w:pPr>
      <w:r>
        <w:rPr>
          <w:rFonts w:ascii="Arial" w:cs="Arial" w:eastAsia="Arial" w:hAnsi="Arial"/>
          <w:sz w:val="13"/>
          <w:szCs w:val="13"/>
          <w:color w:val="auto"/>
        </w:rPr>
        <w:t>As of December 31, 2025, the number of shares of common stock outstanding was 1,495,331,485.</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23" w:lineRule="exact"/>
        <w:rPr>
          <w:sz w:val="24"/>
          <w:szCs w:val="24"/>
          <w:color w:val="auto"/>
        </w:rPr>
      </w:pPr>
    </w:p>
    <w:p>
      <w:pPr>
        <w:jc w:val="both"/>
        <w:spacing w:after="0" w:line="234" w:lineRule="auto"/>
        <w:rPr>
          <w:sz w:val="20"/>
          <w:szCs w:val="20"/>
          <w:color w:val="auto"/>
        </w:rPr>
      </w:pPr>
      <w:r>
        <w:rPr>
          <w:rFonts w:ascii="Arial" w:cs="Arial" w:eastAsia="Arial" w:hAnsi="Arial"/>
          <w:sz w:val="13"/>
          <w:szCs w:val="13"/>
          <w:color w:val="auto"/>
        </w:rPr>
        <w:t>Certain information required to be furnished pursuant to Part III of this Form 10-K is set forth in, and is incorporated by reference from, the registrant’s definitive proxy statement for its 2026 Annual General Meeting of Shareholders, to be filed by the registrant with the Securities and Exchange Commission (“SEC”) pursuant to Regulation 14A within 120 days after December 31, 2025 (the “2026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680085</wp:posOffset>
            </wp:positionV>
            <wp:extent cx="716597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8"/>
        </w:trPr>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60" w:type="dxa"/>
            <w:vAlign w:val="bottom"/>
            <w:gridSpan w:val="7"/>
          </w:tcPr>
          <w:p>
            <w:pPr>
              <w:jc w:val="center"/>
              <w:ind w:right="4360"/>
              <w:spacing w:after="0"/>
              <w:rPr>
                <w:sz w:val="20"/>
                <w:szCs w:val="20"/>
                <w:color w:val="auto"/>
              </w:rPr>
            </w:pPr>
            <w:r>
              <w:rPr>
                <w:rFonts w:ascii="Arial" w:cs="Arial" w:eastAsia="Arial" w:hAnsi="Arial"/>
                <w:sz w:val="15"/>
                <w:szCs w:val="15"/>
                <w:b w:val="1"/>
                <w:bCs w:val="1"/>
                <w:color w:val="auto"/>
              </w:rPr>
              <w:t>SLB LIMITED</w:t>
            </w:r>
          </w:p>
        </w:tc>
        <w:tc>
          <w:tcPr>
            <w:tcW w:w="660" w:type="dxa"/>
            <w:vAlign w:val="bottom"/>
          </w:tcPr>
          <w:p>
            <w:pPr>
              <w:spacing w:after="0"/>
              <w:rPr>
                <w:sz w:val="15"/>
                <w:szCs w:val="15"/>
                <w:color w:val="auto"/>
              </w:rPr>
            </w:pPr>
          </w:p>
        </w:tc>
      </w:tr>
      <w:tr>
        <w:trPr>
          <w:trHeight w:val="178"/>
        </w:trPr>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700" w:type="dxa"/>
            <w:vAlign w:val="bottom"/>
            <w:gridSpan w:val="8"/>
          </w:tcPr>
          <w:p>
            <w:pPr>
              <w:jc w:val="center"/>
              <w:ind w:right="4260"/>
              <w:spacing w:after="0"/>
              <w:rPr>
                <w:sz w:val="20"/>
                <w:szCs w:val="20"/>
                <w:color w:val="auto"/>
              </w:rPr>
            </w:pPr>
            <w:r>
              <w:rPr>
                <w:rFonts w:ascii="Arial" w:cs="Arial" w:eastAsia="Arial" w:hAnsi="Arial"/>
                <w:sz w:val="15"/>
                <w:szCs w:val="15"/>
                <w:color w:val="auto"/>
              </w:rPr>
              <w:t>Table of Contents</w:t>
            </w:r>
          </w:p>
        </w:tc>
        <w:tc>
          <w:tcPr>
            <w:tcW w:w="660" w:type="dxa"/>
            <w:vAlign w:val="bottom"/>
          </w:tcPr>
          <w:p>
            <w:pPr>
              <w:spacing w:after="0"/>
              <w:rPr>
                <w:sz w:val="15"/>
                <w:szCs w:val="15"/>
                <w:color w:val="auto"/>
              </w:rPr>
            </w:pPr>
          </w:p>
        </w:tc>
      </w:tr>
      <w:tr>
        <w:trPr>
          <w:trHeight w:val="200"/>
        </w:trPr>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60" w:type="dxa"/>
            <w:vAlign w:val="bottom"/>
            <w:gridSpan w:val="7"/>
          </w:tcPr>
          <w:p>
            <w:pPr>
              <w:jc w:val="center"/>
              <w:ind w:right="4400"/>
              <w:spacing w:after="0"/>
              <w:rPr>
                <w:sz w:val="20"/>
                <w:szCs w:val="20"/>
                <w:color w:val="auto"/>
              </w:rPr>
            </w:pPr>
            <w:r>
              <w:rPr>
                <w:rFonts w:ascii="Arial" w:cs="Arial" w:eastAsia="Arial" w:hAnsi="Arial"/>
                <w:sz w:val="15"/>
                <w:szCs w:val="15"/>
                <w:color w:val="auto"/>
              </w:rPr>
              <w:t>Form 10-K</w:t>
            </w:r>
          </w:p>
        </w:tc>
        <w:tc>
          <w:tcPr>
            <w:tcW w:w="660" w:type="dxa"/>
            <w:vAlign w:val="bottom"/>
          </w:tcPr>
          <w:p>
            <w:pPr>
              <w:spacing w:after="0"/>
              <w:rPr>
                <w:sz w:val="17"/>
                <w:szCs w:val="17"/>
                <w:color w:val="auto"/>
              </w:rPr>
            </w:pPr>
          </w:p>
        </w:tc>
      </w:tr>
      <w:tr>
        <w:trPr>
          <w:trHeight w:val="295"/>
        </w:trPr>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Page</w:t>
            </w:r>
          </w:p>
        </w:tc>
      </w:tr>
      <w:tr>
        <w:trPr>
          <w:trHeight w:val="315"/>
        </w:trPr>
        <w:tc>
          <w:tcPr>
            <w:tcW w:w="1020" w:type="dxa"/>
            <w:vAlign w:val="bottom"/>
          </w:tcPr>
          <w:p>
            <w:pPr>
              <w:spacing w:after="0"/>
              <w:rPr>
                <w:sz w:val="20"/>
                <w:szCs w:val="20"/>
                <w:color w:val="auto"/>
              </w:rPr>
            </w:pPr>
            <w:r>
              <w:rPr>
                <w:rFonts w:ascii="Arial" w:cs="Arial" w:eastAsia="Arial" w:hAnsi="Arial"/>
                <w:sz w:val="15"/>
                <w:szCs w:val="15"/>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9"/>
        </w:trPr>
        <w:tc>
          <w:tcPr>
            <w:tcW w:w="1020" w:type="dxa"/>
            <w:vAlign w:val="bottom"/>
          </w:tcPr>
          <w:p>
            <w:pPr>
              <w:spacing w:after="0"/>
              <w:rPr>
                <w:sz w:val="20"/>
                <w:szCs w:val="20"/>
                <w:color w:val="auto"/>
              </w:rPr>
            </w:pPr>
            <w:r>
              <w:rPr>
                <w:rFonts w:ascii="Arial" w:cs="Arial" w:eastAsia="Arial" w:hAnsi="Arial"/>
                <w:sz w:val="15"/>
                <w:szCs w:val="15"/>
                <w:color w:val="auto"/>
              </w:rPr>
              <w:t>Item 1.</w:t>
            </w:r>
          </w:p>
        </w:tc>
        <w:tc>
          <w:tcPr>
            <w:tcW w:w="9560" w:type="dxa"/>
            <w:vAlign w:val="bottom"/>
            <w:gridSpan w:val="26"/>
          </w:tcPr>
          <w:p>
            <w:pPr>
              <w:spacing w:after="0"/>
              <w:rPr>
                <w:sz w:val="20"/>
                <w:szCs w:val="20"/>
                <w:color w:val="auto"/>
              </w:rPr>
            </w:pPr>
            <w:r>
              <w:rPr>
                <w:rFonts w:ascii="Arial" w:cs="Arial" w:eastAsia="Arial" w:hAnsi="Arial"/>
                <w:sz w:val="15"/>
                <w:szCs w:val="15"/>
                <w:color w:val="0000FF"/>
              </w:rPr>
              <w:t>Business</w:t>
            </w:r>
          </w:p>
        </w:tc>
        <w:tc>
          <w:tcPr>
            <w:tcW w:w="6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
        </w:trPr>
        <w:tc>
          <w:tcPr>
            <w:tcW w:w="10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5"/>
        </w:trPr>
        <w:tc>
          <w:tcPr>
            <w:tcW w:w="1020" w:type="dxa"/>
            <w:vAlign w:val="bottom"/>
          </w:tcPr>
          <w:p>
            <w:pPr>
              <w:spacing w:after="0"/>
              <w:rPr>
                <w:sz w:val="20"/>
                <w:szCs w:val="20"/>
                <w:color w:val="auto"/>
              </w:rPr>
            </w:pPr>
            <w:r>
              <w:rPr>
                <w:rFonts w:ascii="Arial" w:cs="Arial" w:eastAsia="Arial" w:hAnsi="Arial"/>
                <w:sz w:val="15"/>
                <w:szCs w:val="15"/>
                <w:color w:val="auto"/>
              </w:rPr>
              <w:t>Item 1A.</w:t>
            </w:r>
          </w:p>
        </w:tc>
        <w:tc>
          <w:tcPr>
            <w:tcW w:w="860" w:type="dxa"/>
            <w:vAlign w:val="bottom"/>
            <w:tcBorders>
              <w:bottom w:val="single" w:sz="8" w:color="0000FF"/>
            </w:tcBorders>
            <w:gridSpan w:val="6"/>
          </w:tcPr>
          <w:p>
            <w:pPr>
              <w:spacing w:after="0"/>
              <w:rPr>
                <w:sz w:val="20"/>
                <w:szCs w:val="20"/>
                <w:color w:val="auto"/>
              </w:rPr>
            </w:pPr>
            <w:r>
              <w:rPr>
                <w:rFonts w:ascii="Arial" w:cs="Arial" w:eastAsia="Arial" w:hAnsi="Arial"/>
                <w:sz w:val="15"/>
                <w:szCs w:val="15"/>
                <w:color w:val="0000FF"/>
              </w:rPr>
              <w:t>Risk Factors</w:t>
            </w:r>
          </w:p>
        </w:tc>
        <w:tc>
          <w:tcPr>
            <w:tcW w:w="20" w:type="dxa"/>
            <w:vAlign w:val="bottom"/>
            <w:tcBorders>
              <w:bottom w:val="single" w:sz="8" w:color="0000EE"/>
            </w:tcBorders>
          </w:tcPr>
          <w:p>
            <w:pPr>
              <w:spacing w:after="0"/>
              <w:rPr>
                <w:sz w:val="24"/>
                <w:szCs w:val="24"/>
                <w:color w:val="auto"/>
              </w:rPr>
            </w:pPr>
          </w:p>
        </w:tc>
        <w:tc>
          <w:tcPr>
            <w:tcW w:w="8680" w:type="dxa"/>
            <w:vAlign w:val="bottom"/>
            <w:gridSpan w:val="1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1B.</w:t>
            </w:r>
          </w:p>
        </w:tc>
        <w:tc>
          <w:tcPr>
            <w:tcW w:w="1920" w:type="dxa"/>
            <w:vAlign w:val="bottom"/>
            <w:tcBorders>
              <w:bottom w:val="single" w:sz="8" w:color="0000FF"/>
            </w:tcBorders>
            <w:gridSpan w:val="14"/>
          </w:tcPr>
          <w:p>
            <w:pPr>
              <w:spacing w:after="0"/>
              <w:rPr>
                <w:sz w:val="20"/>
                <w:szCs w:val="20"/>
                <w:color w:val="auto"/>
              </w:rPr>
            </w:pPr>
            <w:r>
              <w:rPr>
                <w:rFonts w:ascii="Arial" w:cs="Arial" w:eastAsia="Arial" w:hAnsi="Arial"/>
                <w:sz w:val="15"/>
                <w:szCs w:val="15"/>
                <w:color w:val="0000FF"/>
              </w:rPr>
              <w:t>Unresolved Staff Comments</w:t>
            </w:r>
          </w:p>
        </w:tc>
        <w:tc>
          <w:tcPr>
            <w:tcW w:w="7640" w:type="dxa"/>
            <w:vAlign w:val="bottom"/>
            <w:gridSpan w:val="12"/>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1C.</w:t>
            </w:r>
          </w:p>
        </w:tc>
        <w:tc>
          <w:tcPr>
            <w:tcW w:w="9560" w:type="dxa"/>
            <w:vAlign w:val="bottom"/>
            <w:gridSpan w:val="26"/>
          </w:tcPr>
          <w:p>
            <w:pPr>
              <w:spacing w:after="0"/>
              <w:rPr>
                <w:sz w:val="20"/>
                <w:szCs w:val="20"/>
                <w:color w:val="auto"/>
              </w:rPr>
            </w:pPr>
            <w:r>
              <w:rPr>
                <w:rFonts w:ascii="Arial" w:cs="Arial" w:eastAsia="Arial" w:hAnsi="Arial"/>
                <w:sz w:val="15"/>
                <w:szCs w:val="15"/>
                <w:color w:val="0000FF"/>
              </w:rPr>
              <w:t>Cybersecurity</w:t>
            </w:r>
          </w:p>
        </w:tc>
        <w:tc>
          <w:tcPr>
            <w:tcW w:w="6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2.</w:t>
            </w:r>
          </w:p>
        </w:tc>
        <w:tc>
          <w:tcPr>
            <w:tcW w:w="940" w:type="dxa"/>
            <w:vAlign w:val="bottom"/>
            <w:tcBorders>
              <w:top w:val="single" w:sz="8" w:color="0000FF"/>
            </w:tcBorders>
            <w:gridSpan w:val="8"/>
          </w:tcPr>
          <w:p>
            <w:pPr>
              <w:spacing w:after="0"/>
              <w:rPr>
                <w:sz w:val="20"/>
                <w:szCs w:val="20"/>
                <w:color w:val="auto"/>
              </w:rPr>
            </w:pPr>
            <w:r>
              <w:rPr>
                <w:rFonts w:ascii="Arial" w:cs="Arial" w:eastAsia="Arial" w:hAnsi="Arial"/>
                <w:sz w:val="15"/>
                <w:szCs w:val="15"/>
                <w:color w:val="0000FF"/>
              </w:rPr>
              <w:t>Properties</w:t>
            </w:r>
          </w:p>
        </w:tc>
        <w:tc>
          <w:tcPr>
            <w:tcW w:w="8620" w:type="dxa"/>
            <w:vAlign w:val="bottom"/>
            <w:gridSpan w:val="18"/>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
        </w:trPr>
        <w:tc>
          <w:tcPr>
            <w:tcW w:w="10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3.</w:t>
            </w:r>
          </w:p>
        </w:tc>
        <w:tc>
          <w:tcPr>
            <w:tcW w:w="1280" w:type="dxa"/>
            <w:vAlign w:val="bottom"/>
            <w:tcBorders>
              <w:bottom w:val="single" w:sz="8" w:color="0000FF"/>
            </w:tcBorders>
            <w:gridSpan w:val="10"/>
          </w:tcPr>
          <w:p>
            <w:pPr>
              <w:spacing w:after="0"/>
              <w:rPr>
                <w:sz w:val="20"/>
                <w:szCs w:val="20"/>
                <w:color w:val="auto"/>
              </w:rPr>
            </w:pPr>
            <w:r>
              <w:rPr>
                <w:rFonts w:ascii="Arial" w:cs="Arial" w:eastAsia="Arial" w:hAnsi="Arial"/>
                <w:sz w:val="15"/>
                <w:szCs w:val="15"/>
                <w:color w:val="0000FF"/>
              </w:rPr>
              <w:t>Legal Proceedings</w:t>
            </w:r>
          </w:p>
        </w:tc>
        <w:tc>
          <w:tcPr>
            <w:tcW w:w="8280" w:type="dxa"/>
            <w:vAlign w:val="bottom"/>
            <w:gridSpan w:val="16"/>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4.</w:t>
            </w:r>
          </w:p>
        </w:tc>
        <w:tc>
          <w:tcPr>
            <w:tcW w:w="9560" w:type="dxa"/>
            <w:vAlign w:val="bottom"/>
            <w:gridSpan w:val="26"/>
          </w:tcPr>
          <w:p>
            <w:pPr>
              <w:spacing w:after="0"/>
              <w:rPr>
                <w:sz w:val="20"/>
                <w:szCs w:val="20"/>
                <w:color w:val="auto"/>
              </w:rPr>
            </w:pPr>
            <w:r>
              <w:rPr>
                <w:rFonts w:ascii="Arial" w:cs="Arial" w:eastAsia="Arial" w:hAnsi="Arial"/>
                <w:sz w:val="15"/>
                <w:szCs w:val="15"/>
                <w:color w:val="0000FF"/>
              </w:rPr>
              <w:t>Mine Safety Disclosures</w:t>
            </w:r>
          </w:p>
        </w:tc>
        <w:tc>
          <w:tcPr>
            <w:tcW w:w="6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315"/>
        </w:trPr>
        <w:tc>
          <w:tcPr>
            <w:tcW w:w="1020" w:type="dxa"/>
            <w:vAlign w:val="bottom"/>
          </w:tcPr>
          <w:p>
            <w:pPr>
              <w:spacing w:after="0"/>
              <w:rPr>
                <w:sz w:val="20"/>
                <w:szCs w:val="20"/>
                <w:color w:val="auto"/>
              </w:rPr>
            </w:pPr>
            <w:r>
              <w:rPr>
                <w:rFonts w:ascii="Arial" w:cs="Arial" w:eastAsia="Arial" w:hAnsi="Arial"/>
                <w:sz w:val="15"/>
                <w:szCs w:val="15"/>
                <w:b w:val="1"/>
                <w:bCs w:val="1"/>
                <w:color w:val="auto"/>
              </w:rPr>
              <w:t>PART 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9"/>
        </w:trPr>
        <w:tc>
          <w:tcPr>
            <w:tcW w:w="1020" w:type="dxa"/>
            <w:vAlign w:val="bottom"/>
          </w:tcPr>
          <w:p>
            <w:pPr>
              <w:spacing w:after="0"/>
              <w:rPr>
                <w:sz w:val="20"/>
                <w:szCs w:val="20"/>
                <w:color w:val="auto"/>
              </w:rPr>
            </w:pPr>
            <w:r>
              <w:rPr>
                <w:rFonts w:ascii="Arial" w:cs="Arial" w:eastAsia="Arial" w:hAnsi="Arial"/>
                <w:sz w:val="15"/>
                <w:szCs w:val="15"/>
                <w:color w:val="auto"/>
              </w:rPr>
              <w:t>Item 5.</w:t>
            </w:r>
          </w:p>
        </w:tc>
        <w:tc>
          <w:tcPr>
            <w:tcW w:w="7540" w:type="dxa"/>
            <w:vAlign w:val="bottom"/>
            <w:tcBorders>
              <w:bottom w:val="single" w:sz="8" w:color="0000FF"/>
            </w:tcBorders>
            <w:gridSpan w:val="25"/>
          </w:tcPr>
          <w:p>
            <w:pPr>
              <w:spacing w:after="0"/>
              <w:rPr>
                <w:sz w:val="20"/>
                <w:szCs w:val="20"/>
                <w:color w:val="auto"/>
              </w:rPr>
            </w:pPr>
            <w:r>
              <w:rPr>
                <w:rFonts w:ascii="Arial" w:cs="Arial" w:eastAsia="Arial" w:hAnsi="Arial"/>
                <w:sz w:val="15"/>
                <w:szCs w:val="15"/>
                <w:color w:val="0000FF"/>
              </w:rPr>
              <w:t>Market for Registrant’s Common Equity, Related Stockholder Matters and Issuer Purchases of Equity Securities</w:t>
            </w:r>
          </w:p>
        </w:tc>
        <w:tc>
          <w:tcPr>
            <w:tcW w:w="2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6.</w:t>
            </w:r>
          </w:p>
        </w:tc>
        <w:tc>
          <w:tcPr>
            <w:tcW w:w="76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rPr>
              <w:t>[Reserved]</w:t>
            </w:r>
          </w:p>
        </w:tc>
        <w:tc>
          <w:tcPr>
            <w:tcW w:w="20" w:type="dxa"/>
            <w:vAlign w:val="bottom"/>
            <w:tcBorders>
              <w:bottom w:val="single" w:sz="8" w:color="0000EE"/>
            </w:tcBorders>
          </w:tcPr>
          <w:p>
            <w:pPr>
              <w:spacing w:after="0"/>
              <w:rPr>
                <w:sz w:val="23"/>
                <w:szCs w:val="23"/>
                <w:color w:val="auto"/>
              </w:rPr>
            </w:pPr>
          </w:p>
        </w:tc>
        <w:tc>
          <w:tcPr>
            <w:tcW w:w="8780" w:type="dxa"/>
            <w:vAlign w:val="bottom"/>
            <w:gridSpan w:val="21"/>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7.</w:t>
            </w:r>
          </w:p>
        </w:tc>
        <w:tc>
          <w:tcPr>
            <w:tcW w:w="9560" w:type="dxa"/>
            <w:vAlign w:val="bottom"/>
            <w:gridSpan w:val="26"/>
          </w:tcPr>
          <w:p>
            <w:pPr>
              <w:spacing w:after="0"/>
              <w:rPr>
                <w:sz w:val="20"/>
                <w:szCs w:val="20"/>
                <w:color w:val="auto"/>
              </w:rPr>
            </w:pPr>
            <w:r>
              <w:rPr>
                <w:rFonts w:ascii="Arial" w:cs="Arial" w:eastAsia="Arial" w:hAnsi="Arial"/>
                <w:sz w:val="15"/>
                <w:szCs w:val="15"/>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7A.</w:t>
            </w:r>
          </w:p>
        </w:tc>
        <w:tc>
          <w:tcPr>
            <w:tcW w:w="400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5"/>
                <w:szCs w:val="15"/>
                <w:color w:val="0000FF"/>
              </w:rPr>
              <w:t>Quantitative and Qualitative Disclosures About Market Risk</w:t>
            </w:r>
          </w:p>
        </w:tc>
        <w:tc>
          <w:tcPr>
            <w:tcW w:w="2000" w:type="dxa"/>
            <w:vAlign w:val="bottom"/>
            <w:tcBorders>
              <w:top w:val="single" w:sz="8" w:color="0000FF"/>
            </w:tcBorders>
            <w:gridSpan w:val="3"/>
          </w:tcPr>
          <w:p>
            <w:pPr>
              <w:spacing w:after="0"/>
              <w:rPr>
                <w:sz w:val="23"/>
                <w:szCs w:val="23"/>
                <w:color w:val="auto"/>
              </w:rPr>
            </w:pPr>
          </w:p>
        </w:tc>
        <w:tc>
          <w:tcPr>
            <w:tcW w:w="3560" w:type="dxa"/>
            <w:vAlign w:val="bottom"/>
            <w:gridSpan w:val="4"/>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8.</w:t>
            </w:r>
          </w:p>
        </w:tc>
        <w:tc>
          <w:tcPr>
            <w:tcW w:w="3160" w:type="dxa"/>
            <w:vAlign w:val="bottom"/>
            <w:tcBorders>
              <w:bottom w:val="single" w:sz="8" w:color="0000FF"/>
            </w:tcBorders>
            <w:gridSpan w:val="17"/>
          </w:tcPr>
          <w:p>
            <w:pPr>
              <w:spacing w:after="0"/>
              <w:rPr>
                <w:sz w:val="20"/>
                <w:szCs w:val="20"/>
                <w:color w:val="auto"/>
              </w:rPr>
            </w:pPr>
            <w:r>
              <w:rPr>
                <w:rFonts w:ascii="Arial" w:cs="Arial" w:eastAsia="Arial" w:hAnsi="Arial"/>
                <w:sz w:val="15"/>
                <w:szCs w:val="15"/>
                <w:color w:val="0000FF"/>
              </w:rPr>
              <w:t>Financial Statements and Supplementary Data</w:t>
            </w:r>
          </w:p>
        </w:tc>
        <w:tc>
          <w:tcPr>
            <w:tcW w:w="6400" w:type="dxa"/>
            <w:vAlign w:val="bottom"/>
            <w:gridSpan w:val="9"/>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9.</w:t>
            </w:r>
          </w:p>
        </w:tc>
        <w:tc>
          <w:tcPr>
            <w:tcW w:w="9560" w:type="dxa"/>
            <w:vAlign w:val="bottom"/>
            <w:gridSpan w:val="26"/>
          </w:tcPr>
          <w:p>
            <w:pPr>
              <w:spacing w:after="0"/>
              <w:rPr>
                <w:sz w:val="20"/>
                <w:szCs w:val="20"/>
                <w:color w:val="auto"/>
              </w:rPr>
            </w:pPr>
            <w:r>
              <w:rPr>
                <w:rFonts w:ascii="Arial" w:cs="Arial" w:eastAsia="Arial" w:hAnsi="Arial"/>
                <w:sz w:val="15"/>
                <w:szCs w:val="15"/>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9A.</w:t>
            </w:r>
          </w:p>
        </w:tc>
        <w:tc>
          <w:tcPr>
            <w:tcW w:w="170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5"/>
                <w:szCs w:val="15"/>
                <w:color w:val="0000FF"/>
              </w:rPr>
              <w:t>Controls and Procedures</w:t>
            </w:r>
          </w:p>
        </w:tc>
        <w:tc>
          <w:tcPr>
            <w:tcW w:w="4340" w:type="dxa"/>
            <w:vAlign w:val="bottom"/>
            <w:tcBorders>
              <w:top w:val="single" w:sz="8" w:color="0000FF"/>
            </w:tcBorders>
            <w:gridSpan w:val="10"/>
          </w:tcPr>
          <w:p>
            <w:pPr>
              <w:spacing w:after="0"/>
              <w:rPr>
                <w:sz w:val="23"/>
                <w:szCs w:val="23"/>
                <w:color w:val="auto"/>
              </w:rPr>
            </w:pPr>
          </w:p>
        </w:tc>
        <w:tc>
          <w:tcPr>
            <w:tcW w:w="3520" w:type="dxa"/>
            <w:vAlign w:val="bottom"/>
            <w:gridSpan w:val="3"/>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9B.</w:t>
            </w:r>
          </w:p>
        </w:tc>
        <w:tc>
          <w:tcPr>
            <w:tcW w:w="1200" w:type="dxa"/>
            <w:vAlign w:val="bottom"/>
            <w:tcBorders>
              <w:bottom w:val="single" w:sz="8" w:color="0000FF"/>
            </w:tcBorders>
            <w:gridSpan w:val="9"/>
          </w:tcPr>
          <w:p>
            <w:pPr>
              <w:spacing w:after="0"/>
              <w:rPr>
                <w:sz w:val="20"/>
                <w:szCs w:val="20"/>
                <w:color w:val="auto"/>
              </w:rPr>
            </w:pPr>
            <w:r>
              <w:rPr>
                <w:rFonts w:ascii="Arial" w:cs="Arial" w:eastAsia="Arial" w:hAnsi="Arial"/>
                <w:sz w:val="15"/>
                <w:szCs w:val="15"/>
                <w:color w:val="0000FF"/>
              </w:rPr>
              <w:t>Other Information</w:t>
            </w:r>
          </w:p>
        </w:tc>
        <w:tc>
          <w:tcPr>
            <w:tcW w:w="8360" w:type="dxa"/>
            <w:vAlign w:val="bottom"/>
            <w:gridSpan w:val="17"/>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9C.</w:t>
            </w:r>
          </w:p>
        </w:tc>
        <w:tc>
          <w:tcPr>
            <w:tcW w:w="9560" w:type="dxa"/>
            <w:vAlign w:val="bottom"/>
            <w:gridSpan w:val="26"/>
          </w:tcPr>
          <w:p>
            <w:pPr>
              <w:spacing w:after="0"/>
              <w:rPr>
                <w:sz w:val="20"/>
                <w:szCs w:val="20"/>
                <w:color w:val="auto"/>
              </w:rPr>
            </w:pPr>
            <w:r>
              <w:rPr>
                <w:rFonts w:ascii="Arial" w:cs="Arial" w:eastAsia="Arial" w:hAnsi="Arial"/>
                <w:sz w:val="15"/>
                <w:szCs w:val="15"/>
                <w:color w:val="0000FF"/>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90"/>
        </w:trPr>
        <w:tc>
          <w:tcPr>
            <w:tcW w:w="1020" w:type="dxa"/>
            <w:vAlign w:val="bottom"/>
          </w:tcPr>
          <w:p>
            <w:pPr>
              <w:spacing w:after="0"/>
              <w:rPr>
                <w:sz w:val="20"/>
                <w:szCs w:val="20"/>
                <w:color w:val="auto"/>
              </w:rPr>
            </w:pPr>
            <w:r>
              <w:rPr>
                <w:rFonts w:ascii="Arial" w:cs="Arial" w:eastAsia="Arial" w:hAnsi="Arial"/>
                <w:sz w:val="15"/>
                <w:szCs w:val="15"/>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9"/>
        </w:trPr>
        <w:tc>
          <w:tcPr>
            <w:tcW w:w="1020" w:type="dxa"/>
            <w:vAlign w:val="bottom"/>
          </w:tcPr>
          <w:p>
            <w:pPr>
              <w:spacing w:after="0"/>
              <w:rPr>
                <w:sz w:val="20"/>
                <w:szCs w:val="20"/>
                <w:color w:val="auto"/>
              </w:rPr>
            </w:pPr>
            <w:r>
              <w:rPr>
                <w:rFonts w:ascii="Arial" w:cs="Arial" w:eastAsia="Arial" w:hAnsi="Arial"/>
                <w:sz w:val="15"/>
                <w:szCs w:val="15"/>
                <w:color w:val="auto"/>
              </w:rPr>
              <w:t>Item 10.</w:t>
            </w:r>
          </w:p>
        </w:tc>
        <w:tc>
          <w:tcPr>
            <w:tcW w:w="3860" w:type="dxa"/>
            <w:vAlign w:val="bottom"/>
            <w:tcBorders>
              <w:bottom w:val="single" w:sz="8" w:color="0000EE"/>
            </w:tcBorders>
            <w:gridSpan w:val="18"/>
          </w:tcPr>
          <w:p>
            <w:pPr>
              <w:spacing w:after="0"/>
              <w:rPr>
                <w:sz w:val="20"/>
                <w:szCs w:val="20"/>
                <w:color w:val="auto"/>
              </w:rPr>
            </w:pPr>
            <w:r>
              <w:rPr>
                <w:rFonts w:ascii="Arial" w:cs="Arial" w:eastAsia="Arial" w:hAnsi="Arial"/>
                <w:sz w:val="15"/>
                <w:szCs w:val="15"/>
                <w:color w:val="0000FF"/>
              </w:rPr>
              <w:t>Directors, Executive Officers and Corporate Governance</w:t>
            </w:r>
          </w:p>
        </w:tc>
        <w:tc>
          <w:tcPr>
            <w:tcW w:w="5700" w:type="dxa"/>
            <w:vAlign w:val="bottom"/>
            <w:gridSpan w:val="8"/>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11.</w:t>
            </w:r>
          </w:p>
        </w:tc>
        <w:tc>
          <w:tcPr>
            <w:tcW w:w="1700" w:type="dxa"/>
            <w:vAlign w:val="bottom"/>
            <w:tcBorders>
              <w:bottom w:val="single" w:sz="8" w:color="0000FF"/>
            </w:tcBorders>
            <w:gridSpan w:val="13"/>
          </w:tcPr>
          <w:p>
            <w:pPr>
              <w:spacing w:after="0"/>
              <w:rPr>
                <w:sz w:val="20"/>
                <w:szCs w:val="20"/>
                <w:color w:val="auto"/>
              </w:rPr>
            </w:pPr>
            <w:r>
              <w:rPr>
                <w:rFonts w:ascii="Arial" w:cs="Arial" w:eastAsia="Arial" w:hAnsi="Arial"/>
                <w:sz w:val="15"/>
                <w:szCs w:val="15"/>
                <w:color w:val="0000FF"/>
              </w:rPr>
              <w:t>Executive Compensation</w:t>
            </w:r>
          </w:p>
        </w:tc>
        <w:tc>
          <w:tcPr>
            <w:tcW w:w="7860" w:type="dxa"/>
            <w:vAlign w:val="bottom"/>
            <w:gridSpan w:val="13"/>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12.</w:t>
            </w:r>
          </w:p>
        </w:tc>
        <w:tc>
          <w:tcPr>
            <w:tcW w:w="6800" w:type="dxa"/>
            <w:vAlign w:val="bottom"/>
            <w:tcBorders>
              <w:bottom w:val="single" w:sz="8" w:color="0000FF"/>
            </w:tcBorders>
            <w:gridSpan w:val="24"/>
          </w:tcPr>
          <w:p>
            <w:pPr>
              <w:spacing w:after="0"/>
              <w:rPr>
                <w:sz w:val="20"/>
                <w:szCs w:val="20"/>
                <w:color w:val="auto"/>
              </w:rPr>
            </w:pPr>
            <w:r>
              <w:rPr>
                <w:rFonts w:ascii="Arial" w:cs="Arial" w:eastAsia="Arial" w:hAnsi="Arial"/>
                <w:sz w:val="15"/>
                <w:szCs w:val="15"/>
                <w:color w:val="0000FF"/>
              </w:rPr>
              <w:t>Security Ownership of Certain Beneficial Owners and Management and Related Stockholder Matters</w:t>
            </w:r>
          </w:p>
        </w:tc>
        <w:tc>
          <w:tcPr>
            <w:tcW w:w="2760" w:type="dxa"/>
            <w:vAlign w:val="bottom"/>
            <w:gridSpan w:val="2"/>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13.</w:t>
            </w:r>
          </w:p>
        </w:tc>
        <w:tc>
          <w:tcPr>
            <w:tcW w:w="5160" w:type="dxa"/>
            <w:vAlign w:val="bottom"/>
            <w:tcBorders>
              <w:bottom w:val="single" w:sz="8" w:color="0000FF"/>
            </w:tcBorders>
            <w:gridSpan w:val="21"/>
          </w:tcPr>
          <w:p>
            <w:pPr>
              <w:spacing w:after="0"/>
              <w:rPr>
                <w:sz w:val="20"/>
                <w:szCs w:val="20"/>
                <w:color w:val="auto"/>
              </w:rPr>
            </w:pPr>
            <w:r>
              <w:rPr>
                <w:rFonts w:ascii="Arial" w:cs="Arial" w:eastAsia="Arial" w:hAnsi="Arial"/>
                <w:sz w:val="15"/>
                <w:szCs w:val="15"/>
                <w:color w:val="0000FF"/>
              </w:rPr>
              <w:t>Certain Relationships and Related Transactions, and Director Independence</w:t>
            </w:r>
          </w:p>
        </w:tc>
        <w:tc>
          <w:tcPr>
            <w:tcW w:w="4400" w:type="dxa"/>
            <w:vAlign w:val="bottom"/>
            <w:gridSpan w:val="5"/>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14.</w:t>
            </w:r>
          </w:p>
        </w:tc>
        <w:tc>
          <w:tcPr>
            <w:tcW w:w="9560" w:type="dxa"/>
            <w:vAlign w:val="bottom"/>
            <w:gridSpan w:val="26"/>
          </w:tcPr>
          <w:p>
            <w:pPr>
              <w:spacing w:after="0"/>
              <w:rPr>
                <w:sz w:val="20"/>
                <w:szCs w:val="20"/>
                <w:color w:val="auto"/>
              </w:rPr>
            </w:pPr>
            <w:r>
              <w:rPr>
                <w:rFonts w:ascii="Arial" w:cs="Arial" w:eastAsia="Arial" w:hAnsi="Arial"/>
                <w:sz w:val="15"/>
                <w:szCs w:val="15"/>
                <w:color w:val="0000FF"/>
              </w:rPr>
              <w:t>Principal Accounting Fees and Services</w:t>
            </w: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315"/>
        </w:trPr>
        <w:tc>
          <w:tcPr>
            <w:tcW w:w="1020" w:type="dxa"/>
            <w:vAlign w:val="bottom"/>
          </w:tcPr>
          <w:p>
            <w:pPr>
              <w:spacing w:after="0"/>
              <w:rPr>
                <w:sz w:val="20"/>
                <w:szCs w:val="20"/>
                <w:color w:val="auto"/>
              </w:rPr>
            </w:pPr>
            <w:r>
              <w:rPr>
                <w:rFonts w:ascii="Arial" w:cs="Arial" w:eastAsia="Arial" w:hAnsi="Arial"/>
                <w:sz w:val="15"/>
                <w:szCs w:val="15"/>
                <w:b w:val="1"/>
                <w:bCs w:val="1"/>
                <w:color w:val="auto"/>
              </w:rPr>
              <w:t>PART IV</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9"/>
        </w:trPr>
        <w:tc>
          <w:tcPr>
            <w:tcW w:w="1020" w:type="dxa"/>
            <w:vAlign w:val="bottom"/>
          </w:tcPr>
          <w:p>
            <w:pPr>
              <w:spacing w:after="0"/>
              <w:rPr>
                <w:sz w:val="20"/>
                <w:szCs w:val="20"/>
                <w:color w:val="auto"/>
              </w:rPr>
            </w:pPr>
            <w:r>
              <w:rPr>
                <w:rFonts w:ascii="Arial" w:cs="Arial" w:eastAsia="Arial" w:hAnsi="Arial"/>
                <w:sz w:val="15"/>
                <w:szCs w:val="15"/>
                <w:color w:val="auto"/>
              </w:rPr>
              <w:t>Item 15.</w:t>
            </w:r>
          </w:p>
        </w:tc>
        <w:tc>
          <w:tcPr>
            <w:tcW w:w="9560" w:type="dxa"/>
            <w:vAlign w:val="bottom"/>
            <w:gridSpan w:val="26"/>
          </w:tcPr>
          <w:p>
            <w:pPr>
              <w:spacing w:after="0"/>
              <w:rPr>
                <w:sz w:val="20"/>
                <w:szCs w:val="20"/>
                <w:color w:val="auto"/>
              </w:rPr>
            </w:pPr>
            <w:r>
              <w:rPr>
                <w:rFonts w:ascii="Arial" w:cs="Arial" w:eastAsia="Arial" w:hAnsi="Arial"/>
                <w:sz w:val="15"/>
                <w:szCs w:val="15"/>
                <w:color w:val="0000FF"/>
              </w:rPr>
              <w:t>Exhibits and Financial Statement Schedules</w:t>
            </w:r>
          </w:p>
        </w:tc>
        <w:tc>
          <w:tcPr>
            <w:tcW w:w="66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72"/>
        </w:trPr>
        <w:tc>
          <w:tcPr>
            <w:tcW w:w="1020" w:type="dxa"/>
            <w:vAlign w:val="bottom"/>
          </w:tcPr>
          <w:p>
            <w:pPr>
              <w:spacing w:after="0"/>
              <w:rPr>
                <w:sz w:val="20"/>
                <w:szCs w:val="20"/>
                <w:color w:val="auto"/>
              </w:rPr>
            </w:pPr>
            <w:r>
              <w:rPr>
                <w:rFonts w:ascii="Arial" w:cs="Arial" w:eastAsia="Arial" w:hAnsi="Arial"/>
                <w:sz w:val="15"/>
                <w:szCs w:val="15"/>
                <w:color w:val="auto"/>
              </w:rPr>
              <w:t>Item 16.</w:t>
            </w:r>
          </w:p>
        </w:tc>
        <w:tc>
          <w:tcPr>
            <w:tcW w:w="2980" w:type="dxa"/>
            <w:vAlign w:val="bottom"/>
            <w:tcBorders>
              <w:top w:val="single" w:sz="8" w:color="0000FF"/>
            </w:tcBorders>
            <w:gridSpan w:val="16"/>
          </w:tcPr>
          <w:p>
            <w:pPr>
              <w:spacing w:after="0"/>
              <w:rPr>
                <w:sz w:val="20"/>
                <w:szCs w:val="20"/>
                <w:color w:val="auto"/>
              </w:rPr>
            </w:pPr>
            <w:r>
              <w:rPr>
                <w:rFonts w:ascii="Arial" w:cs="Arial" w:eastAsia="Arial" w:hAnsi="Arial"/>
                <w:sz w:val="15"/>
                <w:szCs w:val="15"/>
                <w:color w:val="0000FF"/>
              </w:rPr>
              <w:t>Form 10-K Summary</w:t>
            </w:r>
          </w:p>
        </w:tc>
        <w:tc>
          <w:tcPr>
            <w:tcW w:w="6580" w:type="dxa"/>
            <w:vAlign w:val="bottom"/>
            <w:gridSpan w:val="10"/>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72"/>
        </w:trPr>
        <w:tc>
          <w:tcPr>
            <w:tcW w:w="1020" w:type="dxa"/>
            <w:vAlign w:val="bottom"/>
          </w:tcPr>
          <w:p>
            <w:pPr>
              <w:spacing w:after="0"/>
              <w:rPr>
                <w:sz w:val="23"/>
                <w:szCs w:val="23"/>
                <w:color w:val="auto"/>
              </w:rPr>
            </w:pPr>
          </w:p>
        </w:tc>
        <w:tc>
          <w:tcPr>
            <w:tcW w:w="7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5"/>
                <w:szCs w:val="15"/>
                <w:color w:val="0000FF"/>
              </w:rPr>
              <w:t>Signatures</w:t>
            </w:r>
          </w:p>
        </w:tc>
        <w:tc>
          <w:tcPr>
            <w:tcW w:w="20" w:type="dxa"/>
            <w:vAlign w:val="bottom"/>
            <w:tcBorders>
              <w:top w:val="single" w:sz="8" w:color="0000FF"/>
              <w:bottom w:val="single" w:sz="8" w:color="0000EE"/>
            </w:tcBorders>
          </w:tcPr>
          <w:p>
            <w:pPr>
              <w:spacing w:after="0"/>
              <w:rPr>
                <w:sz w:val="23"/>
                <w:szCs w:val="23"/>
                <w:color w:val="auto"/>
              </w:rPr>
            </w:pPr>
          </w:p>
        </w:tc>
        <w:tc>
          <w:tcPr>
            <w:tcW w:w="660" w:type="dxa"/>
            <w:vAlign w:val="bottom"/>
            <w:tcBorders>
              <w:top w:val="single" w:sz="8" w:color="0000FF"/>
            </w:tcBorders>
            <w:gridSpan w:val="7"/>
          </w:tcPr>
          <w:p>
            <w:pPr>
              <w:spacing w:after="0"/>
              <w:rPr>
                <w:sz w:val="23"/>
                <w:szCs w:val="23"/>
                <w:color w:val="auto"/>
              </w:rPr>
            </w:pPr>
          </w:p>
        </w:tc>
        <w:tc>
          <w:tcPr>
            <w:tcW w:w="8140" w:type="dxa"/>
            <w:vAlign w:val="bottom"/>
            <w:gridSpan w:val="15"/>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307"/>
        </w:trPr>
        <w:tc>
          <w:tcPr>
            <w:tcW w:w="1020" w:type="dxa"/>
            <w:vAlign w:val="bottom"/>
          </w:tcPr>
          <w:p>
            <w:pPr>
              <w:spacing w:after="0"/>
              <w:rPr>
                <w:sz w:val="24"/>
                <w:szCs w:val="24"/>
                <w:color w:val="auto"/>
              </w:rPr>
            </w:pPr>
          </w:p>
        </w:tc>
        <w:tc>
          <w:tcPr>
            <w:tcW w:w="9560" w:type="dxa"/>
            <w:vAlign w:val="bottom"/>
            <w:gridSpan w:val="26"/>
          </w:tcPr>
          <w:p>
            <w:pPr>
              <w:spacing w:after="0"/>
              <w:rPr>
                <w:sz w:val="20"/>
                <w:szCs w:val="20"/>
                <w:color w:val="auto"/>
              </w:rPr>
            </w:pPr>
            <w:r>
              <w:rPr>
                <w:rFonts w:ascii="Arial" w:cs="Arial" w:eastAsia="Arial" w:hAnsi="Arial"/>
                <w:sz w:val="15"/>
                <w:szCs w:val="15"/>
                <w:color w:val="auto"/>
              </w:rPr>
              <w:t>Certifications</w:t>
            </w:r>
          </w:p>
        </w:tc>
        <w:tc>
          <w:tcPr>
            <w:tcW w:w="660" w:type="dxa"/>
            <w:vAlign w:val="bottom"/>
          </w:tcPr>
          <w:p>
            <w:pPr>
              <w:spacing w:after="0"/>
              <w:rPr>
                <w:sz w:val="24"/>
                <w:szCs w:val="24"/>
                <w:color w:val="auto"/>
              </w:rPr>
            </w:pPr>
          </w:p>
        </w:tc>
      </w:tr>
      <w:tr>
        <w:trPr>
          <w:trHeight w:val="584"/>
        </w:trPr>
        <w:tc>
          <w:tcPr>
            <w:tcW w:w="1020" w:type="dxa"/>
            <w:vAlign w:val="bottom"/>
          </w:tcPr>
          <w:p>
            <w:pPr>
              <w:spacing w:after="0"/>
              <w:rPr>
                <w:sz w:val="24"/>
                <w:szCs w:val="24"/>
                <w:color w:val="auto"/>
              </w:rPr>
            </w:pPr>
          </w:p>
        </w:tc>
        <w:tc>
          <w:tcPr>
            <w:tcW w:w="5160" w:type="dxa"/>
            <w:vAlign w:val="bottom"/>
            <w:gridSpan w:val="21"/>
          </w:tcPr>
          <w:p>
            <w:pPr>
              <w:jc w:val="center"/>
              <w:ind w:left="3964"/>
              <w:spacing w:after="0"/>
              <w:rPr>
                <w:sz w:val="20"/>
                <w:szCs w:val="20"/>
                <w:color w:val="auto"/>
              </w:rPr>
            </w:pPr>
            <w:r>
              <w:rPr>
                <w:rFonts w:ascii="Arial" w:cs="Arial" w:eastAsia="Arial" w:hAnsi="Arial"/>
                <w:sz w:val="15"/>
                <w:szCs w:val="15"/>
                <w:color w:val="auto"/>
                <w:w w:val="95"/>
              </w:rPr>
              <w:t>2</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06"/>
        </w:trPr>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u w:val="single" w:color="auto"/>
          <w:color w:val="auto"/>
        </w:rPr>
        <w:t>PART I</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 Business.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All references in this report to “Registrant,” “Company,” “SLB,” “we” or “our” are to SLB N.V. (SLB Limited) and its consolidated subsidiaries.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is a global technology company driving energy innovation for a balanced planet. With a global presence in more than 100 countries and employees representing almost twice as many nationalities, we work each day on innovating energy technology, delivering digital at scale, decarbonizing industries, and developing and scaling new energy systems that accelerate the energy transition.</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world faces the challenge of providing secure and affordable energy to meet growing demand, while rapidly decarbonizing for a sustainable future. With nearly a century of market and technology leadership, SLB is well positioned and committed to being a leader in providing solutions to address this trilemma.</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is primarily organized under four Divisions that combine and integrate SLB’s technologies, enhancing our ability to support the emerging long-term growth opportunities in each of these market segments. The four Divisions are:</w:t>
      </w:r>
    </w:p>
    <w:p>
      <w:pPr>
        <w:spacing w:after="0" w:line="47" w:lineRule="exact"/>
        <w:rPr>
          <w:sz w:val="20"/>
          <w:szCs w:val="20"/>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Digital</w:t>
      </w:r>
    </w:p>
    <w:p>
      <w:pPr>
        <w:spacing w:after="0" w:line="26"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Reservoir Performance</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Well Construction</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Production Systems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i w:val="1"/>
          <w:iCs w:val="1"/>
          <w:color w:val="auto"/>
        </w:rPr>
        <w:t xml:space="preserve">Digital </w:t>
      </w:r>
      <w:r>
        <w:rPr>
          <w:rFonts w:ascii="Arial" w:cs="Arial" w:eastAsia="Arial" w:hAnsi="Arial"/>
          <w:sz w:val="15"/>
          <w:szCs w:val="15"/>
          <w:color w:val="auto"/>
        </w:rPr>
        <w:t>– Comprised of SLB’s industry-leading digital solutions and data products that span the energy value chain from subsurface characterization through field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and hydrocarbon production to carbon management and the integration of adjacent energy systems. Revenue is generated from four key solutions — Platforms &amp; Applications, Digital Operations, Digital Exploration and Professional Services.</w:t>
      </w:r>
    </w:p>
    <w:p>
      <w:pPr>
        <w:spacing w:after="0" w:line="2" w:lineRule="exact"/>
        <w:rPr>
          <w:sz w:val="20"/>
          <w:szCs w:val="20"/>
          <w:color w:val="auto"/>
        </w:rPr>
      </w:pPr>
    </w:p>
    <w:p>
      <w:pPr>
        <w:jc w:val="both"/>
        <w:ind w:left="1120" w:hanging="608"/>
        <w:spacing w:after="0" w:line="247" w:lineRule="auto"/>
        <w:tabs>
          <w:tab w:leader="none" w:pos="1120" w:val="left"/>
        </w:tabs>
        <w:numPr>
          <w:ilvl w:val="0"/>
          <w:numId w:val="4"/>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Platforms &amp; Applications: </w:t>
      </w:r>
      <w:r>
        <w:rPr>
          <w:rFonts w:ascii="Arial" w:cs="Arial" w:eastAsia="Arial" w:hAnsi="Arial"/>
          <w:sz w:val="15"/>
          <w:szCs w:val="15"/>
          <w:color w:val="231F20"/>
        </w:rPr>
        <w:t>Includes SLB’s cloud technologies such as the Delfi™ and Lumi™ platforms, along with a suite of specialized, domain-focused applications such as Petrel™ and Techlog™ offered as SaaS subscription or perpetual licenses. These platforms and applications automate complex models to simulate the impact of reservoir development plans and aid in the planning of key operations such as drilling, completion, and production designs. Additionally, they unlock data and utilize artificial intelligence (“AI”) and machine learning to reduce cycle time and improve efficiency of workflows to allow customers to make better, faster decisions to improve their project economics and reservoir performance.</w:t>
      </w:r>
    </w:p>
    <w:p>
      <w:pPr>
        <w:jc w:val="both"/>
        <w:ind w:left="1120" w:hanging="608"/>
        <w:spacing w:after="0" w:line="247" w:lineRule="auto"/>
        <w:tabs>
          <w:tab w:leader="none" w:pos="1120" w:val="left"/>
        </w:tabs>
        <w:numPr>
          <w:ilvl w:val="0"/>
          <w:numId w:val="4"/>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Digital Operations: </w:t>
      </w:r>
      <w:r>
        <w:rPr>
          <w:rFonts w:ascii="Arial" w:cs="Arial" w:eastAsia="Arial" w:hAnsi="Arial"/>
          <w:sz w:val="15"/>
          <w:szCs w:val="15"/>
          <w:color w:val="231F20"/>
        </w:rPr>
        <w:t>Combines the strengths of SLB’s oilfield services with advanced digital technologies to deliver more reliable, efficient, and</w:t>
      </w:r>
      <w:r>
        <w:rPr>
          <w:rFonts w:ascii="Arial" w:cs="Arial" w:eastAsia="Arial" w:hAnsi="Arial"/>
          <w:sz w:val="15"/>
          <w:szCs w:val="15"/>
          <w:i w:val="1"/>
          <w:iCs w:val="1"/>
          <w:color w:val="231F20"/>
        </w:rPr>
        <w:t xml:space="preserve"> </w:t>
      </w:r>
      <w:r>
        <w:rPr>
          <w:rFonts w:ascii="Arial" w:cs="Arial" w:eastAsia="Arial" w:hAnsi="Arial"/>
          <w:sz w:val="15"/>
          <w:szCs w:val="15"/>
          <w:color w:val="231F20"/>
        </w:rPr>
        <w:t>autonomous field operations. By integrating connected solutions with Performance Live™ digital service delivery centers, customers gain real-time monitoring, remote decision making and automated execution across their workflows from autonomous drilling to automated well intervention, all while reducing costs and improving project economics. Revenue is generated from the same customer base as SLB’s Core divisions of Well Construction, Reservoir Performance, and Production Systems. To incentivize the Core divisions and Digital to develop and promote digital operations, the resulting revenue is recognized in both the respective Core division as well as in the Digital Division. This effect is eliminated in consolidation.</w:t>
      </w:r>
    </w:p>
    <w:p>
      <w:pPr>
        <w:jc w:val="both"/>
        <w:ind w:left="1120" w:hanging="608"/>
        <w:spacing w:after="0" w:line="246" w:lineRule="auto"/>
        <w:tabs>
          <w:tab w:leader="none" w:pos="1120" w:val="left"/>
        </w:tabs>
        <w:numPr>
          <w:ilvl w:val="0"/>
          <w:numId w:val="4"/>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Digital Exploration: </w:t>
      </w:r>
      <w:r>
        <w:rPr>
          <w:rFonts w:ascii="Arial" w:cs="Arial" w:eastAsia="Arial" w:hAnsi="Arial"/>
          <w:sz w:val="15"/>
          <w:szCs w:val="15"/>
          <w:color w:val="231F20"/>
        </w:rPr>
        <w:t>Represents SLB’s exploration data business. The exploration data library is a differentiated asset library of seismic surveys and</w:t>
      </w:r>
      <w:r>
        <w:rPr>
          <w:rFonts w:ascii="Arial" w:cs="Arial" w:eastAsia="Arial" w:hAnsi="Arial"/>
          <w:sz w:val="15"/>
          <w:szCs w:val="15"/>
          <w:i w:val="1"/>
          <w:iCs w:val="1"/>
          <w:color w:val="231F20"/>
        </w:rPr>
        <w:t xml:space="preserve"> </w:t>
      </w:r>
      <w:r>
        <w:rPr>
          <w:rFonts w:ascii="Arial" w:cs="Arial" w:eastAsia="Arial" w:hAnsi="Arial"/>
          <w:sz w:val="15"/>
          <w:szCs w:val="15"/>
          <w:color w:val="231F20"/>
        </w:rPr>
        <w:t>other subsurface data that customers rely on for better exploration and development decisions. These licensed datasets also support carbon storage design and monitoring. The library covers key exploration and producing basins worldwide and datasets are refreshed and reprocessed to benefit from the latest imaging algorithms and AI technologies, enabled by high performance cloud computing.</w:t>
      </w:r>
    </w:p>
    <w:p>
      <w:pPr>
        <w:spacing w:after="0" w:line="2" w:lineRule="exact"/>
        <w:rPr>
          <w:rFonts w:ascii="Times New Roman" w:cs="Times New Roman" w:eastAsia="Times New Roman" w:hAnsi="Times New Roman"/>
          <w:sz w:val="15"/>
          <w:szCs w:val="15"/>
          <w:color w:val="231F20"/>
        </w:rPr>
      </w:pPr>
    </w:p>
    <w:p>
      <w:pPr>
        <w:jc w:val="both"/>
        <w:ind w:left="1120" w:hanging="608"/>
        <w:spacing w:after="0" w:line="256" w:lineRule="auto"/>
        <w:tabs>
          <w:tab w:leader="none" w:pos="1120" w:val="left"/>
        </w:tabs>
        <w:numPr>
          <w:ilvl w:val="0"/>
          <w:numId w:val="4"/>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Professional Services: </w:t>
      </w:r>
      <w:r>
        <w:rPr>
          <w:rFonts w:ascii="Arial" w:cs="Arial" w:eastAsia="Arial" w:hAnsi="Arial"/>
          <w:sz w:val="15"/>
          <w:szCs w:val="15"/>
          <w:color w:val="231F20"/>
        </w:rPr>
        <w:t>Includes consulting and other services required to support customers’ digital transformations. These services include transition</w:t>
      </w:r>
      <w:r>
        <w:rPr>
          <w:rFonts w:ascii="Arial" w:cs="Arial" w:eastAsia="Arial" w:hAnsi="Arial"/>
          <w:sz w:val="15"/>
          <w:szCs w:val="15"/>
          <w:i w:val="1"/>
          <w:iCs w:val="1"/>
          <w:color w:val="231F20"/>
        </w:rPr>
        <w:t xml:space="preserve"> </w:t>
      </w:r>
      <w:r>
        <w:rPr>
          <w:rFonts w:ascii="Arial" w:cs="Arial" w:eastAsia="Arial" w:hAnsi="Arial"/>
          <w:sz w:val="15"/>
          <w:szCs w:val="15"/>
          <w:color w:val="231F20"/>
        </w:rPr>
        <w:t>support from on-prem to cloud-based digital solutions, data clean-up and migration, workflow automation — including deployment of workflow solutions built within SLB’s global network of Innovation Factori workspaces — and training to further enable customers’ digital transformations.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 xml:space="preserve">Reservoir Performance </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231F20"/>
        </w:rPr>
        <w:t>Consists of reservoir-centric technologies and services that are critical to optimizing reservoir productivity and performance. Reservoir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231F20"/>
        </w:rPr>
        <w:t>Performance develops and deploys innovative technologies and services to evaluate, intervene, and stimulate reservoirs providing customers with greater insights into their assets and maximizing their return on investment.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primary offerings comprising this Division are:</w:t>
      </w:r>
    </w:p>
    <w:p>
      <w:pPr>
        <w:spacing w:after="0" w:line="19" w:lineRule="exact"/>
        <w:rPr>
          <w:sz w:val="20"/>
          <w:szCs w:val="20"/>
          <w:color w:val="auto"/>
        </w:rPr>
      </w:pPr>
    </w:p>
    <w:p>
      <w:pPr>
        <w:ind w:left="1020" w:hanging="509"/>
        <w:spacing w:after="0" w:line="246" w:lineRule="auto"/>
        <w:tabs>
          <w:tab w:leader="none" w:pos="1020" w:val="left"/>
        </w:tabs>
        <w:numPr>
          <w:ilvl w:val="0"/>
          <w:numId w:val="5"/>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Evaluation: </w:t>
      </w:r>
      <w:r>
        <w:rPr>
          <w:rFonts w:ascii="Arial" w:cs="Arial" w:eastAsia="Arial" w:hAnsi="Arial"/>
          <w:sz w:val="15"/>
          <w:szCs w:val="15"/>
          <w:color w:val="231F20"/>
        </w:rPr>
        <w:t>Provides the measurement, interpretation, and insights necessary to understand the subsurface geology and fluids through wireline logging,</w:t>
      </w:r>
      <w:r>
        <w:rPr>
          <w:rFonts w:ascii="Arial" w:cs="Arial" w:eastAsia="Arial" w:hAnsi="Arial"/>
          <w:sz w:val="15"/>
          <w:szCs w:val="15"/>
          <w:i w:val="1"/>
          <w:iCs w:val="1"/>
          <w:color w:val="231F20"/>
        </w:rPr>
        <w:t xml:space="preserve"> </w:t>
      </w:r>
      <w:r>
        <w:rPr>
          <w:rFonts w:ascii="Arial" w:cs="Arial" w:eastAsia="Arial" w:hAnsi="Arial"/>
          <w:sz w:val="15"/>
          <w:szCs w:val="15"/>
          <w:color w:val="231F20"/>
        </w:rPr>
        <w:t>downhole testing, and rock and fluid analysis services.</w:t>
      </w:r>
    </w:p>
    <w:p>
      <w:pPr>
        <w:spacing w:after="0" w:line="1" w:lineRule="exact"/>
        <w:rPr>
          <w:rFonts w:ascii="Times New Roman" w:cs="Times New Roman" w:eastAsia="Times New Roman" w:hAnsi="Times New Roman"/>
          <w:sz w:val="15"/>
          <w:szCs w:val="15"/>
          <w:color w:val="231F20"/>
        </w:rPr>
      </w:pPr>
    </w:p>
    <w:p>
      <w:pPr>
        <w:ind w:left="1020" w:hanging="509"/>
        <w:spacing w:after="0"/>
        <w:tabs>
          <w:tab w:leader="none" w:pos="1020" w:val="left"/>
        </w:tabs>
        <w:numPr>
          <w:ilvl w:val="0"/>
          <w:numId w:val="5"/>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Stimulation</w:t>
      </w:r>
      <w:r>
        <w:rPr>
          <w:rFonts w:ascii="Arial" w:cs="Arial" w:eastAsia="Arial" w:hAnsi="Arial"/>
          <w:sz w:val="15"/>
          <w:szCs w:val="15"/>
          <w:color w:val="231F20"/>
        </w:rPr>
        <w:t>: Provides services to restore or enhance well productivity through hydraulic fracturing, matrix stimulation, and water treatment.</w:t>
      </w:r>
    </w:p>
    <w:p>
      <w:pPr>
        <w:spacing w:after="0" w:line="12" w:lineRule="exact"/>
        <w:rPr>
          <w:rFonts w:ascii="Times New Roman" w:cs="Times New Roman" w:eastAsia="Times New Roman" w:hAnsi="Times New Roman"/>
          <w:sz w:val="15"/>
          <w:szCs w:val="15"/>
          <w:color w:val="231F20"/>
        </w:rPr>
      </w:pPr>
    </w:p>
    <w:p>
      <w:pPr>
        <w:ind w:left="1020" w:right="340" w:hanging="509"/>
        <w:spacing w:after="0" w:line="271" w:lineRule="auto"/>
        <w:tabs>
          <w:tab w:leader="none" w:pos="1020" w:val="left"/>
        </w:tabs>
        <w:numPr>
          <w:ilvl w:val="0"/>
          <w:numId w:val="5"/>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Intervention</w:t>
      </w:r>
      <w:r>
        <w:rPr>
          <w:rFonts w:ascii="Arial" w:cs="Arial" w:eastAsia="Arial" w:hAnsi="Arial"/>
          <w:sz w:val="15"/>
          <w:szCs w:val="15"/>
          <w:color w:val="231F20"/>
        </w:rPr>
        <w:t>: Provides a comprehensive approach to oil and gas operators to increase their intervention success rates and maximize recovery from</w:t>
      </w:r>
      <w:r>
        <w:rPr>
          <w:rFonts w:ascii="Arial" w:cs="Arial" w:eastAsia="Arial" w:hAnsi="Arial"/>
          <w:sz w:val="15"/>
          <w:szCs w:val="15"/>
          <w:i w:val="1"/>
          <w:iCs w:val="1"/>
          <w:color w:val="231F20"/>
        </w:rPr>
        <w:t xml:space="preserve"> </w:t>
      </w:r>
      <w:r>
        <w:rPr>
          <w:rFonts w:ascii="Arial" w:cs="Arial" w:eastAsia="Arial" w:hAnsi="Arial"/>
          <w:sz w:val="15"/>
          <w:szCs w:val="15"/>
          <w:color w:val="231F20"/>
        </w:rPr>
        <w:t>brownfields through cased hole wireline and perforations, coiled-tubing interventions, slickline, and reservoir monitoring.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p>
      <w:pPr>
        <w:spacing w:after="0" w:line="285" w:lineRule="auto"/>
        <w:rPr>
          <w:sz w:val="20"/>
          <w:szCs w:val="20"/>
          <w:color w:val="auto"/>
        </w:rPr>
      </w:pPr>
      <w:r>
        <w:rPr>
          <w:rFonts w:ascii="Arial" w:cs="Arial" w:eastAsia="Arial" w:hAnsi="Arial"/>
          <w:sz w:val="15"/>
          <w:szCs w:val="15"/>
          <w:b w:val="1"/>
          <w:bCs w:val="1"/>
          <w:i w:val="1"/>
          <w:iCs w:val="1"/>
          <w:color w:val="auto"/>
        </w:rPr>
        <w:t xml:space="preserve">Well Construction </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231F20"/>
        </w:rPr>
        <w:t>Combines the full portfolio of products and services to optimize well placement and performance, maximize drilling efficiency, and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231F20"/>
        </w:rPr>
        <w:t>wellbore assurance. Well Construction provides operators and drilling rig manufacturers with services and products related to the design and construction of a well.</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primary offerings comprising this Division are:</w:t>
      </w:r>
    </w:p>
    <w:p>
      <w:pPr>
        <w:spacing w:after="0" w:line="19" w:lineRule="exact"/>
        <w:rPr>
          <w:sz w:val="20"/>
          <w:szCs w:val="20"/>
          <w:color w:val="auto"/>
        </w:rPr>
      </w:pPr>
    </w:p>
    <w:p>
      <w:pPr>
        <w:ind w:left="1020" w:hanging="509"/>
        <w:spacing w:after="0" w:line="246" w:lineRule="auto"/>
        <w:tabs>
          <w:tab w:leader="none" w:pos="1020" w:val="left"/>
        </w:tabs>
        <w:numPr>
          <w:ilvl w:val="0"/>
          <w:numId w:val="6"/>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Measurements: </w:t>
      </w:r>
      <w:r>
        <w:rPr>
          <w:rFonts w:ascii="Arial" w:cs="Arial" w:eastAsia="Arial" w:hAnsi="Arial"/>
          <w:sz w:val="15"/>
          <w:szCs w:val="15"/>
          <w:color w:val="231F20"/>
        </w:rPr>
        <w:t>Provides services and associated engineering support for mud logging for geological and drilling surveillance, directional drilling,</w:t>
      </w:r>
      <w:r>
        <w:rPr>
          <w:rFonts w:ascii="Arial" w:cs="Arial" w:eastAsia="Arial" w:hAnsi="Arial"/>
          <w:sz w:val="15"/>
          <w:szCs w:val="15"/>
          <w:i w:val="1"/>
          <w:iCs w:val="1"/>
          <w:color w:val="231F20"/>
        </w:rPr>
        <w:t xml:space="preserve"> </w:t>
      </w:r>
      <w:r>
        <w:rPr>
          <w:rFonts w:ascii="Arial" w:cs="Arial" w:eastAsia="Arial" w:hAnsi="Arial"/>
          <w:sz w:val="15"/>
          <w:szCs w:val="15"/>
          <w:color w:val="231F20"/>
        </w:rPr>
        <w:t>measurement-while-drilling, and logging-while-drilling services for all well profiles.</w:t>
      </w:r>
    </w:p>
    <w:p>
      <w:pPr>
        <w:spacing w:after="0" w:line="1" w:lineRule="exact"/>
        <w:rPr>
          <w:rFonts w:ascii="Times New Roman" w:cs="Times New Roman" w:eastAsia="Times New Roman" w:hAnsi="Times New Roman"/>
          <w:sz w:val="15"/>
          <w:szCs w:val="15"/>
          <w:color w:val="231F20"/>
        </w:rPr>
      </w:pPr>
    </w:p>
    <w:p>
      <w:pPr>
        <w:jc w:val="both"/>
        <w:ind w:left="1020" w:hanging="509"/>
        <w:spacing w:after="0" w:line="246" w:lineRule="auto"/>
        <w:tabs>
          <w:tab w:leader="none" w:pos="1020" w:val="left"/>
        </w:tabs>
        <w:numPr>
          <w:ilvl w:val="0"/>
          <w:numId w:val="6"/>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Drilling Fluids: </w:t>
      </w:r>
      <w:r>
        <w:rPr>
          <w:rFonts w:ascii="Arial" w:cs="Arial" w:eastAsia="Arial" w:hAnsi="Arial"/>
          <w:sz w:val="15"/>
          <w:szCs w:val="15"/>
          <w:color w:val="231F20"/>
        </w:rPr>
        <w:t>Supplies individually engineered drilling fluid systems that improve drilling performance and maintain well control and wellbore stability</w:t>
      </w:r>
      <w:r>
        <w:rPr>
          <w:rFonts w:ascii="Arial" w:cs="Arial" w:eastAsia="Arial" w:hAnsi="Arial"/>
          <w:sz w:val="15"/>
          <w:szCs w:val="15"/>
          <w:i w:val="1"/>
          <w:iCs w:val="1"/>
          <w:color w:val="231F20"/>
        </w:rPr>
        <w:t xml:space="preserve"> </w:t>
      </w:r>
      <w:r>
        <w:rPr>
          <w:rFonts w:ascii="Arial" w:cs="Arial" w:eastAsia="Arial" w:hAnsi="Arial"/>
          <w:sz w:val="15"/>
          <w:szCs w:val="15"/>
          <w:color w:val="231F20"/>
        </w:rPr>
        <w:t>throughout drilling operations as well as products and services that secure and protect well casings while isolating fluid zones and maximizing wellbore activity.</w:t>
      </w:r>
    </w:p>
    <w:p>
      <w:pPr>
        <w:spacing w:after="0" w:line="1" w:lineRule="exact"/>
        <w:rPr>
          <w:rFonts w:ascii="Times New Roman" w:cs="Times New Roman" w:eastAsia="Times New Roman" w:hAnsi="Times New Roman"/>
          <w:sz w:val="15"/>
          <w:szCs w:val="15"/>
          <w:color w:val="231F20"/>
        </w:rPr>
      </w:pPr>
    </w:p>
    <w:p>
      <w:pPr>
        <w:ind w:left="1020" w:hanging="509"/>
        <w:spacing w:after="0" w:line="246" w:lineRule="auto"/>
        <w:tabs>
          <w:tab w:leader="none" w:pos="1020" w:val="left"/>
        </w:tabs>
        <w:numPr>
          <w:ilvl w:val="0"/>
          <w:numId w:val="6"/>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Equipment</w:t>
      </w:r>
      <w:r>
        <w:rPr>
          <w:rFonts w:ascii="Arial" w:cs="Arial" w:eastAsia="Arial" w:hAnsi="Arial"/>
          <w:sz w:val="15"/>
          <w:szCs w:val="15"/>
          <w:color w:val="231F20"/>
        </w:rPr>
        <w:t>: Provides drilling equipment, including pressure control equipment and rotary drilling equipment, and services for drilling contractors,</w:t>
      </w:r>
      <w:r>
        <w:rPr>
          <w:rFonts w:ascii="Arial" w:cs="Arial" w:eastAsia="Arial" w:hAnsi="Arial"/>
          <w:sz w:val="15"/>
          <w:szCs w:val="15"/>
          <w:i w:val="1"/>
          <w:iCs w:val="1"/>
          <w:color w:val="231F20"/>
        </w:rPr>
        <w:t xml:space="preserve"> </w:t>
      </w:r>
      <w:r>
        <w:rPr>
          <w:rFonts w:ascii="Arial" w:cs="Arial" w:eastAsia="Arial" w:hAnsi="Arial"/>
          <w:sz w:val="15"/>
          <w:szCs w:val="15"/>
          <w:color w:val="231F20"/>
        </w:rPr>
        <w:t>operators, rental tool companies, and shipyards as well as land drilling rigs and related services.</w:t>
      </w:r>
    </w:p>
    <w:p>
      <w:pPr>
        <w:spacing w:after="0" w:line="1" w:lineRule="exact"/>
        <w:rPr>
          <w:rFonts w:ascii="Times New Roman" w:cs="Times New Roman" w:eastAsia="Times New Roman" w:hAnsi="Times New Roman"/>
          <w:sz w:val="15"/>
          <w:szCs w:val="15"/>
          <w:color w:val="231F20"/>
        </w:rPr>
      </w:pPr>
    </w:p>
    <w:p>
      <w:pPr>
        <w:ind w:left="1020" w:hanging="509"/>
        <w:spacing w:after="0" w:line="246" w:lineRule="auto"/>
        <w:tabs>
          <w:tab w:leader="none" w:pos="1020" w:val="left"/>
        </w:tabs>
        <w:numPr>
          <w:ilvl w:val="0"/>
          <w:numId w:val="6"/>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Drilling: </w:t>
      </w:r>
      <w:r>
        <w:rPr>
          <w:rFonts w:ascii="Arial" w:cs="Arial" w:eastAsia="Arial" w:hAnsi="Arial"/>
          <w:sz w:val="15"/>
          <w:szCs w:val="15"/>
          <w:color w:val="231F20"/>
        </w:rPr>
        <w:t>Designs, manufactures, and markets roller cone and fixed cutter drill bits for all drilling environments, as well as a wide variety of bottomhole</w:t>
      </w:r>
      <w:r>
        <w:rPr>
          <w:rFonts w:ascii="Arial" w:cs="Arial" w:eastAsia="Arial" w:hAnsi="Arial"/>
          <w:sz w:val="15"/>
          <w:szCs w:val="15"/>
          <w:i w:val="1"/>
          <w:iCs w:val="1"/>
          <w:color w:val="231F20"/>
        </w:rPr>
        <w:t xml:space="preserve"> </w:t>
      </w:r>
      <w:r>
        <w:rPr>
          <w:rFonts w:ascii="Arial" w:cs="Arial" w:eastAsia="Arial" w:hAnsi="Arial"/>
          <w:sz w:val="15"/>
          <w:szCs w:val="15"/>
          <w:color w:val="231F20"/>
        </w:rPr>
        <w:t>assembly and borehole enlargement technologies for drilling operations.</w:t>
      </w:r>
    </w:p>
    <w:p>
      <w:pPr>
        <w:spacing w:after="0" w:line="1" w:lineRule="exact"/>
        <w:rPr>
          <w:rFonts w:ascii="Times New Roman" w:cs="Times New Roman" w:eastAsia="Times New Roman" w:hAnsi="Times New Roman"/>
          <w:sz w:val="15"/>
          <w:szCs w:val="15"/>
          <w:color w:val="231F20"/>
        </w:rPr>
      </w:pPr>
    </w:p>
    <w:p>
      <w:pPr>
        <w:ind w:left="1020" w:hanging="509"/>
        <w:spacing w:after="0" w:line="264" w:lineRule="auto"/>
        <w:tabs>
          <w:tab w:leader="none" w:pos="1020" w:val="left"/>
        </w:tabs>
        <w:numPr>
          <w:ilvl w:val="0"/>
          <w:numId w:val="6"/>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Integrated Well Construction: </w:t>
      </w:r>
      <w:r>
        <w:rPr>
          <w:rFonts w:ascii="Arial" w:cs="Arial" w:eastAsia="Arial" w:hAnsi="Arial"/>
          <w:sz w:val="15"/>
          <w:szCs w:val="15"/>
          <w:color w:val="231F20"/>
        </w:rPr>
        <w:t>Provides integrated solutions to construct or change the architecture of wells, including well planning, well drilling</w:t>
      </w:r>
      <w:r>
        <w:rPr>
          <w:rFonts w:ascii="Arial" w:cs="Arial" w:eastAsia="Arial" w:hAnsi="Arial"/>
          <w:sz w:val="15"/>
          <w:szCs w:val="15"/>
          <w:i w:val="1"/>
          <w:iCs w:val="1"/>
          <w:color w:val="231F20"/>
        </w:rPr>
        <w:t xml:space="preserve"> </w:t>
      </w:r>
      <w:r>
        <w:rPr>
          <w:rFonts w:ascii="Arial" w:cs="Arial" w:eastAsia="Arial" w:hAnsi="Arial"/>
          <w:sz w:val="15"/>
          <w:szCs w:val="15"/>
          <w:color w:val="231F20"/>
        </w:rPr>
        <w:t>(including autonomous drilling), engineering, supervision, logistics, procurement, contracting of third parties, and drilling rig management.</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 xml:space="preserve">Production Systems </w:t>
      </w:r>
      <w:r>
        <w:rPr>
          <w:rFonts w:ascii="Arial" w:cs="Arial" w:eastAsia="Arial" w:hAnsi="Arial"/>
          <w:sz w:val="15"/>
          <w:szCs w:val="15"/>
          <w:color w:val="auto"/>
        </w:rPr>
        <w:t>– Develops technologies and provides expertise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231F20"/>
        </w:rPr>
        <w:t>enhances production and recovery of oil and gas assets from subsurface reservoirs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231F20"/>
        </w:rPr>
        <w:t>surface, into pipelines, and to refineries. Production Systems provides a comprehensive portfolio of equipment and services across the entire production system that optimizes performance.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primary offerings comprising this Division are:</w:t>
      </w:r>
    </w:p>
    <w:p>
      <w:pPr>
        <w:spacing w:after="0" w:line="19" w:lineRule="exact"/>
        <w:rPr>
          <w:sz w:val="20"/>
          <w:szCs w:val="20"/>
          <w:color w:val="auto"/>
        </w:rPr>
      </w:pPr>
    </w:p>
    <w:p>
      <w:pPr>
        <w:jc w:val="both"/>
        <w:ind w:left="1020" w:hanging="509"/>
        <w:spacing w:after="0" w:line="246" w:lineRule="auto"/>
        <w:tabs>
          <w:tab w:leader="none" w:pos="1020" w:val="left"/>
        </w:tabs>
        <w:numPr>
          <w:ilvl w:val="0"/>
          <w:numId w:val="7"/>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Subsea Production Systems: </w:t>
      </w:r>
      <w:r>
        <w:rPr>
          <w:rFonts w:ascii="Arial" w:cs="Arial" w:eastAsia="Arial" w:hAnsi="Arial"/>
          <w:sz w:val="15"/>
          <w:szCs w:val="15"/>
          <w:color w:val="231F20"/>
        </w:rPr>
        <w:t>Through its SLB OneSubsea™ joint venture, offers integrated solutions, products, systems, and services for the subsea</w:t>
      </w:r>
      <w:r>
        <w:rPr>
          <w:rFonts w:ascii="Arial" w:cs="Arial" w:eastAsia="Arial" w:hAnsi="Arial"/>
          <w:sz w:val="15"/>
          <w:szCs w:val="15"/>
          <w:i w:val="1"/>
          <w:iCs w:val="1"/>
          <w:color w:val="231F20"/>
        </w:rPr>
        <w:t xml:space="preserve"> </w:t>
      </w:r>
      <w:r>
        <w:rPr>
          <w:rFonts w:ascii="Arial" w:cs="Arial" w:eastAsia="Arial" w:hAnsi="Arial"/>
          <w:sz w:val="15"/>
          <w:szCs w:val="15"/>
          <w:color w:val="231F20"/>
        </w:rPr>
        <w:t>market, including wellheads, subsea trees, manifolds, flowline connectors, control systems to maximize reservoir recovery and extending field life. SLB owns 70% of the joint venture, while Aker Solutions ASA owns 20% and Subsea7 S.A. owns 10%.</w:t>
      </w:r>
    </w:p>
    <w:p>
      <w:pPr>
        <w:spacing w:after="0" w:line="1" w:lineRule="exact"/>
        <w:rPr>
          <w:rFonts w:ascii="Times New Roman" w:cs="Times New Roman" w:eastAsia="Times New Roman" w:hAnsi="Times New Roman"/>
          <w:sz w:val="15"/>
          <w:szCs w:val="15"/>
          <w:color w:val="231F20"/>
        </w:rPr>
      </w:pPr>
    </w:p>
    <w:p>
      <w:pPr>
        <w:ind w:left="1020" w:hanging="509"/>
        <w:spacing w:after="0" w:line="246" w:lineRule="auto"/>
        <w:tabs>
          <w:tab w:leader="none" w:pos="1020" w:val="left"/>
        </w:tabs>
        <w:numPr>
          <w:ilvl w:val="0"/>
          <w:numId w:val="7"/>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Artificial Lift: </w:t>
      </w:r>
      <w:r>
        <w:rPr>
          <w:rFonts w:ascii="Arial" w:cs="Arial" w:eastAsia="Arial" w:hAnsi="Arial"/>
          <w:sz w:val="15"/>
          <w:szCs w:val="15"/>
          <w:color w:val="231F20"/>
        </w:rPr>
        <w:t>Provides lifting solutions using electrical submersible pumps, gas lift equipment, progressing cavity pumps, rod lift pumps, plunger lift</w:t>
      </w:r>
      <w:r>
        <w:rPr>
          <w:rFonts w:ascii="Arial" w:cs="Arial" w:eastAsia="Arial" w:hAnsi="Arial"/>
          <w:sz w:val="15"/>
          <w:szCs w:val="15"/>
          <w:i w:val="1"/>
          <w:iCs w:val="1"/>
          <w:color w:val="231F20"/>
        </w:rPr>
        <w:t xml:space="preserve"> </w:t>
      </w:r>
      <w:r>
        <w:rPr>
          <w:rFonts w:ascii="Arial" w:cs="Arial" w:eastAsia="Arial" w:hAnsi="Arial"/>
          <w:sz w:val="15"/>
          <w:szCs w:val="15"/>
          <w:color w:val="231F20"/>
        </w:rPr>
        <w:t>pumps, jet lift pumps, and surface horizontal pumping systems.</w:t>
      </w:r>
    </w:p>
    <w:p>
      <w:pPr>
        <w:spacing w:after="0" w:line="1" w:lineRule="exact"/>
        <w:rPr>
          <w:rFonts w:ascii="Times New Roman" w:cs="Times New Roman" w:eastAsia="Times New Roman" w:hAnsi="Times New Roman"/>
          <w:sz w:val="15"/>
          <w:szCs w:val="15"/>
          <w:color w:val="231F20"/>
        </w:rPr>
      </w:pPr>
    </w:p>
    <w:p>
      <w:pPr>
        <w:ind w:left="1020" w:hanging="509"/>
        <w:spacing w:after="0" w:line="246" w:lineRule="auto"/>
        <w:tabs>
          <w:tab w:leader="none" w:pos="1020" w:val="left"/>
        </w:tabs>
        <w:numPr>
          <w:ilvl w:val="0"/>
          <w:numId w:val="7"/>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Completions: </w:t>
      </w:r>
      <w:r>
        <w:rPr>
          <w:rFonts w:ascii="Arial" w:cs="Arial" w:eastAsia="Arial" w:hAnsi="Arial"/>
          <w:sz w:val="15"/>
          <w:szCs w:val="15"/>
          <w:color w:val="231F20"/>
        </w:rPr>
        <w:t>Supplies well completion services and equipment that include packers, safety valves, and sand control technology, as well as a range of</w:t>
      </w:r>
      <w:r>
        <w:rPr>
          <w:rFonts w:ascii="Arial" w:cs="Arial" w:eastAsia="Arial" w:hAnsi="Arial"/>
          <w:sz w:val="15"/>
          <w:szCs w:val="15"/>
          <w:i w:val="1"/>
          <w:iCs w:val="1"/>
          <w:color w:val="231F20"/>
        </w:rPr>
        <w:t xml:space="preserve"> </w:t>
      </w:r>
      <w:r>
        <w:rPr>
          <w:rFonts w:ascii="Arial" w:cs="Arial" w:eastAsia="Arial" w:hAnsi="Arial"/>
          <w:sz w:val="15"/>
          <w:szCs w:val="15"/>
          <w:color w:val="231F20"/>
        </w:rPr>
        <w:t>intelligent systems that enable real-time visibility and performance monitoring.</w:t>
      </w:r>
    </w:p>
    <w:p>
      <w:pPr>
        <w:spacing w:after="0" w:line="1" w:lineRule="exact"/>
        <w:rPr>
          <w:rFonts w:ascii="Times New Roman" w:cs="Times New Roman" w:eastAsia="Times New Roman" w:hAnsi="Times New Roman"/>
          <w:sz w:val="15"/>
          <w:szCs w:val="15"/>
          <w:color w:val="231F20"/>
        </w:rPr>
      </w:pPr>
    </w:p>
    <w:p>
      <w:pPr>
        <w:ind w:left="1020" w:hanging="509"/>
        <w:spacing w:after="0" w:line="246" w:lineRule="auto"/>
        <w:tabs>
          <w:tab w:leader="none" w:pos="1020" w:val="left"/>
        </w:tabs>
        <w:numPr>
          <w:ilvl w:val="0"/>
          <w:numId w:val="7"/>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Surface Production Systems: </w:t>
      </w:r>
      <w:r>
        <w:rPr>
          <w:rFonts w:ascii="Arial" w:cs="Arial" w:eastAsia="Arial" w:hAnsi="Arial"/>
          <w:sz w:val="15"/>
          <w:szCs w:val="15"/>
          <w:color w:val="231F20"/>
        </w:rPr>
        <w:t>Designs and manufactures a portfolio of wellhead systems, valves, chokes, actuators, surface trees, and provides</w:t>
      </w:r>
      <w:r>
        <w:rPr>
          <w:rFonts w:ascii="Arial" w:cs="Arial" w:eastAsia="Arial" w:hAnsi="Arial"/>
          <w:sz w:val="15"/>
          <w:szCs w:val="15"/>
          <w:i w:val="1"/>
          <w:iCs w:val="1"/>
          <w:color w:val="231F20"/>
        </w:rPr>
        <w:t xml:space="preserve"> </w:t>
      </w:r>
      <w:r>
        <w:rPr>
          <w:rFonts w:ascii="Arial" w:cs="Arial" w:eastAsia="Arial" w:hAnsi="Arial"/>
          <w:sz w:val="15"/>
          <w:szCs w:val="15"/>
          <w:color w:val="231F20"/>
        </w:rPr>
        <w:t>fracturing and flowback services.</w:t>
      </w:r>
    </w:p>
    <w:p>
      <w:pPr>
        <w:spacing w:after="0" w:line="1" w:lineRule="exact"/>
        <w:rPr>
          <w:rFonts w:ascii="Times New Roman" w:cs="Times New Roman" w:eastAsia="Times New Roman" w:hAnsi="Times New Roman"/>
          <w:sz w:val="15"/>
          <w:szCs w:val="15"/>
          <w:color w:val="231F20"/>
        </w:rPr>
      </w:pPr>
    </w:p>
    <w:p>
      <w:pPr>
        <w:ind w:left="1020" w:hanging="509"/>
        <w:spacing w:after="0" w:line="246" w:lineRule="auto"/>
        <w:tabs>
          <w:tab w:leader="none" w:pos="1020" w:val="left"/>
        </w:tabs>
        <w:numPr>
          <w:ilvl w:val="0"/>
          <w:numId w:val="7"/>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Process Technologies and Solutions: </w:t>
      </w:r>
      <w:r>
        <w:rPr>
          <w:rFonts w:ascii="Arial" w:cs="Arial" w:eastAsia="Arial" w:hAnsi="Arial"/>
          <w:sz w:val="15"/>
          <w:szCs w:val="15"/>
          <w:color w:val="231F20"/>
        </w:rPr>
        <w:t>Delivers processing modules covering oil and gas and treatment packages for produced water and seawater. Also</w:t>
      </w:r>
      <w:r>
        <w:rPr>
          <w:rFonts w:ascii="Arial" w:cs="Arial" w:eastAsia="Arial" w:hAnsi="Arial"/>
          <w:sz w:val="15"/>
          <w:szCs w:val="15"/>
          <w:i w:val="1"/>
          <w:iCs w:val="1"/>
          <w:color w:val="231F20"/>
        </w:rPr>
        <w:t xml:space="preserve"> </w:t>
      </w:r>
      <w:r>
        <w:rPr>
          <w:rFonts w:ascii="Arial" w:cs="Arial" w:eastAsia="Arial" w:hAnsi="Arial"/>
          <w:sz w:val="15"/>
          <w:szCs w:val="15"/>
          <w:color w:val="231F20"/>
        </w:rPr>
        <w:t>provides fit-for-purpose integrated production facilities that accelerate first production, as well as a broad portfolio of emissions management solutions.</w:t>
      </w:r>
    </w:p>
    <w:p>
      <w:pPr>
        <w:spacing w:after="0" w:line="1" w:lineRule="exact"/>
        <w:rPr>
          <w:rFonts w:ascii="Times New Roman" w:cs="Times New Roman" w:eastAsia="Times New Roman" w:hAnsi="Times New Roman"/>
          <w:sz w:val="15"/>
          <w:szCs w:val="15"/>
          <w:color w:val="231F20"/>
        </w:rPr>
      </w:pPr>
    </w:p>
    <w:p>
      <w:pPr>
        <w:jc w:val="both"/>
        <w:ind w:left="1020" w:hanging="509"/>
        <w:spacing w:after="0" w:line="246" w:lineRule="auto"/>
        <w:tabs>
          <w:tab w:leader="none" w:pos="1020" w:val="left"/>
        </w:tabs>
        <w:numPr>
          <w:ilvl w:val="0"/>
          <w:numId w:val="7"/>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Production Chemical Technologies: </w:t>
      </w:r>
      <w:r>
        <w:rPr>
          <w:rFonts w:ascii="Arial" w:cs="Arial" w:eastAsia="Arial" w:hAnsi="Arial"/>
          <w:sz w:val="15"/>
          <w:szCs w:val="15"/>
          <w:color w:val="231F20"/>
        </w:rPr>
        <w:t>Supplies chemistry technologies and solutions that optimize production and processing, support asset integrity, and</w:t>
      </w:r>
      <w:r>
        <w:rPr>
          <w:rFonts w:ascii="Arial" w:cs="Arial" w:eastAsia="Arial" w:hAnsi="Arial"/>
          <w:sz w:val="15"/>
          <w:szCs w:val="15"/>
          <w:i w:val="1"/>
          <w:iCs w:val="1"/>
          <w:color w:val="231F20"/>
        </w:rPr>
        <w:t xml:space="preserve"> </w:t>
      </w:r>
      <w:r>
        <w:rPr>
          <w:rFonts w:ascii="Arial" w:cs="Arial" w:eastAsia="Arial" w:hAnsi="Arial"/>
          <w:sz w:val="15"/>
          <w:szCs w:val="15"/>
          <w:color w:val="231F20"/>
        </w:rPr>
        <w:t>extend asset life. The portfolio includes production chemicals for flow assurance and production optimization, systems for gas and liquid stream purification, chemical injection systems, and autonomous digital surveillance solutions.</w:t>
      </w:r>
    </w:p>
    <w:p>
      <w:pPr>
        <w:spacing w:after="0" w:line="1" w:lineRule="exact"/>
        <w:rPr>
          <w:rFonts w:ascii="Times New Roman" w:cs="Times New Roman" w:eastAsia="Times New Roman" w:hAnsi="Times New Roman"/>
          <w:sz w:val="15"/>
          <w:szCs w:val="15"/>
          <w:color w:val="231F20"/>
        </w:rPr>
      </w:pPr>
    </w:p>
    <w:p>
      <w:pPr>
        <w:jc w:val="both"/>
        <w:ind w:left="1020" w:hanging="509"/>
        <w:spacing w:after="0" w:line="256" w:lineRule="auto"/>
        <w:tabs>
          <w:tab w:leader="none" w:pos="1020" w:val="left"/>
        </w:tabs>
        <w:numPr>
          <w:ilvl w:val="0"/>
          <w:numId w:val="7"/>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Valves: S</w:t>
      </w:r>
      <w:r>
        <w:rPr>
          <w:rFonts w:ascii="Arial" w:cs="Arial" w:eastAsia="Arial" w:hAnsi="Arial"/>
          <w:sz w:val="15"/>
          <w:szCs w:val="15"/>
          <w:color w:val="231F20"/>
        </w:rPr>
        <w:t>erves the upstream, midstream, and downstream markets with a broad portfolio of valves that are primarily used to control and direct the flow</w:t>
      </w:r>
      <w:r>
        <w:rPr>
          <w:rFonts w:ascii="Arial" w:cs="Arial" w:eastAsia="Arial" w:hAnsi="Arial"/>
          <w:sz w:val="15"/>
          <w:szCs w:val="15"/>
          <w:i w:val="1"/>
          <w:iCs w:val="1"/>
          <w:color w:val="231F20"/>
        </w:rPr>
        <w:t xml:space="preserve"> </w:t>
      </w:r>
      <w:r>
        <w:rPr>
          <w:rFonts w:ascii="Arial" w:cs="Arial" w:eastAsia="Arial" w:hAnsi="Arial"/>
          <w:sz w:val="15"/>
          <w:szCs w:val="15"/>
          <w:color w:val="231F20"/>
        </w:rPr>
        <w:t>of hydrocarbons as they are moved from wellheads through flow lines, gathering lines, and transmission systems to refineries, petrochemical plants, and industrial centers for processing.</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All Other </w:t>
      </w:r>
      <w:r>
        <w:rPr>
          <w:rFonts w:ascii="Arial" w:cs="Arial" w:eastAsia="Arial" w:hAnsi="Arial"/>
          <w:sz w:val="15"/>
          <w:szCs w:val="15"/>
          <w:color w:val="auto"/>
        </w:rPr>
        <w:t>– This category primarily consists of the following:</w:t>
      </w:r>
    </w:p>
    <w:p>
      <w:pPr>
        <w:spacing w:after="0" w:line="107" w:lineRule="exact"/>
        <w:rPr>
          <w:sz w:val="20"/>
          <w:szCs w:val="20"/>
          <w:color w:val="auto"/>
        </w:rPr>
      </w:pPr>
    </w:p>
    <w:p>
      <w:pPr>
        <w:jc w:val="both"/>
        <w:ind w:left="1020" w:hanging="509"/>
        <w:spacing w:after="0" w:line="253" w:lineRule="auto"/>
        <w:tabs>
          <w:tab w:leader="none" w:pos="1020" w:val="left"/>
        </w:tabs>
        <w:numPr>
          <w:ilvl w:val="0"/>
          <w:numId w:val="8"/>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Asset Performance Solutions: </w:t>
      </w:r>
      <w:r>
        <w:rPr>
          <w:rFonts w:ascii="Arial" w:cs="Arial" w:eastAsia="Arial" w:hAnsi="Arial"/>
          <w:sz w:val="15"/>
          <w:szCs w:val="15"/>
          <w:color w:val="231F20"/>
        </w:rPr>
        <w:t>Offers an integrated business model for field production projects. Combines SLB’s services and products with drilling rig</w:t>
      </w:r>
      <w:r>
        <w:rPr>
          <w:rFonts w:ascii="Arial" w:cs="Arial" w:eastAsia="Arial" w:hAnsi="Arial"/>
          <w:sz w:val="15"/>
          <w:szCs w:val="15"/>
          <w:i w:val="1"/>
          <w:iCs w:val="1"/>
          <w:color w:val="231F20"/>
        </w:rPr>
        <w:t xml:space="preserve"> </w:t>
      </w:r>
      <w:r>
        <w:rPr>
          <w:rFonts w:ascii="Arial" w:cs="Arial" w:eastAsia="Arial" w:hAnsi="Arial"/>
          <w:sz w:val="15"/>
          <w:szCs w:val="15"/>
          <w:color w:val="231F20"/>
        </w:rPr>
        <w:t>management and specialized engineering and project management expertise, to provide a complete solution from well construction to production improvement. As of December 31, 2025, SLB’s Asset Performance Solutions portfolio primarily consisted of three field production projects in Ecuador.</w:t>
      </w:r>
    </w:p>
    <w:p>
      <w:pPr>
        <w:jc w:val="both"/>
        <w:ind w:left="1020" w:hanging="509"/>
        <w:spacing w:after="0" w:line="246" w:lineRule="auto"/>
        <w:tabs>
          <w:tab w:leader="none" w:pos="1020" w:val="left"/>
        </w:tabs>
        <w:numPr>
          <w:ilvl w:val="0"/>
          <w:numId w:val="8"/>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Data Center Solutions: </w:t>
      </w:r>
      <w:r>
        <w:rPr>
          <w:rFonts w:ascii="Arial" w:cs="Arial" w:eastAsia="Arial" w:hAnsi="Arial"/>
          <w:sz w:val="15"/>
          <w:szCs w:val="15"/>
          <w:color w:val="231F20"/>
        </w:rPr>
        <w:t>Designs and manufactures critical infrastructure components — such as modular data center enclosures, cooling systems, and</w:t>
      </w:r>
      <w:r>
        <w:rPr>
          <w:rFonts w:ascii="Arial" w:cs="Arial" w:eastAsia="Arial" w:hAnsi="Arial"/>
          <w:sz w:val="15"/>
          <w:szCs w:val="15"/>
          <w:i w:val="1"/>
          <w:iCs w:val="1"/>
          <w:color w:val="231F20"/>
        </w:rPr>
        <w:t xml:space="preserve"> </w:t>
      </w:r>
      <w:r>
        <w:rPr>
          <w:rFonts w:ascii="Arial" w:cs="Arial" w:eastAsia="Arial" w:hAnsi="Arial"/>
          <w:sz w:val="15"/>
          <w:szCs w:val="15"/>
          <w:color w:val="231F20"/>
        </w:rPr>
        <w:t>other hardware — for hyperscalers and enterprises. By leveraging scalable, standardized production with rapid lead times, and rigorous quality assurance, Data Center Solutions provides configurable solutions that balance cost efficiency, reliability, and customization to meet accelerating data center demand.</w:t>
      </w:r>
    </w:p>
    <w:p>
      <w:pPr>
        <w:spacing w:after="0" w:line="2" w:lineRule="exact"/>
        <w:rPr>
          <w:rFonts w:ascii="Times New Roman" w:cs="Times New Roman" w:eastAsia="Times New Roman" w:hAnsi="Times New Roman"/>
          <w:sz w:val="15"/>
          <w:szCs w:val="15"/>
          <w:color w:val="231F20"/>
        </w:rPr>
      </w:pPr>
    </w:p>
    <w:p>
      <w:pPr>
        <w:jc w:val="both"/>
        <w:ind w:left="1020" w:hanging="509"/>
        <w:spacing w:after="0" w:line="256" w:lineRule="auto"/>
        <w:tabs>
          <w:tab w:leader="none" w:pos="1020" w:val="left"/>
        </w:tabs>
        <w:numPr>
          <w:ilvl w:val="0"/>
          <w:numId w:val="8"/>
        </w:numPr>
        <w:rPr>
          <w:rFonts w:ascii="Times New Roman" w:cs="Times New Roman" w:eastAsia="Times New Roman" w:hAnsi="Times New Roman"/>
          <w:sz w:val="15"/>
          <w:szCs w:val="15"/>
          <w:color w:val="231F20"/>
        </w:rPr>
      </w:pPr>
      <w:r>
        <w:rPr>
          <w:rFonts w:ascii="Arial" w:cs="Arial" w:eastAsia="Arial" w:hAnsi="Arial"/>
          <w:sz w:val="15"/>
          <w:szCs w:val="15"/>
          <w:i w:val="1"/>
          <w:iCs w:val="1"/>
          <w:color w:val="231F20"/>
        </w:rPr>
        <w:t xml:space="preserve">SLB Capturi: </w:t>
      </w:r>
      <w:r>
        <w:rPr>
          <w:rFonts w:ascii="Arial" w:cs="Arial" w:eastAsia="Arial" w:hAnsi="Arial"/>
          <w:sz w:val="15"/>
          <w:szCs w:val="15"/>
          <w:color w:val="231F20"/>
        </w:rPr>
        <w:t>A joint venture between SLB and Aker Carbon Capture that combines the strengths and capabilities of both companies to accelerate</w:t>
      </w:r>
      <w:r>
        <w:rPr>
          <w:rFonts w:ascii="Arial" w:cs="Arial" w:eastAsia="Arial" w:hAnsi="Arial"/>
          <w:sz w:val="15"/>
          <w:szCs w:val="15"/>
          <w:i w:val="1"/>
          <w:iCs w:val="1"/>
          <w:color w:val="231F20"/>
        </w:rPr>
        <w:t xml:space="preserve"> </w:t>
      </w:r>
      <w:r>
        <w:rPr>
          <w:rFonts w:ascii="Arial" w:cs="Arial" w:eastAsia="Arial" w:hAnsi="Arial"/>
          <w:sz w:val="15"/>
          <w:szCs w:val="15"/>
          <w:color w:val="231F20"/>
        </w:rPr>
        <w:t>industrial decarbonization at a global scale. SLB Capturi, which is 80% owned by SLB, is a dedicated carbon capture company with solutions, services, and technologies servicing a range of hard-to-abate industries, including the cement, waste-to-energy, gas-to-power, and biogenic emissions segments.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SLB operates through a geographical structure of five Basins that are aligned with critical concentrations of activity: North America Land; Americas; Europe and Africa; Middle East and North Africa; and Asia. The Basins are configured around common regional characteristics that enable us to deploy fit-for-purpose technologies, operating models, and skills to meet the specific customer needs in each Basin. The Basins are further organized into GeoUnits, which can be a region, a single country, or comprise several countries. With a strong focus on customers, the Basins identify opportunities for growth, and are focused on agility, responsiveness, and competitiveness.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15"/>
          <w:szCs w:val="15"/>
          <w:color w:val="auto"/>
        </w:rPr>
        <w:t>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 These centers also support SLB's investments in lower carbon energy sources and carbon capture technologies.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ChampionX Transaction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During 2025, SLB acquired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 The acquisition strengthens SLB's leadership in the production and recovery space. SLB issued 141 million shares of its common stock valued at $4.9 billion in connection with this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Strategy</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231F20"/>
        </w:rPr>
        <w:t>With a balanced energy transition in mind, our strategy is focused on three engines of growth: Core, Digital, and New Horizons of Growth.</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Core</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231F20"/>
        </w:rPr>
        <w:t>Consisting of our Reservoir Performance, WeIl Construction and Production Systems Divisions, Core remains SLB’s largest engine of growth. Building on decades of technological advancement, we will continue innovating new products, services and technologies that make the exploration, drilling, production and recovery of oil and gas assets more cost effective and efficient, with lower carbon emissions.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231F20"/>
        </w:rPr>
        <w:t>We continue to build on our fit-for-basin approach and technology access initiatives, developing bespoke and custom technology tailored to the regions and environments in which we operate. This strategy allows us to address the rapid evolution of our industry into more regional markets, each with distinct resource plays and economics.</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Digital</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231F20"/>
        </w:rPr>
        <w:t>Digital capabilities continue to grow throughout the energy industry as a key element of the complex systems required to meet current energy demand and improve efficiency. SLB is uniquely positioned to support customers on their digital journeys by providing an offering which spans planning and operational workflows, underpinned by data platforms and agentic AI orchestration which not only allow customers to realize efficiency gains but also transforms industry workflows through AI.</w:t>
      </w: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231F20"/>
        </w:rPr>
        <w:t>We are also focused on using digital technology to enhance operational performance for our customers. Our software products sold directly to customers, which are agnostic to equipment provider, enable automation and autonomy to reduce costs and improve performance. We also provide digital services to enhance the equipment and service offerings in our Core Divisions. Many of these services use embedded AI to automate insights and differentiate our service delivery offering.</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New Horizons of Growth</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231F20"/>
        </w:rPr>
        <w:t>SLB recognizes that its future will keep expanding beyond oil and gas and is positioning for long term growth in markets that offer a significant opportunity to utilize SLB’s expertise and scale to drive innovation and performance. We are building a broad, diverse portfolio across new energy and industrial sectors, selected for their materiality and adjacency to our existing business and technical capabilities and our ability to offer differentiated technology.</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231F20"/>
        </w:rPr>
        <w:t>Within those horizons of growth, we will build upon the strengths that have made possible the century of success that SLB will celebrate in 2026: our unique subsurface domain expertise, applicable beyond oil and gas; our ability to design and deploy complex processing and production systems as an original equipment manufacturer; our differentiated track record for innovation and manufacturing of industrial solutions with rapid lead times; and our ability to deploy at scale in any region of the world with local knowledge and talent.</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231F20"/>
        </w:rPr>
        <w:t>SLB continues building businesses and forging partnerships in New Energy to harness the promise of a lower carbon future. This includes fostering industrial decarbonization, including carbon capture and sequestration (CCS) and low-carbon hydrogen for hard-to-abate industries, scaling new energy systems—particularly geothermal—as well as innovating in critical minerals.</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New horizons of growth also include our fast-growing Data Center Solutions business. As AI-driven data demand continues to fuel rapid growth, this business is expected to be a material contributor to SLB’s portfolio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Sustainability</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231F20"/>
        </w:rPr>
        <w:t>SLB’s commitment to a sustainable future is underscored by science-backed targets aligned with the Paris Agreement. In 2021, SLB became the first company in the energy services industry to commit to a 2050 net-zero greenhouse gas (“GHG”) emissions target, supported by interim milestones, inclusive of all three emission scopes. By setting targets inclusive of Scope 3 emissions (which accounted for approximately 95% of SLB's baseline)—and not just its Scope 1 and 2 footprint, SLB’s emissions reduction roadmap addresses the entire energy value chain.</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SLB’s Scope 1 and 2 emissions primarily come from fuel use and electricity consumption. SLB’s Scope 3 emissions are indirect, such as emissions from customers’ use of SLB technology and emissions from our use of third-party goods and services.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 w:name="page6"/>
    <w:bookmarkEnd w:id="5"/>
    <w:p>
      <w:pPr>
        <w:jc w:val="both"/>
        <w:spacing w:after="0" w:line="285" w:lineRule="auto"/>
        <w:rPr>
          <w:sz w:val="20"/>
          <w:szCs w:val="20"/>
          <w:color w:val="auto"/>
        </w:rPr>
      </w:pPr>
      <w:r>
        <w:rPr>
          <w:rFonts w:ascii="Arial" w:cs="Arial" w:eastAsia="Arial" w:hAnsi="Arial"/>
          <w:sz w:val="15"/>
          <w:szCs w:val="15"/>
          <w:color w:val="231F20"/>
        </w:rPr>
        <w:t>There are three key components to SLB achieving the 2050 net-zero target: reducing operational emissions, reducing customer emissions that occur while using SLB technology, and taking carbon-negative actions of sufficient scale to offset any residual operating and technology emissions that SLB may have in 2050.</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Capital</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a leading global technology company that operates in more than 100 countries with a workforce of approximately 109,000 people from diverse backgrounds, cultures, and nationalities, one of SLB’s greatest strengths is the diversity of our people. We believe that our ability to attract, develop, motivate, and retain a highly competent and diverse workforce has been paramount to our success for many decades. We recognize that cultivating diversity and promoting inclusion are essential to attracting the best talent from around the world and enabling creativity and innovation to drive business success. We believe our strong culture focused on workforce diversity, inclusivity, and learning and development results in the best possible working environment for all our people.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Workforce Diversity</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SLB's long-standing commitment to national and cultural diversity is reflected in our workforce composition and our philosophy to recruit and develop people from the communities in which we operate. Our workforce nationality mix generally aligns with the revenue derived from the countries in which we work, as reflected in the charts below. This fosters a culture that is global in outlook, yet local in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336550</wp:posOffset>
            </wp:positionV>
            <wp:extent cx="6060440" cy="2313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0440"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recognizes the importance of accessing the best available talent and sees gender diversity as a source of creativity, innovation, and competitive advantage. In this regard, a number of years ago we established goals of having women represent 25% of our salaried workforce by 2025 and 30% of our salaried workforce by 2030. Women represented approximately 26% of our salaried workforce as of December 31, 2025.</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Inclusivity</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We are building on our diversity to foster a strong culture of inclusion, in which each person can feel accepted, respected, and empowered to perform at their best.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SLB has numerous global policies and programs to support our inclusive culture, including:</w:t>
      </w:r>
    </w:p>
    <w:p>
      <w:pPr>
        <w:spacing w:after="0" w:line="93" w:lineRule="exact"/>
        <w:rPr>
          <w:sz w:val="20"/>
          <w:szCs w:val="20"/>
          <w:color w:val="auto"/>
        </w:rPr>
      </w:pPr>
    </w:p>
    <w:p>
      <w:pPr>
        <w:ind w:left="1020" w:hanging="509"/>
        <w:spacing w:after="0"/>
        <w:tabs>
          <w:tab w:leader="none" w:pos="102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a culture framework that codifies SLB's history on including diverse perspectives;</w:t>
      </w:r>
    </w:p>
    <w:p>
      <w:pPr>
        <w:spacing w:after="0" w:line="26"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a mobility program that enables employees to gain international exposure and experience and develop cross-cultural competencies;</w:t>
      </w:r>
    </w:p>
    <w:p>
      <w:pPr>
        <w:spacing w:after="0" w:line="17" w:lineRule="exact"/>
        <w:rPr>
          <w:rFonts w:ascii="Times New Roman" w:cs="Times New Roman" w:eastAsia="Times New Roman" w:hAnsi="Times New Roman"/>
          <w:sz w:val="15"/>
          <w:szCs w:val="15"/>
          <w:color w:val="auto"/>
        </w:rPr>
      </w:pPr>
    </w:p>
    <w:p>
      <w:pPr>
        <w:ind w:left="1020" w:hanging="509"/>
        <w:spacing w:after="0" w:line="249" w:lineRule="auto"/>
        <w:tabs>
          <w:tab w:leader="none" w:pos="102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a Code of Conduct that outlines the standards of behavior and ethics that all employees are expected to follow, and that prohibits any form of discrimination, harassment, or retaliation; and</w:t>
      </w:r>
    </w:p>
    <w:p>
      <w:pPr>
        <w:spacing w:after="0" w:line="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employee resource groups that provide peer mentoring and management feedback.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Learning and Development</w:t>
      </w:r>
    </w:p>
    <w:p>
      <w:pPr>
        <w:spacing w:after="0" w:line="107"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SLB invests significantly in the learning and development of our people. We encourage a growth mindset and provide opportunities to our people for continuous learning throughout their career. This investment allows us to accelerate personal development while maximizing performance, fostering an agile workforce with the skills necessary to lead SLB today and into the future.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Competition</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principal methods of competition within the energy services industry are technological innovation, quality of service, and price differentiation. These factors vary geographically and are dependent upon the different services and products that SLB offers. SLB has numerous competitors, both large and small.</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owns or controls one of the industry’s leading portfolios of intellectual property, including but not limited to patents, proprietary information, trade secrets, and software tools and applications that, in the aggregate, are material to SLB’s business. While SLB seeks and holds a significant number of patents covering various products and processes, no particular patent or group of patents is material to SLB’s business.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Seasonal changes in weather and significant weather events can temporarily affect the delivery of SLB’s products and services. For example, the spring thaw in Canada and other Northern climates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exploration data, software, and other products may result in higher activity in the fourth quarter of the year as clients seek to fully utilize their annual budgets. Conversely, customer budget constraints in North America may lead to lower demand for our services and products in the fourth quarter of the year.</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SLB’s primary customers are national oil companies, large integrated oil companies, and independent operators. No single customer exceeded 10% of SLB's consolidated revenue during each of 2025, 2024, and 2023.</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Governmental Regulations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is subject to numerous environmental and other governmental and regulatory requirements related to its operations worldwide. For additional details see “Item 1(a). Risk Factors – Legal and Regulatory Risks,” which is incorporated by reference in this Item 1.</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SLB, formerly known as Schlumberger, was founded in 1926 and is </w:t>
      </w:r>
      <w:r>
        <w:rPr>
          <w:rFonts w:ascii="Arial" w:cs="Arial" w:eastAsia="Arial" w:hAnsi="Arial"/>
          <w:sz w:val="15"/>
          <w:szCs w:val="15"/>
          <w:color w:val="242424"/>
        </w:rPr>
        <w:t>the NYSE-listed parent of the SLB family of companies. SLB is incorporated under the laws of</w:t>
      </w:r>
      <w:r>
        <w:rPr>
          <w:rFonts w:ascii="Arial" w:cs="Arial" w:eastAsia="Arial" w:hAnsi="Arial"/>
          <w:sz w:val="15"/>
          <w:szCs w:val="15"/>
          <w:color w:val="auto"/>
        </w:rPr>
        <w:t xml:space="preserve"> </w:t>
      </w:r>
      <w:r>
        <w:rPr>
          <w:rFonts w:ascii="Arial" w:cs="Arial" w:eastAsia="Arial" w:hAnsi="Arial"/>
          <w:sz w:val="15"/>
          <w:szCs w:val="15"/>
          <w:color w:val="242424"/>
        </w:rPr>
        <w:t xml:space="preserve">Curaçao with executive offices in Paris, Houston, and The Hague. </w:t>
      </w:r>
      <w:r>
        <w:rPr>
          <w:rFonts w:ascii="Arial" w:cs="Arial" w:eastAsia="Arial" w:hAnsi="Arial"/>
          <w:sz w:val="15"/>
          <w:szCs w:val="15"/>
          <w:color w:val="000000"/>
        </w:rPr>
        <w:t>The Company changed its brand name to SLB in 2022 and the legal name of its listed parent</w:t>
      </w:r>
      <w:r>
        <w:rPr>
          <w:rFonts w:ascii="Arial" w:cs="Arial" w:eastAsia="Arial" w:hAnsi="Arial"/>
          <w:sz w:val="15"/>
          <w:szCs w:val="15"/>
          <w:color w:val="242424"/>
        </w:rPr>
        <w:t xml:space="preserve"> </w:t>
      </w:r>
      <w:r>
        <w:rPr>
          <w:rFonts w:ascii="Arial" w:cs="Arial" w:eastAsia="Arial" w:hAnsi="Arial"/>
          <w:sz w:val="15"/>
          <w:szCs w:val="15"/>
          <w:color w:val="000000"/>
        </w:rPr>
        <w:t>company in 2025.</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 xml:space="preserve">The SLB website is </w:t>
      </w:r>
      <w:r>
        <w:rPr>
          <w:rFonts w:ascii="Arial" w:cs="Arial" w:eastAsia="Arial" w:hAnsi="Arial"/>
          <w:sz w:val="15"/>
          <w:szCs w:val="15"/>
          <w:u w:val="single" w:color="auto"/>
          <w:color w:val="auto"/>
        </w:rPr>
        <w:t>www.slb.com</w:t>
      </w:r>
      <w:r>
        <w:rPr>
          <w:rFonts w:ascii="Arial" w:cs="Arial" w:eastAsia="Arial" w:hAnsi="Arial"/>
          <w:sz w:val="15"/>
          <w:szCs w:val="15"/>
          <w:color w:val="auto"/>
        </w:rPr>
        <w:t xml:space="preserve">. SLB uses its Investor Relations website, </w:t>
      </w:r>
      <w:r>
        <w:rPr>
          <w:rFonts w:ascii="Arial" w:cs="Arial" w:eastAsia="Arial" w:hAnsi="Arial"/>
          <w:sz w:val="15"/>
          <w:szCs w:val="15"/>
          <w:u w:val="single" w:color="auto"/>
          <w:color w:val="auto"/>
        </w:rPr>
        <w:t>https://investorcenter.slb.com/</w:t>
      </w:r>
      <w:r>
        <w:rPr>
          <w:rFonts w:ascii="Arial" w:cs="Arial" w:eastAsia="Arial" w:hAnsi="Arial"/>
          <w:sz w:val="15"/>
          <w:szCs w:val="15"/>
          <w:color w:val="auto"/>
        </w:rPr>
        <w:t xml:space="preserve">, as a routine channel for distribution of important information, including news releases, analyst presentations, and financial information. SLB makes available, free of charge through its Investor Relations website at </w:t>
      </w:r>
      <w:r>
        <w:rPr>
          <w:rFonts w:ascii="Arial" w:cs="Arial" w:eastAsia="Arial" w:hAnsi="Arial"/>
          <w:sz w:val="15"/>
          <w:szCs w:val="15"/>
          <w:u w:val="single" w:color="auto"/>
          <w:color w:val="auto"/>
        </w:rPr>
        <w:t>https://investorcenter.slb.com/,</w:t>
      </w:r>
      <w:r>
        <w:rPr>
          <w:rFonts w:ascii="Arial" w:cs="Arial" w:eastAsia="Arial" w:hAnsi="Arial"/>
          <w:sz w:val="15"/>
          <w:szCs w:val="15"/>
          <w:color w:val="auto"/>
        </w:rPr>
        <w:t xml:space="preserve"> access to its Annual Reports on Form 10-K, Quarterly Reports on Form 10-Q, Current Reports on Form 8-K, proxy statements and Forms 3, 4 and 5 filed on behalf of directors and executive officers, and amendments to each of those reports, as soon as reasonably practicable after such material is filed with or furnished to the SEC. Alternatively, you may access these reports at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Copies are also available, without charge, from SLB Investor Relations, 5599 San Felipe, Houston, Texas 77056. Unless expressly noted, the information on its website or any other website is not incorporated by reference in this Form 10-K and should not be considered part of this Form 10-K or any other filing SLB makes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Information About Our Executive Officers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following table sets forth, as of January 23, 2026, the names and ages of SLB’s executive officers, including all offices and positions held by each executive officer during the past five years.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gridSpan w:val="3"/>
          </w:tcPr>
          <w:p>
            <w:pPr>
              <w:spacing w:after="0"/>
              <w:rPr>
                <w:sz w:val="20"/>
                <w:szCs w:val="20"/>
                <w:color w:val="auto"/>
              </w:rPr>
            </w:pPr>
            <w:r>
              <w:rPr>
                <w:rFonts w:ascii="Arial" w:cs="Arial" w:eastAsia="Arial" w:hAnsi="Arial"/>
                <w:sz w:val="15"/>
                <w:szCs w:val="15"/>
                <w:b w:val="1"/>
                <w:bCs w:val="1"/>
                <w:color w:val="auto"/>
              </w:rPr>
              <w:t>Section 16 Officers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700" w:type="dxa"/>
            <w:vAlign w:val="bottom"/>
          </w:tcPr>
          <w:p>
            <w:pPr>
              <w:spacing w:after="0"/>
              <w:rPr>
                <w:sz w:val="15"/>
                <w:szCs w:val="15"/>
                <w:color w:val="auto"/>
              </w:rPr>
            </w:pPr>
          </w:p>
        </w:tc>
      </w:tr>
      <w:tr>
        <w:trPr>
          <w:trHeight w:val="335"/>
        </w:trPr>
        <w:tc>
          <w:tcPr>
            <w:tcW w:w="42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97"/>
              </w:rPr>
              <w:t>Name</w:t>
            </w:r>
          </w:p>
        </w:tc>
        <w:tc>
          <w:tcPr>
            <w:tcW w:w="9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5"/>
                <w:szCs w:val="15"/>
                <w:b w:val="1"/>
                <w:bCs w:val="1"/>
                <w:color w:val="auto"/>
                <w:w w:val="98"/>
              </w:rPr>
              <w:t>Age</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5"/>
                <w:szCs w:val="15"/>
                <w:b w:val="1"/>
                <w:bCs w:val="1"/>
                <w:color w:val="auto"/>
              </w:rPr>
              <w:t>Current Position and Five-Year Business Experience</w:t>
            </w:r>
          </w:p>
        </w:tc>
      </w:tr>
      <w:tr>
        <w:trPr>
          <w:trHeight w:val="20"/>
        </w:trPr>
        <w:tc>
          <w:tcPr>
            <w:tcW w:w="42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09"/>
        </w:trPr>
        <w:tc>
          <w:tcPr>
            <w:tcW w:w="2260" w:type="dxa"/>
            <w:vAlign w:val="bottom"/>
            <w:gridSpan w:val="3"/>
          </w:tcPr>
          <w:p>
            <w:pPr>
              <w:spacing w:after="0"/>
              <w:rPr>
                <w:sz w:val="20"/>
                <w:szCs w:val="20"/>
                <w:color w:val="auto"/>
              </w:rPr>
            </w:pPr>
            <w:r>
              <w:rPr>
                <w:rFonts w:ascii="Arial" w:cs="Arial" w:eastAsia="Arial" w:hAnsi="Arial"/>
                <w:sz w:val="15"/>
                <w:szCs w:val="15"/>
                <w:color w:val="auto"/>
              </w:rPr>
              <w:t>Olivier Le Peuch</w:t>
            </w:r>
          </w:p>
        </w:tc>
        <w:tc>
          <w:tcPr>
            <w:tcW w:w="280" w:type="dxa"/>
            <w:vAlign w:val="bottom"/>
          </w:tcPr>
          <w:p>
            <w:pPr>
              <w:jc w:val="center"/>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5"/>
                <w:szCs w:val="15"/>
                <w:color w:val="auto"/>
              </w:rPr>
              <w:t>Chief Executive Officer and Director, since August 2019.</w:t>
            </w:r>
          </w:p>
        </w:tc>
      </w:tr>
      <w:tr>
        <w:trPr>
          <w:trHeight w:val="355"/>
        </w:trPr>
        <w:tc>
          <w:tcPr>
            <w:tcW w:w="2260" w:type="dxa"/>
            <w:vAlign w:val="bottom"/>
            <w:gridSpan w:val="3"/>
          </w:tcPr>
          <w:p>
            <w:pPr>
              <w:spacing w:after="0"/>
              <w:rPr>
                <w:sz w:val="20"/>
                <w:szCs w:val="20"/>
                <w:color w:val="auto"/>
              </w:rPr>
            </w:pPr>
            <w:r>
              <w:rPr>
                <w:rFonts w:ascii="Arial" w:cs="Arial" w:eastAsia="Arial" w:hAnsi="Arial"/>
                <w:sz w:val="15"/>
                <w:szCs w:val="15"/>
                <w:color w:val="auto"/>
              </w:rPr>
              <w:t>Stephane Biguet</w:t>
            </w:r>
          </w:p>
        </w:tc>
        <w:tc>
          <w:tcPr>
            <w:tcW w:w="280" w:type="dxa"/>
            <w:vAlign w:val="bottom"/>
          </w:tcPr>
          <w:p>
            <w:pPr>
              <w:jc w:val="center"/>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5"/>
                <w:szCs w:val="15"/>
                <w:color w:val="auto"/>
              </w:rPr>
              <w:t>Executive Vice President and Chief Financial Officer, since January 2020.</w:t>
            </w:r>
          </w:p>
        </w:tc>
      </w:tr>
      <w:tr>
        <w:trPr>
          <w:trHeight w:val="333"/>
        </w:trPr>
        <w:tc>
          <w:tcPr>
            <w:tcW w:w="2260" w:type="dxa"/>
            <w:vAlign w:val="bottom"/>
            <w:gridSpan w:val="3"/>
          </w:tcPr>
          <w:p>
            <w:pPr>
              <w:spacing w:after="0"/>
              <w:rPr>
                <w:sz w:val="20"/>
                <w:szCs w:val="20"/>
                <w:color w:val="auto"/>
              </w:rPr>
            </w:pPr>
            <w:r>
              <w:rPr>
                <w:rFonts w:ascii="Arial" w:cs="Arial" w:eastAsia="Arial" w:hAnsi="Arial"/>
                <w:sz w:val="15"/>
                <w:szCs w:val="15"/>
                <w:color w:val="auto"/>
              </w:rPr>
              <w:t>Abdellah Merad</w:t>
            </w:r>
          </w:p>
        </w:tc>
        <w:tc>
          <w:tcPr>
            <w:tcW w:w="280" w:type="dxa"/>
            <w:vAlign w:val="bottom"/>
          </w:tcPr>
          <w:p>
            <w:pPr>
              <w:jc w:val="center"/>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5"/>
                <w:szCs w:val="15"/>
                <w:color w:val="auto"/>
              </w:rPr>
              <w:t>Executive Vice President, Core Services and Equipment, since April 2022; and Executive Vice President, Performance</w:t>
            </w:r>
          </w:p>
        </w:tc>
      </w:tr>
      <w:tr>
        <w:trPr>
          <w:trHeight w:val="200"/>
        </w:trPr>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0" w:type="dxa"/>
            <w:vAlign w:val="bottom"/>
            <w:gridSpan w:val="3"/>
          </w:tcPr>
          <w:p>
            <w:pPr>
              <w:ind w:left="100"/>
              <w:spacing w:after="0"/>
              <w:rPr>
                <w:sz w:val="20"/>
                <w:szCs w:val="20"/>
                <w:color w:val="auto"/>
              </w:rPr>
            </w:pPr>
            <w:r>
              <w:rPr>
                <w:rFonts w:ascii="Arial" w:cs="Arial" w:eastAsia="Arial" w:hAnsi="Arial"/>
                <w:sz w:val="15"/>
                <w:szCs w:val="15"/>
                <w:color w:val="auto"/>
              </w:rPr>
              <w:t>Management, May 2019 to March 2022.</w:t>
            </w:r>
          </w:p>
        </w:tc>
      </w:tr>
      <w:tr>
        <w:trPr>
          <w:trHeight w:val="355"/>
        </w:trPr>
        <w:tc>
          <w:tcPr>
            <w:tcW w:w="2260" w:type="dxa"/>
            <w:vAlign w:val="bottom"/>
            <w:gridSpan w:val="3"/>
          </w:tcPr>
          <w:p>
            <w:pPr>
              <w:spacing w:after="0"/>
              <w:rPr>
                <w:sz w:val="20"/>
                <w:szCs w:val="20"/>
                <w:color w:val="auto"/>
              </w:rPr>
            </w:pPr>
            <w:r>
              <w:rPr>
                <w:rFonts w:ascii="Arial" w:cs="Arial" w:eastAsia="Arial" w:hAnsi="Arial"/>
                <w:sz w:val="15"/>
                <w:szCs w:val="15"/>
                <w:color w:val="auto"/>
              </w:rPr>
              <w:t>Demosthenis Pafitis</w:t>
            </w:r>
          </w:p>
        </w:tc>
        <w:tc>
          <w:tcPr>
            <w:tcW w:w="280" w:type="dxa"/>
            <w:vAlign w:val="bottom"/>
          </w:tcPr>
          <w:p>
            <w:pPr>
              <w:jc w:val="center"/>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24"/>
                <w:szCs w:val="24"/>
                <w:color w:val="auto"/>
              </w:rPr>
            </w:pPr>
          </w:p>
        </w:tc>
        <w:tc>
          <w:tcPr>
            <w:tcW w:w="8600" w:type="dxa"/>
            <w:vAlign w:val="bottom"/>
            <w:gridSpan w:val="3"/>
          </w:tcPr>
          <w:p>
            <w:pPr>
              <w:ind w:left="100"/>
              <w:spacing w:after="0"/>
              <w:rPr>
                <w:sz w:val="20"/>
                <w:szCs w:val="20"/>
                <w:color w:val="auto"/>
              </w:rPr>
            </w:pPr>
            <w:r>
              <w:rPr>
                <w:rFonts w:ascii="Arial" w:cs="Arial" w:eastAsia="Arial" w:hAnsi="Arial"/>
                <w:sz w:val="15"/>
                <w:szCs w:val="15"/>
                <w:color w:val="auto"/>
              </w:rPr>
              <w:t>Chief Technology Officer, since February 2020.</w:t>
            </w:r>
          </w:p>
        </w:tc>
      </w:tr>
      <w:tr>
        <w:trPr>
          <w:trHeight w:val="381"/>
        </w:trPr>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2"/>
          </w:tcPr>
          <w:p>
            <w:pPr>
              <w:ind w:left="2940"/>
              <w:spacing w:after="0"/>
              <w:rPr>
                <w:sz w:val="20"/>
                <w:szCs w:val="20"/>
                <w:color w:val="auto"/>
              </w:rPr>
            </w:pPr>
            <w:r>
              <w:rPr>
                <w:rFonts w:ascii="Arial" w:cs="Arial" w:eastAsia="Arial" w:hAnsi="Arial"/>
                <w:sz w:val="15"/>
                <w:szCs w:val="15"/>
                <w:color w:val="auto"/>
              </w:rPr>
              <w:t>7</w:t>
            </w:r>
          </w:p>
        </w:tc>
        <w:tc>
          <w:tcPr>
            <w:tcW w:w="4700" w:type="dxa"/>
            <w:vAlign w:val="bottom"/>
          </w:tcPr>
          <w:p>
            <w:pPr>
              <w:spacing w:after="0"/>
              <w:rPr>
                <w:sz w:val="24"/>
                <w:szCs w:val="24"/>
                <w:color w:val="auto"/>
              </w:rPr>
            </w:pPr>
          </w:p>
        </w:tc>
      </w:tr>
      <w:tr>
        <w:trPr>
          <w:trHeight w:val="706"/>
        </w:trPr>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0"/>
        </w:trPr>
        <w:tc>
          <w:tcPr>
            <w:tcW w:w="1800" w:type="dxa"/>
            <w:vAlign w:val="bottom"/>
          </w:tcPr>
          <w:p>
            <w:pPr>
              <w:spacing w:after="0"/>
              <w:rPr>
                <w:sz w:val="20"/>
                <w:szCs w:val="20"/>
                <w:color w:val="auto"/>
              </w:rPr>
            </w:pPr>
            <w:r>
              <w:rPr>
                <w:rFonts w:ascii="Arial" w:cs="Arial" w:eastAsia="Arial" w:hAnsi="Arial"/>
                <w:sz w:val="15"/>
                <w:szCs w:val="15"/>
                <w:color w:val="auto"/>
              </w:rPr>
              <w:t>Dianne Ralston</w:t>
            </w:r>
          </w:p>
        </w:tc>
        <w:tc>
          <w:tcPr>
            <w:tcW w:w="9440" w:type="dxa"/>
            <w:vAlign w:val="bottom"/>
            <w:gridSpan w:val="2"/>
          </w:tcPr>
          <w:p>
            <w:pPr>
              <w:ind w:left="500"/>
              <w:spacing w:after="0"/>
              <w:rPr>
                <w:sz w:val="20"/>
                <w:szCs w:val="20"/>
                <w:color w:val="auto"/>
              </w:rPr>
            </w:pPr>
            <w:r>
              <w:rPr>
                <w:rFonts w:ascii="Arial" w:cs="Arial" w:eastAsia="Arial" w:hAnsi="Arial"/>
                <w:sz w:val="15"/>
                <w:szCs w:val="15"/>
                <w:color w:val="auto"/>
              </w:rPr>
              <w:t>59   Chief Legal Officer, since December 2020, and Secretary, since April 2021.</w:t>
            </w:r>
          </w:p>
        </w:tc>
      </w:tr>
      <w:tr>
        <w:trPr>
          <w:trHeight w:val="333"/>
        </w:trPr>
        <w:tc>
          <w:tcPr>
            <w:tcW w:w="1800" w:type="dxa"/>
            <w:vAlign w:val="bottom"/>
          </w:tcPr>
          <w:p>
            <w:pPr>
              <w:spacing w:after="0"/>
              <w:rPr>
                <w:sz w:val="20"/>
                <w:szCs w:val="20"/>
                <w:color w:val="auto"/>
              </w:rPr>
            </w:pPr>
            <w:r>
              <w:rPr>
                <w:rFonts w:ascii="Arial" w:cs="Arial" w:eastAsia="Arial" w:hAnsi="Arial"/>
                <w:sz w:val="15"/>
                <w:szCs w:val="15"/>
                <w:color w:val="auto"/>
              </w:rPr>
              <w:t>Steve Gassen</w:t>
            </w:r>
          </w:p>
        </w:tc>
        <w:tc>
          <w:tcPr>
            <w:tcW w:w="9440" w:type="dxa"/>
            <w:vAlign w:val="bottom"/>
            <w:gridSpan w:val="2"/>
          </w:tcPr>
          <w:p>
            <w:pPr>
              <w:ind w:left="500"/>
              <w:spacing w:after="0"/>
              <w:rPr>
                <w:sz w:val="20"/>
                <w:szCs w:val="20"/>
                <w:color w:val="auto"/>
              </w:rPr>
            </w:pPr>
            <w:r>
              <w:rPr>
                <w:rFonts w:ascii="Arial" w:cs="Arial" w:eastAsia="Arial" w:hAnsi="Arial"/>
                <w:sz w:val="15"/>
                <w:szCs w:val="15"/>
                <w:color w:val="auto"/>
              </w:rPr>
              <w:t>51   Executive Vice President of Geographies, since May 2025; President, Production Systems, August 2022 to May 2025; Senior</w:t>
            </w:r>
          </w:p>
        </w:tc>
      </w:tr>
      <w:tr>
        <w:trPr>
          <w:trHeight w:val="178"/>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60" w:type="dxa"/>
            <w:vAlign w:val="bottom"/>
          </w:tcPr>
          <w:p>
            <w:pPr>
              <w:ind w:left="160"/>
              <w:spacing w:after="0"/>
              <w:rPr>
                <w:sz w:val="20"/>
                <w:szCs w:val="20"/>
                <w:color w:val="auto"/>
              </w:rPr>
            </w:pPr>
            <w:r>
              <w:rPr>
                <w:rFonts w:ascii="Arial" w:cs="Arial" w:eastAsia="Arial" w:hAnsi="Arial"/>
                <w:sz w:val="15"/>
                <w:szCs w:val="15"/>
                <w:color w:val="auto"/>
              </w:rPr>
              <w:t>Vice President, Carbon Capture, March 2022 to August 2022; Senior Vice President, Marketing, December 2021 to March</w:t>
            </w:r>
          </w:p>
        </w:tc>
      </w:tr>
      <w:tr>
        <w:trPr>
          <w:trHeight w:val="200"/>
        </w:trPr>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60" w:type="dxa"/>
            <w:vAlign w:val="bottom"/>
          </w:tcPr>
          <w:p>
            <w:pPr>
              <w:ind w:left="160"/>
              <w:spacing w:after="0"/>
              <w:rPr>
                <w:sz w:val="20"/>
                <w:szCs w:val="20"/>
                <w:color w:val="auto"/>
              </w:rPr>
            </w:pPr>
            <w:r>
              <w:rPr>
                <w:rFonts w:ascii="Arial" w:cs="Arial" w:eastAsia="Arial" w:hAnsi="Arial"/>
                <w:sz w:val="15"/>
                <w:szCs w:val="15"/>
                <w:color w:val="auto"/>
              </w:rPr>
              <w:t>2022; and Vice President, Marketing, July 2020 to December 2021.</w:t>
            </w:r>
          </w:p>
        </w:tc>
      </w:tr>
      <w:tr>
        <w:trPr>
          <w:trHeight w:val="333"/>
        </w:trPr>
        <w:tc>
          <w:tcPr>
            <w:tcW w:w="1800" w:type="dxa"/>
            <w:vAlign w:val="bottom"/>
          </w:tcPr>
          <w:p>
            <w:pPr>
              <w:spacing w:after="0"/>
              <w:rPr>
                <w:sz w:val="20"/>
                <w:szCs w:val="20"/>
                <w:color w:val="auto"/>
              </w:rPr>
            </w:pPr>
            <w:r>
              <w:rPr>
                <w:rFonts w:ascii="Arial" w:cs="Arial" w:eastAsia="Arial" w:hAnsi="Arial"/>
                <w:sz w:val="15"/>
                <w:szCs w:val="15"/>
                <w:color w:val="auto"/>
              </w:rPr>
              <w:t>Agnieszka Kmieciak</w:t>
            </w:r>
          </w:p>
        </w:tc>
        <w:tc>
          <w:tcPr>
            <w:tcW w:w="9440" w:type="dxa"/>
            <w:vAlign w:val="bottom"/>
            <w:gridSpan w:val="2"/>
          </w:tcPr>
          <w:p>
            <w:pPr>
              <w:ind w:left="500"/>
              <w:spacing w:after="0"/>
              <w:rPr>
                <w:sz w:val="20"/>
                <w:szCs w:val="20"/>
                <w:color w:val="auto"/>
              </w:rPr>
            </w:pPr>
            <w:r>
              <w:rPr>
                <w:rFonts w:ascii="Arial" w:cs="Arial" w:eastAsia="Arial" w:hAnsi="Arial"/>
                <w:sz w:val="15"/>
                <w:szCs w:val="15"/>
                <w:color w:val="auto"/>
              </w:rPr>
              <w:t>52   Chief People Officer, since August 2025; Senior Vice President of People and Social Engagement, TotalEnergies, from</w:t>
            </w:r>
          </w:p>
        </w:tc>
      </w:tr>
      <w:tr>
        <w:trPr>
          <w:trHeight w:val="200"/>
        </w:trPr>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60" w:type="dxa"/>
            <w:vAlign w:val="bottom"/>
          </w:tcPr>
          <w:p>
            <w:pPr>
              <w:ind w:left="160"/>
              <w:spacing w:after="0"/>
              <w:rPr>
                <w:sz w:val="20"/>
                <w:szCs w:val="20"/>
                <w:color w:val="auto"/>
              </w:rPr>
            </w:pPr>
            <w:r>
              <w:rPr>
                <w:rFonts w:ascii="Arial" w:cs="Arial" w:eastAsia="Arial" w:hAnsi="Arial"/>
                <w:sz w:val="15"/>
                <w:szCs w:val="15"/>
                <w:color w:val="auto"/>
              </w:rPr>
              <w:t>September 2021 to March 2024; and Executive Vice President of People and Culture, TechnipFMC, from 2018 to June 2021.</w:t>
            </w:r>
          </w:p>
        </w:tc>
      </w:tr>
      <w:tr>
        <w:trPr>
          <w:trHeight w:val="355"/>
        </w:trPr>
        <w:tc>
          <w:tcPr>
            <w:tcW w:w="1800" w:type="dxa"/>
            <w:vAlign w:val="bottom"/>
          </w:tcPr>
          <w:p>
            <w:pPr>
              <w:spacing w:after="0"/>
              <w:rPr>
                <w:sz w:val="20"/>
                <w:szCs w:val="20"/>
                <w:color w:val="auto"/>
              </w:rPr>
            </w:pPr>
            <w:r>
              <w:rPr>
                <w:rFonts w:ascii="Arial" w:cs="Arial" w:eastAsia="Arial" w:hAnsi="Arial"/>
                <w:sz w:val="15"/>
                <w:szCs w:val="15"/>
                <w:color w:val="auto"/>
              </w:rPr>
              <w:t>Howard Guild</w:t>
            </w:r>
          </w:p>
        </w:tc>
        <w:tc>
          <w:tcPr>
            <w:tcW w:w="9440" w:type="dxa"/>
            <w:vAlign w:val="bottom"/>
            <w:gridSpan w:val="2"/>
          </w:tcPr>
          <w:p>
            <w:pPr>
              <w:ind w:left="500"/>
              <w:spacing w:after="0"/>
              <w:rPr>
                <w:sz w:val="20"/>
                <w:szCs w:val="20"/>
                <w:color w:val="auto"/>
              </w:rPr>
            </w:pPr>
            <w:r>
              <w:rPr>
                <w:rFonts w:ascii="Arial" w:cs="Arial" w:eastAsia="Arial" w:hAnsi="Arial"/>
                <w:sz w:val="15"/>
                <w:szCs w:val="15"/>
                <w:color w:val="auto"/>
              </w:rPr>
              <w:t>54   Chief Accounting Officer, since July 2005.</w:t>
            </w:r>
          </w:p>
        </w:tc>
      </w:tr>
      <w:tr>
        <w:trPr>
          <w:trHeight w:val="345"/>
        </w:trPr>
        <w:tc>
          <w:tcPr>
            <w:tcW w:w="1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Other Corporate Officers</w:t>
            </w:r>
          </w:p>
        </w:tc>
        <w:tc>
          <w:tcPr>
            <w:tcW w:w="78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371"/>
        </w:trPr>
        <w:tc>
          <w:tcPr>
            <w:tcW w:w="1800" w:type="dxa"/>
            <w:vAlign w:val="bottom"/>
          </w:tcPr>
          <w:p>
            <w:pPr>
              <w:spacing w:after="0"/>
              <w:rPr>
                <w:sz w:val="20"/>
                <w:szCs w:val="20"/>
                <w:color w:val="auto"/>
              </w:rPr>
            </w:pPr>
            <w:r>
              <w:rPr>
                <w:rFonts w:ascii="Arial" w:cs="Arial" w:eastAsia="Arial" w:hAnsi="Arial"/>
                <w:sz w:val="15"/>
                <w:szCs w:val="15"/>
                <w:color w:val="auto"/>
              </w:rPr>
              <w:t>Rakesh Jaggi</w:t>
            </w:r>
          </w:p>
        </w:tc>
        <w:tc>
          <w:tcPr>
            <w:tcW w:w="780" w:type="dxa"/>
            <w:vAlign w:val="bottom"/>
          </w:tcPr>
          <w:p>
            <w:pPr>
              <w:ind w:left="500"/>
              <w:spacing w:after="0"/>
              <w:rPr>
                <w:sz w:val="20"/>
                <w:szCs w:val="20"/>
                <w:color w:val="auto"/>
              </w:rPr>
            </w:pPr>
            <w:r>
              <w:rPr>
                <w:rFonts w:ascii="Arial" w:cs="Arial" w:eastAsia="Arial" w:hAnsi="Arial"/>
                <w:sz w:val="15"/>
                <w:szCs w:val="15"/>
                <w:color w:val="auto"/>
              </w:rPr>
              <w:t>56</w:t>
            </w:r>
          </w:p>
        </w:tc>
        <w:tc>
          <w:tcPr>
            <w:tcW w:w="8660" w:type="dxa"/>
            <w:vAlign w:val="bottom"/>
          </w:tcPr>
          <w:p>
            <w:pPr>
              <w:ind w:left="140"/>
              <w:spacing w:after="0"/>
              <w:rPr>
                <w:sz w:val="20"/>
                <w:szCs w:val="20"/>
                <w:color w:val="auto"/>
              </w:rPr>
            </w:pPr>
            <w:r>
              <w:rPr>
                <w:rFonts w:ascii="Arial" w:cs="Arial" w:eastAsia="Arial" w:hAnsi="Arial"/>
                <w:sz w:val="15"/>
                <w:szCs w:val="15"/>
                <w:color w:val="auto"/>
              </w:rPr>
              <w:t>President, Digital and Integration, since April 2023; and Senior Vice President, Sales &amp; Commercial, May 2019 to March 2023.</w:t>
            </w:r>
          </w:p>
        </w:tc>
      </w:tr>
      <w:tr>
        <w:trPr>
          <w:trHeight w:val="355"/>
        </w:trPr>
        <w:tc>
          <w:tcPr>
            <w:tcW w:w="1800" w:type="dxa"/>
            <w:vAlign w:val="bottom"/>
          </w:tcPr>
          <w:p>
            <w:pPr>
              <w:spacing w:after="0"/>
              <w:rPr>
                <w:sz w:val="20"/>
                <w:szCs w:val="20"/>
                <w:color w:val="auto"/>
              </w:rPr>
            </w:pPr>
            <w:r>
              <w:rPr>
                <w:rFonts w:ascii="Arial" w:cs="Arial" w:eastAsia="Arial" w:hAnsi="Arial"/>
                <w:sz w:val="15"/>
                <w:szCs w:val="15"/>
                <w:color w:val="auto"/>
              </w:rPr>
              <w:t>Gavin Rennick</w:t>
            </w:r>
          </w:p>
        </w:tc>
        <w:tc>
          <w:tcPr>
            <w:tcW w:w="780" w:type="dxa"/>
            <w:vAlign w:val="bottom"/>
          </w:tcPr>
          <w:p>
            <w:pPr>
              <w:ind w:left="500"/>
              <w:spacing w:after="0"/>
              <w:rPr>
                <w:sz w:val="20"/>
                <w:szCs w:val="20"/>
                <w:color w:val="auto"/>
              </w:rPr>
            </w:pPr>
            <w:r>
              <w:rPr>
                <w:rFonts w:ascii="Arial" w:cs="Arial" w:eastAsia="Arial" w:hAnsi="Arial"/>
                <w:sz w:val="15"/>
                <w:szCs w:val="15"/>
                <w:color w:val="auto"/>
              </w:rPr>
              <w:t>51</w:t>
            </w:r>
          </w:p>
        </w:tc>
        <w:tc>
          <w:tcPr>
            <w:tcW w:w="8660" w:type="dxa"/>
            <w:vAlign w:val="bottom"/>
          </w:tcPr>
          <w:p>
            <w:pPr>
              <w:ind w:left="140"/>
              <w:spacing w:after="0"/>
              <w:rPr>
                <w:sz w:val="20"/>
                <w:szCs w:val="20"/>
                <w:color w:val="auto"/>
              </w:rPr>
            </w:pPr>
            <w:r>
              <w:rPr>
                <w:rFonts w:ascii="Arial" w:cs="Arial" w:eastAsia="Arial" w:hAnsi="Arial"/>
                <w:sz w:val="15"/>
                <w:szCs w:val="15"/>
                <w:color w:val="auto"/>
              </w:rPr>
              <w:t>President, New Energy, since April 2022; and Vice President, Human Resources, February 2019 to March 2022.</w:t>
            </w:r>
          </w:p>
        </w:tc>
      </w:tr>
      <w:tr>
        <w:trPr>
          <w:trHeight w:val="333"/>
        </w:trPr>
        <w:tc>
          <w:tcPr>
            <w:tcW w:w="1800" w:type="dxa"/>
            <w:vAlign w:val="bottom"/>
          </w:tcPr>
          <w:p>
            <w:pPr>
              <w:spacing w:after="0"/>
              <w:rPr>
                <w:sz w:val="20"/>
                <w:szCs w:val="20"/>
                <w:color w:val="auto"/>
              </w:rPr>
            </w:pPr>
            <w:r>
              <w:rPr>
                <w:rFonts w:ascii="Arial" w:cs="Arial" w:eastAsia="Arial" w:hAnsi="Arial"/>
                <w:sz w:val="15"/>
                <w:szCs w:val="15"/>
                <w:color w:val="auto"/>
              </w:rPr>
              <w:t>Aparna Raman</w:t>
            </w:r>
          </w:p>
        </w:tc>
        <w:tc>
          <w:tcPr>
            <w:tcW w:w="780" w:type="dxa"/>
            <w:vAlign w:val="bottom"/>
          </w:tcPr>
          <w:p>
            <w:pPr>
              <w:ind w:left="500"/>
              <w:spacing w:after="0"/>
              <w:rPr>
                <w:sz w:val="20"/>
                <w:szCs w:val="20"/>
                <w:color w:val="auto"/>
              </w:rPr>
            </w:pPr>
            <w:r>
              <w:rPr>
                <w:rFonts w:ascii="Arial" w:cs="Arial" w:eastAsia="Arial" w:hAnsi="Arial"/>
                <w:sz w:val="15"/>
                <w:szCs w:val="15"/>
                <w:color w:val="auto"/>
              </w:rPr>
              <w:t>51</w:t>
            </w:r>
          </w:p>
        </w:tc>
        <w:tc>
          <w:tcPr>
            <w:tcW w:w="8660" w:type="dxa"/>
            <w:vAlign w:val="bottom"/>
          </w:tcPr>
          <w:p>
            <w:pPr>
              <w:ind w:left="140"/>
              <w:spacing w:after="0"/>
              <w:rPr>
                <w:sz w:val="20"/>
                <w:szCs w:val="20"/>
                <w:color w:val="auto"/>
              </w:rPr>
            </w:pPr>
            <w:r>
              <w:rPr>
                <w:rFonts w:ascii="Arial" w:cs="Arial" w:eastAsia="Arial" w:hAnsi="Arial"/>
                <w:sz w:val="15"/>
                <w:szCs w:val="15"/>
                <w:color w:val="auto"/>
              </w:rPr>
              <w:t>Chief Strategy and Marketing Officer, since March 2025; and President, Reservoir Performance, from July 2020 to February</w:t>
            </w:r>
          </w:p>
        </w:tc>
      </w:tr>
      <w:tr>
        <w:trPr>
          <w:trHeight w:val="200"/>
        </w:trPr>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Arial" w:cs="Arial" w:eastAsia="Arial" w:hAnsi="Arial"/>
                <w:sz w:val="15"/>
                <w:szCs w:val="15"/>
                <w:color w:val="auto"/>
              </w:rPr>
              <w:t>2025.</w:t>
            </w:r>
          </w:p>
        </w:tc>
      </w:tr>
      <w:tr>
        <w:trPr>
          <w:trHeight w:val="355"/>
        </w:trPr>
        <w:tc>
          <w:tcPr>
            <w:tcW w:w="1800" w:type="dxa"/>
            <w:vAlign w:val="bottom"/>
          </w:tcPr>
          <w:p>
            <w:pPr>
              <w:spacing w:after="0"/>
              <w:rPr>
                <w:sz w:val="20"/>
                <w:szCs w:val="20"/>
                <w:color w:val="auto"/>
              </w:rPr>
            </w:pPr>
            <w:r>
              <w:rPr>
                <w:rFonts w:ascii="Arial" w:cs="Arial" w:eastAsia="Arial" w:hAnsi="Arial"/>
                <w:sz w:val="15"/>
                <w:szCs w:val="15"/>
                <w:color w:val="auto"/>
              </w:rPr>
              <w:t>Tarek Rizk</w:t>
            </w:r>
          </w:p>
        </w:tc>
        <w:tc>
          <w:tcPr>
            <w:tcW w:w="780" w:type="dxa"/>
            <w:vAlign w:val="bottom"/>
          </w:tcPr>
          <w:p>
            <w:pPr>
              <w:ind w:left="500"/>
              <w:spacing w:after="0"/>
              <w:rPr>
                <w:sz w:val="20"/>
                <w:szCs w:val="20"/>
                <w:color w:val="auto"/>
              </w:rPr>
            </w:pPr>
            <w:r>
              <w:rPr>
                <w:rFonts w:ascii="Arial" w:cs="Arial" w:eastAsia="Arial" w:hAnsi="Arial"/>
                <w:sz w:val="15"/>
                <w:szCs w:val="15"/>
                <w:color w:val="auto"/>
              </w:rPr>
              <w:t>48</w:t>
            </w:r>
          </w:p>
        </w:tc>
        <w:tc>
          <w:tcPr>
            <w:tcW w:w="8660" w:type="dxa"/>
            <w:vAlign w:val="bottom"/>
          </w:tcPr>
          <w:p>
            <w:pPr>
              <w:ind w:left="140"/>
              <w:spacing w:after="0"/>
              <w:rPr>
                <w:sz w:val="20"/>
                <w:szCs w:val="20"/>
                <w:color w:val="auto"/>
              </w:rPr>
            </w:pPr>
            <w:r>
              <w:rPr>
                <w:rFonts w:ascii="Arial" w:cs="Arial" w:eastAsia="Arial" w:hAnsi="Arial"/>
                <w:sz w:val="15"/>
                <w:szCs w:val="15"/>
                <w:color w:val="auto"/>
              </w:rPr>
              <w:t>Chief Performance Officer, since March 2025; and President, Middle East and North Africa, from June 2020 to February 2025.</w:t>
            </w:r>
          </w:p>
        </w:tc>
      </w:tr>
      <w:tr>
        <w:trPr>
          <w:trHeight w:val="333"/>
        </w:trPr>
        <w:tc>
          <w:tcPr>
            <w:tcW w:w="1800" w:type="dxa"/>
            <w:vAlign w:val="bottom"/>
          </w:tcPr>
          <w:p>
            <w:pPr>
              <w:spacing w:after="0"/>
              <w:rPr>
                <w:sz w:val="20"/>
                <w:szCs w:val="20"/>
                <w:color w:val="auto"/>
              </w:rPr>
            </w:pPr>
            <w:r>
              <w:rPr>
                <w:rFonts w:ascii="Arial" w:cs="Arial" w:eastAsia="Arial" w:hAnsi="Arial"/>
                <w:sz w:val="15"/>
                <w:szCs w:val="15"/>
                <w:color w:val="auto"/>
              </w:rPr>
              <w:t>Kevin Fyfe</w:t>
            </w:r>
          </w:p>
        </w:tc>
        <w:tc>
          <w:tcPr>
            <w:tcW w:w="780" w:type="dxa"/>
            <w:vAlign w:val="bottom"/>
          </w:tcPr>
          <w:p>
            <w:pPr>
              <w:ind w:left="500"/>
              <w:spacing w:after="0"/>
              <w:rPr>
                <w:sz w:val="20"/>
                <w:szCs w:val="20"/>
                <w:color w:val="auto"/>
              </w:rPr>
            </w:pPr>
            <w:r>
              <w:rPr>
                <w:rFonts w:ascii="Arial" w:cs="Arial" w:eastAsia="Arial" w:hAnsi="Arial"/>
                <w:sz w:val="15"/>
                <w:szCs w:val="15"/>
                <w:color w:val="auto"/>
              </w:rPr>
              <w:t>52</w:t>
            </w:r>
          </w:p>
        </w:tc>
        <w:tc>
          <w:tcPr>
            <w:tcW w:w="8660" w:type="dxa"/>
            <w:vAlign w:val="bottom"/>
          </w:tcPr>
          <w:p>
            <w:pPr>
              <w:ind w:left="140"/>
              <w:spacing w:after="0"/>
              <w:rPr>
                <w:sz w:val="20"/>
                <w:szCs w:val="20"/>
                <w:color w:val="auto"/>
              </w:rPr>
            </w:pPr>
            <w:r>
              <w:rPr>
                <w:rFonts w:ascii="Arial" w:cs="Arial" w:eastAsia="Arial" w:hAnsi="Arial"/>
                <w:sz w:val="15"/>
                <w:szCs w:val="15"/>
                <w:color w:val="auto"/>
              </w:rPr>
              <w:t>Vice President Mergers &amp; Acquisitions, since August 2025; Vice President and Treasurer, from July 2022 to July 2025; and</w:t>
            </w:r>
          </w:p>
        </w:tc>
      </w:tr>
      <w:tr>
        <w:trPr>
          <w:trHeight w:val="200"/>
        </w:trPr>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Arial" w:cs="Arial" w:eastAsia="Arial" w:hAnsi="Arial"/>
                <w:sz w:val="15"/>
                <w:szCs w:val="15"/>
                <w:color w:val="auto"/>
              </w:rPr>
              <w:t>Vice President and Controller, October 2017 to June 2022.</w:t>
            </w:r>
          </w:p>
        </w:tc>
      </w:tr>
      <w:tr>
        <w:trPr>
          <w:trHeight w:val="333"/>
        </w:trPr>
        <w:tc>
          <w:tcPr>
            <w:tcW w:w="1800" w:type="dxa"/>
            <w:vAlign w:val="bottom"/>
          </w:tcPr>
          <w:p>
            <w:pPr>
              <w:spacing w:after="0"/>
              <w:rPr>
                <w:sz w:val="20"/>
                <w:szCs w:val="20"/>
                <w:color w:val="auto"/>
              </w:rPr>
            </w:pPr>
            <w:r>
              <w:rPr>
                <w:rFonts w:ascii="Arial" w:cs="Arial" w:eastAsia="Arial" w:hAnsi="Arial"/>
                <w:sz w:val="15"/>
                <w:szCs w:val="15"/>
                <w:color w:val="auto"/>
              </w:rPr>
              <w:t>Ugo Prechner</w:t>
            </w:r>
          </w:p>
        </w:tc>
        <w:tc>
          <w:tcPr>
            <w:tcW w:w="780" w:type="dxa"/>
            <w:vAlign w:val="bottom"/>
          </w:tcPr>
          <w:p>
            <w:pPr>
              <w:ind w:left="500"/>
              <w:spacing w:after="0"/>
              <w:rPr>
                <w:sz w:val="20"/>
                <w:szCs w:val="20"/>
                <w:color w:val="auto"/>
              </w:rPr>
            </w:pPr>
            <w:r>
              <w:rPr>
                <w:rFonts w:ascii="Arial" w:cs="Arial" w:eastAsia="Arial" w:hAnsi="Arial"/>
                <w:sz w:val="15"/>
                <w:szCs w:val="15"/>
                <w:color w:val="auto"/>
              </w:rPr>
              <w:t>48</w:t>
            </w:r>
          </w:p>
        </w:tc>
        <w:tc>
          <w:tcPr>
            <w:tcW w:w="8660" w:type="dxa"/>
            <w:vAlign w:val="bottom"/>
          </w:tcPr>
          <w:p>
            <w:pPr>
              <w:ind w:left="140"/>
              <w:spacing w:after="0"/>
              <w:rPr>
                <w:sz w:val="20"/>
                <w:szCs w:val="20"/>
                <w:color w:val="auto"/>
              </w:rPr>
            </w:pPr>
            <w:r>
              <w:rPr>
                <w:rFonts w:ascii="Arial" w:cs="Arial" w:eastAsia="Arial" w:hAnsi="Arial"/>
                <w:sz w:val="15"/>
                <w:szCs w:val="15"/>
                <w:color w:val="auto"/>
              </w:rPr>
              <w:t>Vice President and Treasurer, since August 2025; Vice President and Controller, from August 2022 to July 2025; and Well</w:t>
            </w:r>
          </w:p>
        </w:tc>
      </w:tr>
      <w:tr>
        <w:trPr>
          <w:trHeight w:val="200"/>
        </w:trPr>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Arial" w:cs="Arial" w:eastAsia="Arial" w:hAnsi="Arial"/>
                <w:sz w:val="15"/>
                <w:szCs w:val="15"/>
                <w:color w:val="auto"/>
              </w:rPr>
              <w:t>Construction Controller, July 2020 to July 2022.</w:t>
            </w:r>
          </w:p>
        </w:tc>
      </w:tr>
      <w:tr>
        <w:trPr>
          <w:trHeight w:val="333"/>
        </w:trPr>
        <w:tc>
          <w:tcPr>
            <w:tcW w:w="1800" w:type="dxa"/>
            <w:vAlign w:val="bottom"/>
          </w:tcPr>
          <w:p>
            <w:pPr>
              <w:spacing w:after="0"/>
              <w:rPr>
                <w:sz w:val="20"/>
                <w:szCs w:val="20"/>
                <w:color w:val="auto"/>
              </w:rPr>
            </w:pPr>
            <w:r>
              <w:rPr>
                <w:rFonts w:ascii="Arial" w:cs="Arial" w:eastAsia="Arial" w:hAnsi="Arial"/>
                <w:sz w:val="15"/>
                <w:szCs w:val="15"/>
                <w:color w:val="auto"/>
              </w:rPr>
              <w:t>Andrea Saracco</w:t>
            </w:r>
          </w:p>
        </w:tc>
        <w:tc>
          <w:tcPr>
            <w:tcW w:w="780" w:type="dxa"/>
            <w:vAlign w:val="bottom"/>
          </w:tcPr>
          <w:p>
            <w:pPr>
              <w:ind w:left="500"/>
              <w:spacing w:after="0"/>
              <w:rPr>
                <w:sz w:val="20"/>
                <w:szCs w:val="20"/>
                <w:color w:val="auto"/>
              </w:rPr>
            </w:pPr>
            <w:r>
              <w:rPr>
                <w:rFonts w:ascii="Arial" w:cs="Arial" w:eastAsia="Arial" w:hAnsi="Arial"/>
                <w:sz w:val="15"/>
                <w:szCs w:val="15"/>
                <w:color w:val="auto"/>
              </w:rPr>
              <w:t>50</w:t>
            </w:r>
          </w:p>
        </w:tc>
        <w:tc>
          <w:tcPr>
            <w:tcW w:w="8660" w:type="dxa"/>
            <w:vAlign w:val="bottom"/>
          </w:tcPr>
          <w:p>
            <w:pPr>
              <w:ind w:left="140"/>
              <w:spacing w:after="0"/>
              <w:rPr>
                <w:sz w:val="20"/>
                <w:szCs w:val="20"/>
                <w:color w:val="auto"/>
              </w:rPr>
            </w:pPr>
            <w:r>
              <w:rPr>
                <w:rFonts w:ascii="Arial" w:cs="Arial" w:eastAsia="Arial" w:hAnsi="Arial"/>
                <w:sz w:val="15"/>
                <w:szCs w:val="15"/>
                <w:color w:val="auto"/>
              </w:rPr>
              <w:t>Vice President and Controller, since August 2025; Production Systems Controller, from August 2023 to July 2025; and</w:t>
            </w:r>
          </w:p>
        </w:tc>
      </w:tr>
      <w:tr>
        <w:trPr>
          <w:trHeight w:val="200"/>
        </w:trPr>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Arial" w:cs="Arial" w:eastAsia="Arial" w:hAnsi="Arial"/>
                <w:sz w:val="15"/>
                <w:szCs w:val="15"/>
                <w:color w:val="auto"/>
              </w:rPr>
              <w:t>Technology Controller, from June 2020 to July 2023.</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1A. Risk Factors.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xml:space="preserve"> and related notes included in Item 8. Financial Statements and Supplementary Data of this Form 10-K.</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i w:val="1"/>
          <w:iCs w:val="1"/>
          <w:color w:val="auto"/>
        </w:rPr>
        <w:t>Please carefully consider the risks described below, which discuss the material factors that make an investment in our securities speculative or risky, other material included or incorporated by reference in this Form 10-K, and other reports and materials that we file with the SEC. Additional risks and uncertainties not currently known to us or that we currently deem immaterial could also materially adversely affect our business, reputation, financial condition, results of operations, cash flows,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Business and Operational Risks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color w:val="auto"/>
        </w:rPr>
        <w:t>Demand for our products and services is substantially dependent on the levels of expenditures by our customers, which can change based on many factors, including fluctuations in oil and gas prices. Oil and gas industry downturns have resulted in reduced demand for oilfield products and services and lower expenditures by our customers, which has in the past had, and may in the future have, a material adverse effect on our financial condition, results of operations and cash flows.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Demand for our products and services depends substantially on expenditures by our customers for the exploration, development and production of oil and gas reserves. These expenditures are generally dependent on our customers’ views of future demand for oil and gas and future oil and gas prices, as well as our customers’ ability to access capital. In addition, the transition of the global energy sector from a primarily fossil fuel-based system to a diverse system which includes renewable energy sources could affect our customers’ levels of expenditures.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Actual and anticipated declines in oil and gas prices have in the past resulted in, and may in the future result in, lower capital expenditures, project modifications, delays or cancellations, general business disruptions, and delays in payment of, or nonpayment of, amounts that are owed to us. These effects have had, and may in the future have, a material adverse effect on our financial condition, results of operations and cash flows.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Historically, oil and gas prices have experienced significant volatility and can be affected by a variety of factors, including:</w:t>
      </w:r>
    </w:p>
    <w:p>
      <w:pPr>
        <w:spacing w:after="0" w:line="107" w:lineRule="exact"/>
        <w:rPr>
          <w:sz w:val="20"/>
          <w:szCs w:val="20"/>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the supply of and demand for hydrocarbons, which are affected by general economic and business conditions;</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costs of exploring for, producing, and delivering oil and gas;</w:t>
      </w:r>
    </w:p>
    <w:p>
      <w:pPr>
        <w:spacing w:after="0" w:line="26" w:lineRule="exact"/>
        <w:rPr>
          <w:rFonts w:ascii="Times New Roman" w:cs="Times New Roman" w:eastAsia="Times New Roman" w:hAnsi="Times New Roman"/>
          <w:sz w:val="15"/>
          <w:szCs w:val="15"/>
          <w:color w:val="auto"/>
        </w:rPr>
      </w:pPr>
    </w:p>
    <w:p>
      <w:pPr>
        <w:ind w:left="1020" w:hanging="509"/>
        <w:spacing w:after="0" w:line="266" w:lineRule="auto"/>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or willingness of the Organization of Petroleum Exporting Countries (OPEC) and the expanded alliance known as OPEC+ to set and maintain production levels for oil;</w:t>
      </w: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level of oil and gas exploration and production activity;</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level of excess production capacity;</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level of refining and storage capacity;</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level of oil and gas inventories;</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access to potential resources;</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political and economic uncertainty and geopolitical unrest;</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governmental laws, policies, regulations, subsidies, and other actions, including initiatives to promote the use of renewable energy sources;</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speculation as to the future price of oil and the speculative trading of oil and gas futures contracts;</w:t>
      </w:r>
    </w:p>
    <w:p>
      <w:pPr>
        <w:spacing w:after="0" w:line="29"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technological advances affecting energy consumption; and</w:t>
      </w:r>
    </w:p>
    <w:p>
      <w:pPr>
        <w:spacing w:after="0" w:line="26"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extreme weather conditions, natural disasters, and public health or similar issues, such as pandemics and epidemics.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oil and gas industry has historically experienced periodic downturns, which have been characterized by diminished demand for our products and services and downward pressure on the prices that we are able to charge. Sustained market uncertainty can also result in lower demand and pricing for our products and services. A significant industry downturn, sustained market uncertainty, or increased availability of economical alternative energy sources could result in a reduction in demand for our products and services, which could adversely affect our business, financial condition, results of operations, cash flows and prospects.</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Disruptions in the political, regulatory, economic, and social environments of the countries in which we operate or globally could adversely affect our reputation, financial condition, results of operations and cash flows.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We are a global technology company, and our non-US operations accounted for approximately 82% of our consolidated revenue in 2025, 85% in 2024, and 84% in 2023. Geopolitical instability and unforeseen changes in any of the markets in which we operate could result in business disruptions or operational challenges that may adversely affect the demand for our products and services, or our reputation, our financial condition, and our results of operations and cash flows. These factors include, but are not limited to, the following:</w:t>
      </w:r>
    </w:p>
    <w:p>
      <w:pPr>
        <w:spacing w:after="0" w:line="68" w:lineRule="exact"/>
        <w:rPr>
          <w:sz w:val="20"/>
          <w:szCs w:val="20"/>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uncertain or volatile political, social, and economic conditions;</w:t>
      </w:r>
    </w:p>
    <w:p>
      <w:pPr>
        <w:spacing w:after="0" w:line="26"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exposure to expropriation, nationalization, deprivation or confiscation of our assets or the assets of our customers, or other governmental actions;</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social unrest, acts of terrorism, war, or other armed conflict;</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confiscatory taxation or other adverse tax policies;</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theft of, or lack of sufficient legal protection for, proprietary technology and other intellectual property;</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deprivation of contract rights;</w:t>
      </w:r>
    </w:p>
    <w:p>
      <w:pPr>
        <w:spacing w:after="0" w:line="17" w:lineRule="exact"/>
        <w:rPr>
          <w:rFonts w:ascii="Times New Roman" w:cs="Times New Roman" w:eastAsia="Times New Roman" w:hAnsi="Times New Roman"/>
          <w:sz w:val="15"/>
          <w:szCs w:val="15"/>
          <w:color w:val="auto"/>
        </w:rPr>
      </w:pPr>
    </w:p>
    <w:p>
      <w:pPr>
        <w:ind w:left="1020" w:hanging="509"/>
        <w:spacing w:after="0" w:line="249" w:lineRule="auto"/>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trade and economic sanctions or other restrictions imposed by the European Union, the United States, the United Kingdom, China, or other regions or countries that could restrict or curtail our ability to operate in certain markets;</w:t>
      </w:r>
    </w:p>
    <w:p>
      <w:pPr>
        <w:spacing w:after="0" w:line="1"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public health crises;</w:t>
      </w:r>
    </w:p>
    <w:p>
      <w:pPr>
        <w:spacing w:after="0" w:line="12"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local content and other similar regional requirements;</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unexpected changes in legal and regulatory requirements, including changes in interpretation or enforcement of existing laws;</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restrictions on the repatriation of income or capital;</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supply chain disruptions;</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changes to tariff policies;</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currency exchange controls;</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currency exchange rate fluctuations and devaluations; and</w:t>
      </w:r>
    </w:p>
    <w:p>
      <w:pPr>
        <w:spacing w:after="0" w:line="17" w:lineRule="exact"/>
        <w:rPr>
          <w:rFonts w:ascii="Times New Roman" w:cs="Times New Roman" w:eastAsia="Times New Roman" w:hAnsi="Times New Roman"/>
          <w:sz w:val="15"/>
          <w:szCs w:val="15"/>
          <w:color w:val="auto"/>
        </w:rPr>
      </w:pPr>
    </w:p>
    <w:p>
      <w:pPr>
        <w:ind w:left="1020" w:hanging="509"/>
        <w:spacing w:after="0"/>
        <w:tabs>
          <w:tab w:leader="none" w:pos="10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inflation.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an example of a risk resulting from our global operations, in March 2022 we decided to immediately suspend new investment and technology deployment to our Russia operations. In July 2023, we announced that we were halting shipments of products into Russia from all our facilities worldwide in response to the continued expansion of international sanctions. Russia represented approximately 4% of our worldwide revenue during 2025. The carrying value of our net assets in Russia was approximately $0.7 billion as of December 31, 2025. This consisted of $0.2 billion of cash and short-term investments, $0.4 billion of receivables, $0.3 billion of fixed assets, $0.2 billion of other assets, and $0.4 billion of current liabilities.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continue to actively monitor the dynamic situation in Russia and Ukraine and applicable laws, sanctions and trade control restrictions resulting from the conflict. The extent to which our reputation, operations, financial results and cash flows, including the ability to repatriate cash, may be affected by the ongoing conflict in Ukraine will depend on various factors, including the extent and duration of the conflict; the effects of the conflict on regional and global economic and geopolitical conditions; the effect of further laws, sanctions and trade control restrictions on our business, the global economy and global supply chains; and the impact of fluctuations in the exchange rate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9" w:name="page10"/>
    <w:bookmarkEnd w:id="9"/>
    <w:p>
      <w:pPr>
        <w:jc w:val="both"/>
        <w:spacing w:after="0" w:line="285" w:lineRule="auto"/>
        <w:rPr>
          <w:sz w:val="20"/>
          <w:szCs w:val="20"/>
          <w:color w:val="auto"/>
        </w:rPr>
      </w:pPr>
      <w:r>
        <w:rPr>
          <w:rFonts w:ascii="Arial" w:cs="Arial" w:eastAsia="Arial" w:hAnsi="Arial"/>
          <w:sz w:val="15"/>
          <w:szCs w:val="15"/>
          <w:color w:val="auto"/>
        </w:rPr>
        <w:t>the ruble. Continuation or escalation of the conflict may also exacerbate this and other risk factors identified in this Form 10-K, including cybersecurity, regulatory, and reputational risks.</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Our operations are subject to cyber incidents that could have a material adverse effect on our reputation, business, financial condition, results of operations, and cash flows.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success depends in part on our ability to provide effective cybersecurity protection in connection with our digital technologies and services as well as our internal digital infrastructure. We operate information technology networks and systems for internal purposes that incorporate third-party software and technologies. We also connect to and exchange data with external networks that may be operated by our customers, suppliers, alliance partners, or other third parties. We provide digital technologies that allow us or our customers to remotely perform wellsite and field operations. We also develop software and other digital products and services that store, retrieve, manipulate, and manage our customers’ information and data, external data, personal data, and our own data.</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Our digital technologies and services, as well as third-party products, services and technologies that we rely on (including emerging technologies, such as AI programs), are subject to the risk of cyberattacks and, given the nature of such attacks, some incidents can remain undetected for a period of time despite efforts to detect and respond to them in a timely manner. Cyberattacks are expected to accelerate on a global basis in both frequency and magnitude as threat actors are becoming increasingly sophisticated in using techniques and tools (including AI) that circumvent controls, evade detection and even remove forensic evidence of the infiltration. There can be no assurance that our cybersecurity risk management program, processes, or systems we have designed to prevent or limit the effects of cyber incidents or attacks will be sufficient to prevent or detect material consequences arising from such incidents or attacks, or to avoid a material adverse impact on our systems after such incidents or attacks do occur. We have experienced and will continue to experience varying degrees of cyber incidents in the normal conduct of our business, including attacks resulting from social engineering such as phishing and ransomware infections. Even if we successfully defend our own digital technologies and services, we also rely on providers of third-party products, services, and networks, with whom we may share data and services, and who may be unable to effectively defend their digital technologies and services against attack.</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Unauthorized access to or modification of, or actions disabling our ability to obtain authorized access to, our customers’ data, other external data, personal data, or our own data, as a result of a cyber incident, attack or exploitation of a security vulnerability, or loss of control of our clients’ operations could result in significant damage to our reputation or disruption of the services we provide to our customers or of our customers’ businesses. In addition, allegations, reports, or concerns regarding vulnerabilities affecting our digital products or services could damage our reputation. This could lead to fewer customers using our digital products and services, which could have a material adverse impact on our financial condition, results of operations, cash flows, and future prospects. In addition, if our systems or third-party products, services, and network systems for protecting against cybersecurity risks prove to be insufficient, we could be adversely affected by, among other things, loss of or damage to our intellectual property, proprietary or confidential information; loss of customer, supplier, or our employee data; breach of personal data; interruption of our business operations; disruption of our customers’ businesses; increased legal and regulatory exposure, including fines and remediation costs; and increased costs required to prevent, respond to, or mitigate cybersecurity attacks. These risks could harm our reputation and our relationships with our employees, our customers, our suppliers, our alliance partners and other third parties, and may result in claims against us.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fail to realize the anticipated benefits of the ChampionX acquisition.</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success of the ChampionX acquisition will depend on, among other things, our ability to combine our business with that of ChampionX in a manner that facilitates growth opportunities and realizes anticipated synergies. If we are not able to successfully achieve these objectives, the anticipated benefits of the acquisition may not be realized fully, or at all, or may take longer to realize than expected.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Failure to effectively and timely address the energy transition could adversely affect our reputation, business, results of operations, and cash flows.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Our long-term success depends on our ability to effectively address the energy transition, which will require adapting our technology portfolio to changing customer preferences and government requirements, developing solutions to decarbonize oil and gas operations, and scaling innovative low-carbon and carbon-neutral technologies. If the energy transition landscape changes faster than anticipated or in a manner that we do not anticipate, demand for our products and services, as well as our relationships with various stakeholders, could be adversely affected. Furthermore, if we fail or are perceived to not effectively implement an energy transition strategy, or if investors or financial institutions shift funding away from companies in fossil fuel-related industries, our access to capital or the market for our securities could be negatively impacted.</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We operate in a highly competitive environment. If we are unable to maintain technology leadership, this could adversely affect any competitive advantage we hold.</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energy industry is highly competitive and rapidly evolving. Our business may be adversely affected if we fail to continue developing and producing innovative technologies in response to changes in the market, including customer and government requirements, or if we fail to deliver such technologies to our customers in a timely and cost-competitive manner. If we are unable to maintain technology leadership in our industry, our ability to maintain market share, defend, maintain, or increase prices for our products and services, and negotiate acceptable contract terms with our customers could be adversely affected. Furthermore, competing or new technologies may accelerate the obsolescence of our products or services and reduce the value of our intellectual property.</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Limitations on our ability to obtain, maintain, protect, or enforce our intellectual property rights, including our trade secrets, could cause a loss in revenue and any competitive advantage we hold.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5"/>
          <w:szCs w:val="15"/>
          <w:color w:val="auto"/>
        </w:rPr>
        <w:t>There can be no assurance that the steps we take to obtain, maintain, protect, and enforce our intellectual property rights will be adequate. Some of our products or services, and the processes we use to produce or provide them, have been granted patent protection, have patent applications pending, or are trade secrets. Our business may be adversely affected when our patents are unenforceable, the claims allowed under our patents are not sufficient to protect our technology, our patent applications are denied, or our trade secrets are not adequately protected. Patent protection on some types of technology, such as software or machine learning processes, may not be available in certain countries in which we operate. Our competitors may also be able to develop technology independently that is similar to ours without infringing on our patents or gaining access to our trade secrets.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Third parties may claim that we have infringed upon or otherwise violated their intellectual property rights.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tools, techniques, methodologies, programs, and components we use to provide our services and products may infringe upon or otherwise violate the intellectual property rights of others or be challenged on that basis. Regardless of the merits, any such claims generally result in significant legal and other costs, including reputational harm, and may distract management from running our business. Resolving such claims could increase our costs, including through royalty payments to acquire licenses, if available, from third parties and through the development of replacement technologies. If a license to resolve a claim were not available, we might not be able to continue providing a particular service or product.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Legal and Regulatory Risks</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Our operations require us to comply with numerous laws and regulations, violations of which could have a material adverse effect on our reputation, financial condition, results of operations or cash flows.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operations are subject to international, regional, national, and local laws and regulations in every place where we operate, relating to matters such as environmental protection, health and safety, labor and employment, human rights, import/export controls, currency, emissions reporting, exchange, bribery and corruption, anti-money laundering, data privacy and cybersecurity, intellectual property, immigration, antitrust, and taxation. These laws and regulations are complex, frequently change, have tended to become more stringent over time, and could conflict among one another. In the event the scope of these laws and regulations expands in the future, the incremental cost of compliance could adversely affect our financial condition, results of operations, or cash flows.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operations are subject to anti-corruption and anti-bribery laws and regulations, such as the Foreign Corrupt Practices Act, the UK Bribery Act, and other similar laws. We are also subject to trade control regulations and trade sanctions laws that restrict the movement of certain goods to, and certain operations in, various countries or with certain persons. Our ability to transfer people, products, and data among certain countries is subject to maintaining required licenses and complying with these laws and regulations.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internal controls, policies and procedures, and employee training and compliance programs we have implemented to deter prohibited practices may not be effective in preventing employees, contractors, or agents from violating or circumventing such internal policies or from material violations of applicable laws and regulations. Any determination that we have violated or are responsible for violations of applicable laws, including securities, environmental,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business, operations, and financial condition. In addition, any major violations could have a significant effect on our reputation and consequently on our ability to win future business and maintain existing customer and supplier relationships.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Existing or future laws, regulations, court orders or other public- or private-sector initiatives to limit greenhouse gas emissions or relating to climate change may reduce demand for our products and services.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Continuing political and social attention to the issue of climate change has resulted in both existing and proposed international agreements and national, regional, and local legislation and regulatory measures to limit GHG emissions and mitigate the effects of climate change. The implementation of these agreements, including the Paris Agreement, the Europe Climate Law, and other existing or future regulatory mandates, may adversely affect the demand for our products and services, impose taxes on us or our customers, require us or our customers to reduce GHG emissions from our technologies or operations, or accelerate the obsolescence of our products or services.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addition, increasing attention to the risks of climate change has resulted in an increased possibility of litigation or investigations brought by public and private entities against oil and gas companies in connection with their GHG emissions, as well as descriptions of their sustainable products and services. As a result, we or our customers may become subject to court orders compelling a reduction of GHG emissions or requiring mitigation of the effects of climate change, or requiring other mitigation actions.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There is also increased focus by our customers, investors and other stakeholders on climate change, sustainability, and energy transition matters. Actions to address these concerns or negative perceptions of our industry or fossil fuel products and their relationship to the environment have led to initiatives to conserve energy and promote the use of alternative energy sources, which may reduce the demand for and production of oil and gas in areas of the world where our customers operate, and thus reduce future demand for our products and services. In addition, initiatives by investors and financial institutions to limit funding to companies in fossil fuel-related industries may adversely affect our liquidity or access to capital. Any of these initiatives may, in turn, adversely affect our financial condition, results of operations, and cash flows.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1" w:name="page12"/>
    <w:bookmarkEnd w:id="11"/>
    <w:p>
      <w:pPr>
        <w:jc w:val="both"/>
        <w:spacing w:after="0" w:line="296" w:lineRule="auto"/>
        <w:rPr>
          <w:sz w:val="20"/>
          <w:szCs w:val="20"/>
          <w:color w:val="auto"/>
        </w:rPr>
      </w:pPr>
      <w:r>
        <w:rPr>
          <w:rFonts w:ascii="Arial" w:cs="Arial" w:eastAsia="Arial" w:hAnsi="Arial"/>
          <w:sz w:val="15"/>
          <w:szCs w:val="15"/>
          <w:b w:val="1"/>
          <w:bCs w:val="1"/>
          <w:color w:val="auto"/>
        </w:rPr>
        <w:t>Environmental compliance costs and liabilities arising as a result of environmental laws and regulations could have a material adverse effect on our business, financial condition, results of operations, and cash flows.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are subject to numerous laws and regulations relating to environmental protection, including those governing GHG and other air emissions, water discharges and waste management, as well as the importation and use of hazardous materials, radioactive materials, chemicals, and explosives. The technical requirements of these laws and regulations are becoming increasingly complex, stringent, and expensive to implement. These laws sometimes provide for “strict liability” for remediation costs, damages to natural resources or threats to public health and safety. Strict liability can render us liable for damages without regard to our degree of care or fault. Some environmental laws provide for joint and several strict liability for remediation of spills and releases of hazardous substances, and, as a result, we could be liable for the actions of others.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a result of exposures to, or releases of, hazardous substances. In addition, stricter enforcement or changing interpretations of existing laws and regulations, the enactment of new laws and regulations, the discovery of previously unknown contamination, or the imposition of new or increased requirements could require us to incur costs or become the basis for new or increased liabilities that could have a material adverse effect on our business, operations, and financial condition.</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We could be subject to substantial liability claims, including as a result of well incidents, which could adversely affect our reputation, financial condition, results of operations, and cash flows.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technical complexities of our operations expose us to a wide range of significant health, safety, and environmental risks. Our operations involve the use of radioactive materials, chemicals, explosives and other equipment and services that are deployed in challenging exploration, development, and production environments. Accidents or acts of malfeasance involving these services (including remotely operated services) or equipment, or a failure of a product or service (including as a result of a cyberattack), could cause personal injury, loss of life, damage to or destruction of property, equipment or the environment, or suspension of operations, which could materially adversely affect us. Any well incidents, including blowouts at a well site or any loss of containment or well control, may expose us to additional liabilities, which could be material. Generally, we rely on contractual indemnities, releases, and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General Risk Factors</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Our aspirations, goals, and initiatives related to sustainability and emissions reduction, and our public statements and disclosures regarding them, expose us to numerous risks.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have developed, and will continue to develop and set, goals, targets, and other objectives related to sustainability matters, including our net-zero emissions target and our energy transition strategy. Statements related to these goals, targets, and objectives reflect our current plans and aspirations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including with respect to emissions reduction, is subject to numerous factors and conditions, some of which are outside of our contro</w:t>
      </w:r>
      <w:r>
        <w:rPr>
          <w:rFonts w:ascii="Arial" w:cs="Arial" w:eastAsia="Arial" w:hAnsi="Arial"/>
          <w:sz w:val="16"/>
          <w:szCs w:val="16"/>
          <w:color w:val="auto"/>
        </w:rPr>
        <w:t>l.</w:t>
      </w:r>
      <w:r>
        <w:rPr>
          <w:rFonts w:ascii="Arial" w:cs="Arial" w:eastAsia="Arial" w:hAnsi="Arial"/>
          <w:sz w:val="15"/>
          <w:szCs w:val="15"/>
          <w:color w:val="auto"/>
        </w:rPr>
        <w:t xml:space="preserve"> Our targets are based on empirical data and estimates that reflect our understanding of current best practices for measuring or estimating emissions or other metrics, but we anticipate that future innovations in both measurement technologies and estimation methodologies could cause us to revise our baseline as well as re-calculate progress toward our targets.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business faces increased scrutiny from certain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including any third-party ratings used by stakeholders, which continue to evolve, our reputation, our ability to attract or retain employees, our ability to access capital,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Failure to attract and retain qualified personnel could impede our operations.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Our future success depends on our ability to recruit, train, and retain qualified personnel. We require highly skilled personnel to operate and provide technical services and support for our business. Competition for the personnel necessary for our businesses intensifies as activity increases, technology evolves and customer demands change. In periods of high utilization, it is often more difficult to find and retain qualified individuals. This could increase our costs or have other material adverse effects on our operations.</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Severe weather events, including extreme weather conditions associated with climate change, have in the past and may in the future adversely affect our operations and financial results.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5"/>
          <w:szCs w:val="15"/>
          <w:color w:val="auto"/>
        </w:rPr>
        <w:t>Our business has been, and in the future will be, affected by severe weather events in areas where we operate, which could materially affect our operations and financial results. Extreme weather conditions such as hurricanes, flooding, landslides, and heat waves have in the past resulted in, and may in the future result in, the evacuation of personnel, stoppage of services and activity disruptions at our facilities, in our supply chain, or at well-sites, or result in disruptions to our customers’ operations. Particularly severe weather events affecting platforms or structures may result in a suspension of activities. Climate change may impact the frequency and/or intensity of such events. In addition, acute or chronic physical impacts of climate change, such as sea level rise, coastal storm surge, inland flooding from intense rainfall, and hurricane-strength winds may damage our facilities. Any such extreme weather events may result in increased operating costs or decreases in revenue.</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1B. Unresolved Staff Comments.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1C. Cybersecurity.</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231F20"/>
        </w:rPr>
        <w:t>SLB maintains a cyber risk management program designed to identify, assess, manage, mitigate, and respond to cybersecurity threats. This program is integrated within the Company’s enterprise risk management system and addresses both the corporate information technology environment and customer-facing products and services.</w:t>
      </w: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231F20"/>
        </w:rPr>
        <w:t>The underlying controls of the cyber risk management program are based on recognized best practices and standards for cybersecurity and information technology, including the National Institute of Standards and Technology (“NIST”) Cybersecurity Framework (“CSF”) and the International Organization Standardization (“ISO”) 27001 Information Security Management System Requirements. SLB has an annual assessment, performed by a third party, of the Company’s cyber risk management program against the NIST CSF.</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SLB has a Cybersecurity Operations Center operating in three locations to provide 24/7 monitoring of its global cybersecurity environment and to coordinate the investigation and remediation of alerts. A program for staging incident response drills is in place to prepare support teams in the event of a significant incident.</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231F20"/>
        </w:rPr>
        <w:t>Cyber partners are a key part of SLB’s cybersecurity infrastructure. SLB partners with leading cybersecurity companies and organizations, leveraging third-party technology and expertise. SLB engages with these partners to monitor and maintain the performance and effectiveness of products and services that are deployed in SLB’s environment as well as, if necessary, assist in responding to cyber attacks.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231F20"/>
        </w:rPr>
        <w:t>SLB’s Cybersecurity Director reports to SLB’s Chief Information Officer and is the head of the Company’s cybersecurity team. The Cyber Security Director is responsible for assessing and managing SLB’s cyber risk management program, informs senior management regarding the prevention, detection, mitigation, and remediation of cybersecurity incidents and supervises such efforts. The cybersecurity team has decades of experience selecting, deploying, and operating cybersecurity technologies, initiatives, and processes around the world, and relies on threat intelligence as well as other information obtained from governmental, public, and private sources, including external consultants engaged by SLB.</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231F20"/>
        </w:rPr>
        <w:t>The Audit Committee of the Board of Directors oversees SLB’s cybersecurity risk exposures and the steps taken by management to monitor and mitigate cybersecurity risks. The cybersecurity team briefs the Audit Committee on the effectiveness of SLB’s cyber risk management program, typically on a quarterly basis. In addition, cybersecurity risks are reviewed by the SLB Board of Directors, at least annually, as part of the Company’s enterprise risk management process.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231F20"/>
        </w:rPr>
        <w:t>SLB faces risks from cybersecurity threats that could have a material adverse effect on its business, financial condition, results of operations, cash flows or reputation. SLB has experienced, and will continue to experience, cyber incidents in the normal course of its business. However, prior cybersecurity incidents have not had a material adverse effect on SLB’s business, financial condition, results of operations, or cash flows. See “Risk Factors – Business and Operational Risks – Our operations are subject to cyber incidents that could have a material adverse effect on our reputation, business, financial condition, results of operations, and cash flows.”</w:t>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2. Properties.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owns or leases numerous manufacturing facilities, administrative offices, service centers, research centers, data processing centers, mines, and other facilities throughout the world, none of which are individually material.</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3. Legal Proceedings.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information with respect to this Item 3. Legal Proceedings is set forth in Note 15 – </w:t>
      </w:r>
      <w:r>
        <w:rPr>
          <w:rFonts w:ascii="Arial" w:cs="Arial" w:eastAsia="Arial" w:hAnsi="Arial"/>
          <w:sz w:val="15"/>
          <w:szCs w:val="15"/>
          <w:i w:val="1"/>
          <w:iCs w:val="1"/>
          <w:color w:val="auto"/>
        </w:rPr>
        <w:t>Contingencies</w:t>
      </w:r>
      <w:r>
        <w:rPr>
          <w:rFonts w:ascii="Arial" w:cs="Arial" w:eastAsia="Arial" w:hAnsi="Arial"/>
          <w:sz w:val="15"/>
          <w:szCs w:val="15"/>
          <w:color w:val="auto"/>
        </w:rPr>
        <w:t xml:space="preserve">, in the accompanying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4. Mine Safety Disclosures.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u w:val="single" w:color="auto"/>
          <w:color w:val="auto"/>
        </w:rPr>
        <w:t>PART II</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5. Market for Registrant’s Common Equity, Related Stockholder Matters and Issuer Purchases of Equity Securities.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As of December 31, 2025, there were 21,139 stockholders of record. The principal US market for SLB’s common stock is the New York Stock Exchange (“NYSE”), where it is traded under the symbol “SLB.”</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graph compares the cumulative total stockholder return on SLB common stock with the cumulative total return on the Standard &amp; Poor’s 500 Index (“S&amp;P 500 Index”) and the cumulative total return on the Philadelphia Oil Service Index. It assumes $100 was invested on December 31, 2020 in SLB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as amended, or the Securities Exchange Act of 1934, as amended, except to the extent that SLB specifically incorporates it by reference into such filing.</w:t>
      </w: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Comparison of Five-Year Cumulative Total Return Among</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SLB Common Stock, the S&amp;P 500 Index and the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Philadelphia Oil Service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114935</wp:posOffset>
            </wp:positionV>
            <wp:extent cx="4537075" cy="3070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37075" cy="307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Share Repurchases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On January 21, 2016, the SLB Board of Directors approved a $10 billion share repurchase program for SLB common stock. SLB cumulatively repurchased $5.9 billion of its common stock under this program as of December 31, 2025.</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No shares were repurchased during the three months ended December 31, 2025.</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Unregistered Sales of Equity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6. [Reserved].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u w:val="single" w:color="auto"/>
          <w:color w:val="auto"/>
        </w:rPr>
        <w:t>Item 7. Management’s Discussion and Analysis of Financial Condition and Results of Operations.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Annual Report on Form 10-K.</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SLB previously reported its results on the basis of four Divisions: Digital &amp; Integration, Reservoir Performance, Well Construction, and Production Systems. Commencing the third quarter of 2025, SLB's Digital business is reported as a separate Division. Additionally, SLB's Asset Performance Solutions ("APS"), Data Center Solutions, and SLB Capturi businesses are now reported in the All Other category. The acquired ChampionX businesses are predominantly reported in SLB's Production Systems Division, with the exception of its digital business, which is reported in SLB's Digital Division. Prior periods have been recast to conform to the current presentation.</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2025 Executive Overview</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Although 2025 presented a challenging backdrop for the industry—with lower commodity prices, geopolitical uncertainty and an oversupplied oil market—we continued to build resilience across our portfolio by accelerating our strategy. We completed the acquisition of ChampionX during the third quarter in an all-stock transaction valued at $4.9 billion. The combined portfolio, technology capabilities and digital leadership positions SLB to create value for its customers and stakeholders by increasing its exposure to the growing production and recovery market while delivering best-in-class workflow integration across production chemicals and artificial lift. In addition to growing our emphasis on production and recovery, we also increased deployment of AI solutions and the rapid expansion of our Data Center Solutions business.</w:t>
      </w:r>
    </w:p>
    <w:p>
      <w:pPr>
        <w:spacing w:after="0" w:line="32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Amidst lower upstream spending, global revenue of $35.7 billion declined 2% year on year, while we generated $6.5 billion of cash flow from operations and $4.1 billion of free cash flow, enabling us to return $4.0 billion to shareholders.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Excluding the $1.5 billion of revenue from the acquisition of ChampionX, revenue declined 6% year on year as growth in our Digital and Data Center Solutions businesses were more than offset by declines in Saudi Arabia, Mexico and offshore Sub-Saharan Africa.</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International revenue declined 5% year on year due to the lower activity in Saudi Arabia, Mexico and Sub-Saharan Africa while North America revenue grew 12% driven by the ChampionX acquisition. Excluding the impact of this transaction, North American revenue declined 2% despite a 5% drop in upstream spending, supported by growth in Data Center Solutions which grew 121% year on year. This business is expanding rapidly as we strengthen strategic partnerships with hyperscalers to leverage our modular data center manufacturing capabilities.</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Digital revenue increased 9% on a full-year basis driven by significant uptake in Digital Operations as well as steady growth in Platforms &amp; Applications as customers continued to invest in automated solutions to improve performance and efficiency.</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231F20"/>
        </w:rPr>
        <w:t>SLB concluded the year with a very strong fourth quarter driven by Production Systems, Digital and Reservoir Performance. Notably, fourth quarter revenue increased sequentially across each of our four geographies for the first time since the second quarter of 2024, reflecting stabilized global upstream activity. We experienced sequential organic revenue growth both in North America and in the international markets, driven by higher offshore activity and strong year-end product and digital sales in Latin America, the Middle East and Asia, across Sub-Saharan Africa and in North America Offshore.</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As we move into 2026, we believe the headwinds we experienced in key regions in 2025 are behind us. In particular, we expect rig activity in the Middle East, to increase compared to today’s level, and our footprint in the region puts us in a strong position to benefit from this recovery.</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231F20"/>
        </w:rPr>
        <w:t>As economics remain challenged, production and recovery activity is becoming a strategic priority for our customers to unlock incremental barrels at the lowest cost.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231F20"/>
        </w:rPr>
        <w:t>This is translating into higher demand particularly for intervention services, artificial lift, production chemicals and SLB OneSubsea.</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We expect that Data Center Solutions will be our fastest growing business for years to come, and Digital will continue to grow at highly accretive margins. Both present differentiated growth opportunities for SLB in 2026 and beyond.</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SLB has consistently proven that the unique strengths of our portfolio enable us to create differentiated value and generate significant cash flows in varied market conditions.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As we move through the year, we anticipate that activity will gradually improve in the key markets where we operate, giving us the confidence that we will generate strong cash flows, once again, in 2026.</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Aligned with our clear priority to create value for investors, we are committed to returning more than $4 billion to shareholders in 2026 through dividends and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5"/>
          <w:szCs w:val="15"/>
          <w:b w:val="1"/>
          <w:bCs w:val="1"/>
          <w:u w:val="single" w:color="auto"/>
          <w:color w:val="auto"/>
        </w:rPr>
        <w:t>Fourth Quarter 2025 Results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351"/>
        </w:trPr>
        <w:tc>
          <w:tcPr>
            <w:tcW w:w="3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4"/>
          </w:tcPr>
          <w:p>
            <w:pPr>
              <w:jc w:val="right"/>
              <w:ind w:right="144"/>
              <w:spacing w:after="0"/>
              <w:rPr>
                <w:sz w:val="20"/>
                <w:szCs w:val="20"/>
                <w:color w:val="auto"/>
              </w:rPr>
            </w:pPr>
            <w:r>
              <w:rPr>
                <w:rFonts w:ascii="Arial" w:cs="Arial" w:eastAsia="Arial" w:hAnsi="Arial"/>
                <w:sz w:val="15"/>
                <w:szCs w:val="15"/>
                <w:b w:val="1"/>
                <w:bCs w:val="1"/>
                <w:color w:val="auto"/>
              </w:rPr>
              <w:t>Fourth Quarter 2025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5"/>
                <w:szCs w:val="15"/>
                <w:color w:val="auto"/>
              </w:rPr>
              <w:t>Third Quarter 2025</w:t>
            </w:r>
          </w:p>
        </w:tc>
      </w:tr>
      <w:tr>
        <w:trPr>
          <w:trHeight w:val="158"/>
        </w:trPr>
        <w:tc>
          <w:tcPr>
            <w:tcW w:w="3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rPr>
              <w:t>Pretax</w:t>
            </w:r>
          </w:p>
        </w:tc>
        <w:tc>
          <w:tcPr>
            <w:tcW w:w="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04"/>
              <w:spacing w:after="0" w:line="159" w:lineRule="exact"/>
              <w:rPr>
                <w:sz w:val="20"/>
                <w:szCs w:val="20"/>
                <w:color w:val="auto"/>
              </w:rPr>
            </w:pPr>
            <w:r>
              <w:rPr>
                <w:rFonts w:ascii="Arial" w:cs="Arial" w:eastAsia="Arial" w:hAnsi="Arial"/>
                <w:sz w:val="15"/>
                <w:szCs w:val="15"/>
                <w:color w:val="auto"/>
              </w:rPr>
              <w:t>Pretax</w:t>
            </w:r>
          </w:p>
        </w:tc>
        <w:tc>
          <w:tcPr>
            <w:tcW w:w="100" w:type="dxa"/>
            <w:vAlign w:val="bottom"/>
          </w:tcPr>
          <w:p>
            <w:pPr>
              <w:spacing w:after="0"/>
              <w:rPr>
                <w:sz w:val="13"/>
                <w:szCs w:val="13"/>
                <w:color w:val="auto"/>
              </w:rPr>
            </w:pPr>
          </w:p>
        </w:tc>
      </w:tr>
      <w:tr>
        <w:trPr>
          <w:trHeight w:val="190"/>
        </w:trPr>
        <w:tc>
          <w:tcPr>
            <w:tcW w:w="3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Revenue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Income</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Revenue</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Income</w:t>
            </w:r>
          </w:p>
        </w:tc>
        <w:tc>
          <w:tcPr>
            <w:tcW w:w="100" w:type="dxa"/>
            <w:vAlign w:val="bottom"/>
          </w:tcPr>
          <w:p>
            <w:pPr>
              <w:spacing w:after="0"/>
              <w:rPr>
                <w:sz w:val="16"/>
                <w:szCs w:val="16"/>
                <w:color w:val="auto"/>
              </w:rPr>
            </w:pPr>
          </w:p>
        </w:tc>
      </w:tr>
      <w:tr>
        <w:trPr>
          <w:trHeight w:val="170"/>
        </w:trPr>
        <w:tc>
          <w:tcPr>
            <w:tcW w:w="36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2300" w:type="dxa"/>
            <w:vAlign w:val="bottom"/>
            <w:gridSpan w:val="2"/>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825</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84"/>
              <w:spacing w:after="0" w:line="171" w:lineRule="exact"/>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280</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
              <w:spacing w:after="0" w:line="171"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658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7"/>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187</w:t>
            </w:r>
          </w:p>
        </w:tc>
        <w:tc>
          <w:tcPr>
            <w:tcW w:w="100" w:type="dxa"/>
            <w:vAlign w:val="bottom"/>
            <w:shd w:val="clear" w:color="auto" w:fill="CFF0FC"/>
          </w:tcPr>
          <w:p>
            <w:pPr>
              <w:spacing w:after="0"/>
              <w:rPr>
                <w:sz w:val="14"/>
                <w:szCs w:val="14"/>
                <w:color w:val="auto"/>
              </w:rPr>
            </w:pPr>
          </w:p>
        </w:tc>
      </w:tr>
      <w:tr>
        <w:trPr>
          <w:trHeight w:val="178"/>
        </w:trPr>
        <w:tc>
          <w:tcPr>
            <w:tcW w:w="3680" w:type="dxa"/>
            <w:vAlign w:val="bottom"/>
          </w:tcPr>
          <w:p>
            <w:pPr>
              <w:spacing w:after="0"/>
              <w:rPr>
                <w:sz w:val="20"/>
                <w:szCs w:val="20"/>
                <w:color w:val="auto"/>
              </w:rPr>
            </w:pPr>
            <w:r>
              <w:rPr>
                <w:rFonts w:ascii="Arial" w:cs="Arial" w:eastAsia="Arial" w:hAnsi="Arial"/>
                <w:sz w:val="15"/>
                <w:szCs w:val="15"/>
                <w:color w:val="auto"/>
              </w:rPr>
              <w:t>Reservoir Performance</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1,748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342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1,682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312</w:t>
            </w:r>
          </w:p>
        </w:tc>
        <w:tc>
          <w:tcPr>
            <w:tcW w:w="100" w:type="dxa"/>
            <w:vAlign w:val="bottom"/>
          </w:tcPr>
          <w:p>
            <w:pPr>
              <w:spacing w:after="0"/>
              <w:rPr>
                <w:sz w:val="15"/>
                <w:szCs w:val="15"/>
                <w:color w:val="auto"/>
              </w:rPr>
            </w:pPr>
          </w:p>
        </w:tc>
      </w:tr>
      <w:tr>
        <w:trPr>
          <w:trHeight w:val="178"/>
        </w:trPr>
        <w:tc>
          <w:tcPr>
            <w:tcW w:w="368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2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2,949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550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w:t>
            </w:r>
          </w:p>
        </w:tc>
        <w:tc>
          <w:tcPr>
            <w:tcW w:w="100" w:type="dxa"/>
            <w:vAlign w:val="bottom"/>
            <w:shd w:val="clear" w:color="auto" w:fill="CFF0FC"/>
          </w:tcPr>
          <w:p>
            <w:pPr>
              <w:spacing w:after="0"/>
              <w:rPr>
                <w:sz w:val="15"/>
                <w:szCs w:val="15"/>
                <w:color w:val="auto"/>
              </w:rPr>
            </w:pPr>
          </w:p>
        </w:tc>
      </w:tr>
      <w:tr>
        <w:trPr>
          <w:trHeight w:val="178"/>
        </w:trPr>
        <w:tc>
          <w:tcPr>
            <w:tcW w:w="3680" w:type="dxa"/>
            <w:vAlign w:val="bottom"/>
          </w:tcPr>
          <w:p>
            <w:pPr>
              <w:spacing w:after="0"/>
              <w:rPr>
                <w:sz w:val="20"/>
                <w:szCs w:val="20"/>
                <w:color w:val="auto"/>
              </w:rPr>
            </w:pPr>
            <w:r>
              <w:rPr>
                <w:rFonts w:ascii="Arial" w:cs="Arial" w:eastAsia="Arial" w:hAnsi="Arial"/>
                <w:sz w:val="15"/>
                <w:szCs w:val="15"/>
                <w:color w:val="auto"/>
              </w:rPr>
              <w:t>Production Systems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4,078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664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3,474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559</w:t>
            </w:r>
          </w:p>
        </w:tc>
        <w:tc>
          <w:tcPr>
            <w:tcW w:w="100" w:type="dxa"/>
            <w:vAlign w:val="bottom"/>
          </w:tcPr>
          <w:p>
            <w:pPr>
              <w:spacing w:after="0"/>
              <w:rPr>
                <w:sz w:val="15"/>
                <w:szCs w:val="15"/>
                <w:color w:val="auto"/>
              </w:rPr>
            </w:pPr>
          </w:p>
        </w:tc>
      </w:tr>
      <w:tr>
        <w:trPr>
          <w:trHeight w:val="178"/>
        </w:trPr>
        <w:tc>
          <w:tcPr>
            <w:tcW w:w="368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2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445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85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FF0FC"/>
          </w:tcPr>
          <w:p>
            <w:pPr>
              <w:spacing w:after="0"/>
              <w:rPr>
                <w:sz w:val="15"/>
                <w:szCs w:val="15"/>
                <w:color w:val="auto"/>
              </w:rPr>
            </w:pPr>
          </w:p>
        </w:tc>
      </w:tr>
      <w:tr>
        <w:trPr>
          <w:trHeight w:val="178"/>
        </w:trPr>
        <w:tc>
          <w:tcPr>
            <w:tcW w:w="3680" w:type="dxa"/>
            <w:vAlign w:val="bottom"/>
          </w:tcPr>
          <w:p>
            <w:pPr>
              <w:spacing w:after="0"/>
              <w:rPr>
                <w:sz w:val="20"/>
                <w:szCs w:val="20"/>
                <w:color w:val="auto"/>
              </w:rPr>
            </w:pPr>
            <w:r>
              <w:rPr>
                <w:rFonts w:ascii="Arial" w:cs="Arial" w:eastAsia="Arial" w:hAnsi="Arial"/>
                <w:sz w:val="15"/>
                <w:szCs w:val="15"/>
                <w:color w:val="auto"/>
              </w:rPr>
              <w:t>Eliminations &amp; other</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(300)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(86)</w:t>
            </w:r>
          </w:p>
        </w:tc>
      </w:tr>
      <w:tr>
        <w:trPr>
          <w:trHeight w:val="178"/>
        </w:trPr>
        <w:tc>
          <w:tcPr>
            <w:tcW w:w="368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Corporate &amp; other </w:t>
            </w:r>
            <w:r>
              <w:rPr>
                <w:rFonts w:ascii="Arial" w:cs="Arial" w:eastAsia="Arial" w:hAnsi="Arial"/>
                <w:sz w:val="20"/>
                <w:szCs w:val="20"/>
                <w:color w:val="auto"/>
                <w:vertAlign w:val="superscript"/>
              </w:rPr>
              <w:t>(1)</w:t>
            </w:r>
          </w:p>
        </w:tc>
        <w:tc>
          <w:tcPr>
            <w:tcW w:w="2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(208)</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(203)</w:t>
            </w:r>
          </w:p>
        </w:tc>
      </w:tr>
      <w:tr>
        <w:trPr>
          <w:trHeight w:val="178"/>
        </w:trPr>
        <w:tc>
          <w:tcPr>
            <w:tcW w:w="3680" w:type="dxa"/>
            <w:vAlign w:val="bottom"/>
          </w:tcPr>
          <w:p>
            <w:pPr>
              <w:spacing w:after="0" w:line="178" w:lineRule="exact"/>
              <w:rPr>
                <w:sz w:val="20"/>
                <w:szCs w:val="20"/>
                <w:color w:val="auto"/>
              </w:rPr>
            </w:pPr>
            <w:r>
              <w:rPr>
                <w:rFonts w:ascii="Arial" w:cs="Arial" w:eastAsia="Arial" w:hAnsi="Arial"/>
                <w:sz w:val="15"/>
                <w:szCs w:val="15"/>
                <w:color w:val="auto"/>
              </w:rPr>
              <w:t xml:space="preserve">Interest income </w:t>
            </w:r>
            <w:r>
              <w:rPr>
                <w:rFonts w:ascii="Arial" w:cs="Arial" w:eastAsia="Arial" w:hAnsi="Arial"/>
                <w:sz w:val="20"/>
                <w:szCs w:val="20"/>
                <w:color w:val="auto"/>
                <w:vertAlign w:val="superscript"/>
              </w:rPr>
              <w:t>(2)</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5"/>
                <w:szCs w:val="15"/>
                <w:color w:val="auto"/>
              </w:rPr>
            </w:pPr>
          </w:p>
        </w:tc>
      </w:tr>
      <w:tr>
        <w:trPr>
          <w:trHeight w:val="178"/>
        </w:trPr>
        <w:tc>
          <w:tcPr>
            <w:tcW w:w="368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0"/>
                <w:szCs w:val="20"/>
                <w:color w:val="auto"/>
                <w:vertAlign w:val="superscript"/>
              </w:rPr>
              <w:t>(3)</w:t>
            </w:r>
          </w:p>
        </w:tc>
        <w:tc>
          <w:tcPr>
            <w:tcW w:w="2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(126)</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(142)</w:t>
            </w:r>
          </w:p>
        </w:tc>
      </w:tr>
      <w:tr>
        <w:trPr>
          <w:trHeight w:val="178"/>
        </w:trPr>
        <w:tc>
          <w:tcPr>
            <w:tcW w:w="3680" w:type="dxa"/>
            <w:vAlign w:val="bottom"/>
          </w:tcPr>
          <w:p>
            <w:pPr>
              <w:spacing w:after="0" w:line="178" w:lineRule="exact"/>
              <w:rPr>
                <w:sz w:val="20"/>
                <w:szCs w:val="20"/>
                <w:color w:val="auto"/>
              </w:rPr>
            </w:pPr>
            <w:r>
              <w:rPr>
                <w:rFonts w:ascii="Arial" w:cs="Arial" w:eastAsia="Arial" w:hAnsi="Arial"/>
                <w:sz w:val="15"/>
                <w:szCs w:val="15"/>
                <w:color w:val="auto"/>
              </w:rPr>
              <w:t xml:space="preserve">Charges &amp; credits </w:t>
            </w:r>
            <w:r>
              <w:rPr>
                <w:rFonts w:ascii="Arial" w:cs="Arial" w:eastAsia="Arial" w:hAnsi="Arial"/>
                <w:sz w:val="20"/>
                <w:szCs w:val="20"/>
                <w:color w:val="auto"/>
                <w:vertAlign w:val="superscript"/>
              </w:rPr>
              <w:t>(4)</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(561)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(318)</w:t>
            </w:r>
          </w:p>
        </w:tc>
      </w:tr>
      <w:tr>
        <w:trPr>
          <w:trHeight w:val="210"/>
        </w:trPr>
        <w:tc>
          <w:tcPr>
            <w:tcW w:w="368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9,745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684"/>
              <w:spacing w:after="0" w:line="171" w:lineRule="exact"/>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943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4"/>
              <w:spacing w:after="0" w:line="171" w:lineRule="exact"/>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8,928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-23495</wp:posOffset>
            </wp:positionV>
            <wp:extent cx="647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-7620</wp:posOffset>
            </wp:positionV>
            <wp:extent cx="647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-23495</wp:posOffset>
            </wp:positionV>
            <wp:extent cx="647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-7620</wp:posOffset>
            </wp:positionV>
            <wp:extent cx="647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-23495</wp:posOffset>
            </wp:positionV>
            <wp:extent cx="647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-7620</wp:posOffset>
            </wp:positionV>
            <wp:extent cx="647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-23495</wp:posOffset>
            </wp:positionV>
            <wp:extent cx="723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72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188" w:lineRule="exact"/>
        <w:rPr>
          <w:sz w:val="20"/>
          <w:szCs w:val="20"/>
          <w:color w:val="auto"/>
        </w:rPr>
      </w:pPr>
    </w:p>
    <w:p>
      <w:pPr>
        <w:ind w:left="380" w:hanging="378"/>
        <w:spacing w:after="0" w:line="214" w:lineRule="auto"/>
        <w:tabs>
          <w:tab w:leader="none" w:pos="3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47" w:lineRule="exact"/>
        <w:rPr>
          <w:rFonts w:ascii="Arial" w:cs="Arial" w:eastAsia="Arial" w:hAnsi="Arial"/>
          <w:sz w:val="18"/>
          <w:szCs w:val="18"/>
          <w:color w:val="auto"/>
          <w:vertAlign w:val="superscript"/>
        </w:rPr>
      </w:pPr>
    </w:p>
    <w:p>
      <w:pPr>
        <w:ind w:left="380" w:hanging="378"/>
        <w:spacing w:after="0"/>
        <w:tabs>
          <w:tab w:leader="none" w:pos="3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interest income included in the segments’ income (fourth quarter 2025: $- million; third quarter 2025: $- million).</w:t>
      </w:r>
    </w:p>
    <w:p>
      <w:pPr>
        <w:spacing w:after="0" w:line="67" w:lineRule="exact"/>
        <w:rPr>
          <w:rFonts w:ascii="Arial" w:cs="Arial" w:eastAsia="Arial" w:hAnsi="Arial"/>
          <w:sz w:val="18"/>
          <w:szCs w:val="18"/>
          <w:color w:val="auto"/>
          <w:vertAlign w:val="superscript"/>
        </w:rPr>
      </w:pPr>
    </w:p>
    <w:p>
      <w:pPr>
        <w:ind w:left="380" w:hanging="378"/>
        <w:spacing w:after="0" w:line="216" w:lineRule="auto"/>
        <w:tabs>
          <w:tab w:leader="none" w:pos="3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interest expense included in the segments’ income (fourth quarter 2025: $- million; third quarter 2025: $- million).</w:t>
      </w:r>
    </w:p>
    <w:p>
      <w:pPr>
        <w:spacing w:after="0" w:line="67" w:lineRule="exact"/>
        <w:rPr>
          <w:rFonts w:ascii="Arial" w:cs="Arial" w:eastAsia="Arial" w:hAnsi="Arial"/>
          <w:sz w:val="18"/>
          <w:szCs w:val="18"/>
          <w:color w:val="auto"/>
          <w:vertAlign w:val="superscript"/>
        </w:rPr>
      </w:pPr>
    </w:p>
    <w:p>
      <w:pPr>
        <w:ind w:left="380" w:hanging="378"/>
        <w:spacing w:after="0" w:line="216" w:lineRule="auto"/>
        <w:tabs>
          <w:tab w:leader="none" w:pos="3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Fourth-quarter revenue of $9.7 billion increased 9% sequentially with international revenue increasing 8% and North America revenue increasing 15%. These results reflect a full quarter of activity from the acquired ChampionX businesses which contributed $879 million of revenue, consisting of $583 million in North America and $266 million in the international markets. Third-quarter 2025 revenue reflected two months of activity from ChampionX, which contributed revenue of $579 million, consisting of $387 million in North America and $171 million in the international markets.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Excluding the impact of the acquisition, international fourth-quarter 2025 revenue increased 7% and North America fourth-quarter 2025 revenue increased 6% sequentially. Fourth quarter revenue increased sequentially across all the four geographic areas for the first time since the second quarter of 2024 as global upstream markets have stabilized. The organic sequential revenue growth both in the international markets and North America was driven by higher offshore activity and strong year-end product and digital sales, most notably in Latin America, the Middle East and Asia, across Sub-Saharan Africa and Gulf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Digital</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Digital revenue reached $825 million, up 25% sequentially, driven by a $104 million increase in Digital Exploration as a result of year-end sales in the Gulf of America, Brazil and Angola, as well as robust increases in Digital Operations and Platforms &amp; Applications.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Digital pretax operating margin expanded 557 basis points sequentially to 34%, reflecting improved profitability from strong Digital Exploration activity, robust growth in Digital Operations, and higher Platforms &amp; Applications revenue.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Reservoir Performance</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Reservoir Performance revenue of $1.7 billion increased 4% sequentially, primarily driven by higher stimulation activity in the Middle East &amp; Asia and higher intervention activity in Europe &amp; Africa.</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Reservoir Performance pretax operating margin of 20% increased 105 basis points sequentially, reflecting improved profitability in evaluation and intervention services due to the higher uptake of premium technologies.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Well Construction</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Well Construction revenue of $2.9 billion decreased 1% sequentially as higher offshore drilling activity in North America and Europe &amp; Africa was more than offset by declines in certain land markets.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Well Construction pretax operating margin of 19% was essentially flat sequentially.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Production Systems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Production Systems revenue of $4.1 billion increased 17% sequentially, reflecting a full quarter of activity from the acquired ChampionX production chemicals and artificial lift businesses. Excluding the impact of the acquisition, Production Systems revenue increased 11% sequentially driven by strong sales of completions, artificial lift, and production chemicals.</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Production Systems pretax operating margin of 16% increased 20 basis points sequentially mainly driven by stronger profitability in completions and production chemicals.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Other</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Revenue of $445 million increased $48 million sequentially largely due to higher APS revenue in Ecuador as a result of the resumption of production following the pipeline disruption during the third quarter.</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Pretax operating income declined $11 million sequentially as improved profitability from the higher revenue in APS in Ecuador was more than offset by a significant loss on one particular project in SLB Capturi.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Full-Year 2025 Results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w w:val="97"/>
              </w:rPr>
              <w:t>(Stated in millions)</w:t>
            </w:r>
          </w:p>
        </w:tc>
      </w:tr>
      <w:tr>
        <w:trPr>
          <w:trHeight w:val="339"/>
        </w:trPr>
        <w:tc>
          <w:tcPr>
            <w:tcW w:w="5760" w:type="dxa"/>
            <w:vAlign w:val="bottom"/>
          </w:tcPr>
          <w:p>
            <w:pPr>
              <w:spacing w:after="0"/>
              <w:rPr>
                <w:sz w:val="24"/>
                <w:szCs w:val="24"/>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2025</w:t>
            </w:r>
          </w:p>
        </w:tc>
        <w:tc>
          <w:tcPr>
            <w:tcW w:w="1040" w:type="dxa"/>
            <w:vAlign w:val="bottom"/>
          </w:tcPr>
          <w:p>
            <w:pPr>
              <w:spacing w:after="0"/>
              <w:rPr>
                <w:sz w:val="24"/>
                <w:szCs w:val="24"/>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5"/>
                <w:szCs w:val="15"/>
                <w:color w:val="auto"/>
              </w:rPr>
              <w:t>2024</w:t>
            </w:r>
          </w:p>
        </w:tc>
        <w:tc>
          <w:tcPr>
            <w:tcW w:w="1140" w:type="dxa"/>
            <w:vAlign w:val="bottom"/>
          </w:tcPr>
          <w:p>
            <w:pPr>
              <w:spacing w:after="0"/>
              <w:rPr>
                <w:sz w:val="24"/>
                <w:szCs w:val="24"/>
                <w:color w:val="auto"/>
              </w:rPr>
            </w:pPr>
          </w:p>
        </w:tc>
      </w:tr>
      <w:tr>
        <w:trPr>
          <w:trHeight w:val="158"/>
        </w:trPr>
        <w:tc>
          <w:tcPr>
            <w:tcW w:w="576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44"/>
              <w:spacing w:after="0" w:line="159" w:lineRule="exact"/>
              <w:rPr>
                <w:sz w:val="20"/>
                <w:szCs w:val="20"/>
                <w:color w:val="auto"/>
              </w:rPr>
            </w:pPr>
            <w:r>
              <w:rPr>
                <w:rFonts w:ascii="Arial" w:cs="Arial" w:eastAsia="Arial" w:hAnsi="Arial"/>
                <w:sz w:val="15"/>
                <w:szCs w:val="15"/>
                <w:b w:val="1"/>
                <w:bCs w:val="1"/>
                <w:color w:val="auto"/>
              </w:rPr>
              <w:t>Pretax</w:t>
            </w:r>
          </w:p>
        </w:tc>
        <w:tc>
          <w:tcPr>
            <w:tcW w:w="1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44"/>
              <w:spacing w:after="0" w:line="159" w:lineRule="exact"/>
              <w:rPr>
                <w:sz w:val="20"/>
                <w:szCs w:val="20"/>
                <w:color w:val="auto"/>
              </w:rPr>
            </w:pPr>
            <w:r>
              <w:rPr>
                <w:rFonts w:ascii="Arial" w:cs="Arial" w:eastAsia="Arial" w:hAnsi="Arial"/>
                <w:sz w:val="15"/>
                <w:szCs w:val="15"/>
                <w:color w:val="auto"/>
              </w:rPr>
              <w:t>Pretax</w:t>
            </w:r>
          </w:p>
        </w:tc>
      </w:tr>
      <w:tr>
        <w:trPr>
          <w:trHeight w:val="190"/>
        </w:trPr>
        <w:tc>
          <w:tcPr>
            <w:tcW w:w="5760" w:type="dxa"/>
            <w:vAlign w:val="bottom"/>
          </w:tcPr>
          <w:p>
            <w:pPr>
              <w:spacing w:after="0"/>
              <w:rPr>
                <w:sz w:val="16"/>
                <w:szCs w:val="16"/>
                <w:color w:val="auto"/>
              </w:rPr>
            </w:pPr>
          </w:p>
        </w:tc>
        <w:tc>
          <w:tcPr>
            <w:tcW w:w="12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Revenue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Income</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Revenue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Income</w:t>
            </w:r>
          </w:p>
        </w:tc>
      </w:tr>
      <w:tr>
        <w:trPr>
          <w:trHeight w:val="170"/>
        </w:trPr>
        <w:tc>
          <w:tcPr>
            <w:tcW w:w="57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12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$2,660</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$745</w:t>
            </w:r>
          </w:p>
        </w:tc>
        <w:tc>
          <w:tcPr>
            <w:tcW w:w="14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$2,439</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$612</w:t>
            </w:r>
          </w:p>
        </w:tc>
      </w:tr>
      <w:tr>
        <w:trPr>
          <w:trHeight w:val="178"/>
        </w:trPr>
        <w:tc>
          <w:tcPr>
            <w:tcW w:w="5760" w:type="dxa"/>
            <w:vAlign w:val="bottom"/>
          </w:tcPr>
          <w:p>
            <w:pPr>
              <w:spacing w:after="0"/>
              <w:rPr>
                <w:sz w:val="20"/>
                <w:szCs w:val="20"/>
                <w:color w:val="auto"/>
              </w:rPr>
            </w:pPr>
            <w:r>
              <w:rPr>
                <w:rFonts w:ascii="Arial" w:cs="Arial" w:eastAsia="Arial" w:hAnsi="Arial"/>
                <w:sz w:val="15"/>
                <w:szCs w:val="15"/>
                <w:color w:val="auto"/>
              </w:rPr>
              <w:t>Reservoir Performance</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6,820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1,250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7,177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1,452</w:t>
            </w:r>
          </w:p>
        </w:tc>
      </w:tr>
      <w:tr>
        <w:trPr>
          <w:trHeight w:val="178"/>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11,856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2,248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13,357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2,826</w:t>
            </w:r>
          </w:p>
        </w:tc>
      </w:tr>
      <w:tr>
        <w:trPr>
          <w:trHeight w:val="178"/>
        </w:trPr>
        <w:tc>
          <w:tcPr>
            <w:tcW w:w="5760" w:type="dxa"/>
            <w:vAlign w:val="bottom"/>
          </w:tcPr>
          <w:p>
            <w:pPr>
              <w:spacing w:after="0"/>
              <w:rPr>
                <w:sz w:val="20"/>
                <w:szCs w:val="20"/>
                <w:color w:val="auto"/>
              </w:rPr>
            </w:pPr>
            <w:r>
              <w:rPr>
                <w:rFonts w:ascii="Arial" w:cs="Arial" w:eastAsia="Arial" w:hAnsi="Arial"/>
                <w:sz w:val="15"/>
                <w:szCs w:val="15"/>
                <w:color w:val="auto"/>
              </w:rPr>
              <w:t>Production Systems</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13,325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2,184</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11,935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1,900</w:t>
            </w:r>
          </w:p>
        </w:tc>
      </w:tr>
      <w:tr>
        <w:trPr>
          <w:trHeight w:val="178"/>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1,987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498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2,117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w:t>
            </w:r>
          </w:p>
        </w:tc>
      </w:tr>
      <w:tr>
        <w:trPr>
          <w:trHeight w:val="178"/>
        </w:trPr>
        <w:tc>
          <w:tcPr>
            <w:tcW w:w="5760" w:type="dxa"/>
            <w:vAlign w:val="bottom"/>
          </w:tcPr>
          <w:p>
            <w:pPr>
              <w:spacing w:after="0"/>
              <w:rPr>
                <w:sz w:val="20"/>
                <w:szCs w:val="20"/>
                <w:color w:val="auto"/>
              </w:rPr>
            </w:pPr>
            <w:r>
              <w:rPr>
                <w:rFonts w:ascii="Arial" w:cs="Arial" w:eastAsia="Arial" w:hAnsi="Arial"/>
                <w:sz w:val="15"/>
                <w:szCs w:val="15"/>
                <w:color w:val="auto"/>
              </w:rPr>
              <w:t>Eliminations &amp; other</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(940)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(351)</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(736)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(244)</w:t>
            </w:r>
          </w:p>
        </w:tc>
      </w:tr>
      <w:tr>
        <w:trPr>
          <w:trHeight w:val="178"/>
        </w:trPr>
        <w:tc>
          <w:tcPr>
            <w:tcW w:w="576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Corporate &amp; other </w:t>
            </w:r>
            <w:r>
              <w:rPr>
                <w:rFonts w:ascii="Arial" w:cs="Arial" w:eastAsia="Arial" w:hAnsi="Arial"/>
                <w:sz w:val="20"/>
                <w:szCs w:val="20"/>
                <w:color w:val="auto"/>
                <w:vertAlign w:val="superscript"/>
              </w:rPr>
              <w:t>(1)</w:t>
            </w: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(759)</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(744)</w:t>
            </w:r>
          </w:p>
        </w:tc>
      </w:tr>
      <w:tr>
        <w:trPr>
          <w:trHeight w:val="178"/>
        </w:trPr>
        <w:tc>
          <w:tcPr>
            <w:tcW w:w="5760" w:type="dxa"/>
            <w:vAlign w:val="bottom"/>
          </w:tcPr>
          <w:p>
            <w:pPr>
              <w:spacing w:after="0" w:line="178" w:lineRule="exact"/>
              <w:rPr>
                <w:sz w:val="20"/>
                <w:szCs w:val="20"/>
                <w:color w:val="auto"/>
              </w:rPr>
            </w:pPr>
            <w:r>
              <w:rPr>
                <w:rFonts w:ascii="Arial" w:cs="Arial" w:eastAsia="Arial" w:hAnsi="Arial"/>
                <w:sz w:val="15"/>
                <w:szCs w:val="15"/>
                <w:color w:val="auto"/>
              </w:rPr>
              <w:t xml:space="preserve">Interest income </w:t>
            </w:r>
            <w:r>
              <w:rPr>
                <w:rFonts w:ascii="Arial" w:cs="Arial" w:eastAsia="Arial" w:hAnsi="Arial"/>
                <w:sz w:val="20"/>
                <w:szCs w:val="20"/>
                <w:color w:val="auto"/>
                <w:vertAlign w:val="superscript"/>
              </w:rPr>
              <w:t>(2)</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134</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178"/>
        </w:trPr>
        <w:tc>
          <w:tcPr>
            <w:tcW w:w="576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0"/>
                <w:szCs w:val="20"/>
                <w:color w:val="auto"/>
                <w:vertAlign w:val="superscript"/>
              </w:rPr>
              <w:t>(3)</w:t>
            </w: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(551)</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w:t>
            </w:r>
          </w:p>
        </w:tc>
      </w:tr>
      <w:tr>
        <w:trPr>
          <w:trHeight w:val="178"/>
        </w:trPr>
        <w:tc>
          <w:tcPr>
            <w:tcW w:w="5760" w:type="dxa"/>
            <w:vAlign w:val="bottom"/>
          </w:tcPr>
          <w:p>
            <w:pPr>
              <w:spacing w:after="0" w:line="178" w:lineRule="exact"/>
              <w:rPr>
                <w:sz w:val="20"/>
                <w:szCs w:val="20"/>
                <w:color w:val="auto"/>
              </w:rPr>
            </w:pPr>
            <w:r>
              <w:rPr>
                <w:rFonts w:ascii="Arial" w:cs="Arial" w:eastAsia="Arial" w:hAnsi="Arial"/>
                <w:sz w:val="15"/>
                <w:szCs w:val="15"/>
                <w:color w:val="auto"/>
              </w:rPr>
              <w:t xml:space="preserve">Charges &amp; credits </w:t>
            </w:r>
            <w:r>
              <w:rPr>
                <w:rFonts w:ascii="Arial" w:cs="Arial" w:eastAsia="Arial" w:hAnsi="Arial"/>
                <w:sz w:val="20"/>
                <w:szCs w:val="20"/>
                <w:color w:val="auto"/>
                <w:vertAlign w:val="superscript"/>
              </w:rPr>
              <w:t>(4)</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(1,107)</w:t>
            </w:r>
          </w:p>
        </w:tc>
        <w:tc>
          <w:tcPr>
            <w:tcW w:w="1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w:t>
            </w:r>
          </w:p>
        </w:tc>
      </w:tr>
      <w:tr>
        <w:trPr>
          <w:trHeight w:val="210"/>
        </w:trPr>
        <w:tc>
          <w:tcPr>
            <w:tcW w:w="57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$35,708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$4,291</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$36,289</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$5,672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-23495</wp:posOffset>
            </wp:positionV>
            <wp:extent cx="80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80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-23495</wp:posOffset>
            </wp:positionV>
            <wp:extent cx="80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-7620</wp:posOffset>
            </wp:positionV>
            <wp:extent cx="806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-23495</wp:posOffset>
            </wp:positionV>
            <wp:extent cx="806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-7620</wp:posOffset>
            </wp:positionV>
            <wp:extent cx="806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0645" cy="8255"/>
                    </a:xfrm>
                    <a:prstGeom prst="rect">
                      <a:avLst/>
                    </a:prstGeom>
                    <a:noFill/>
                  </pic:spPr>
                </pic:pic>
              </a:graphicData>
            </a:graphic>
          </wp:anchor>
        </w:drawing>
      </w:r>
    </w:p>
    <w:p>
      <w:pPr>
        <w:spacing w:after="0" w:line="277" w:lineRule="exact"/>
        <w:rPr>
          <w:sz w:val="20"/>
          <w:szCs w:val="20"/>
          <w:color w:val="auto"/>
        </w:rPr>
      </w:pPr>
    </w:p>
    <w:p>
      <w:pPr>
        <w:ind w:left="380" w:hanging="378"/>
        <w:spacing w:after="0" w:line="214" w:lineRule="auto"/>
        <w:tabs>
          <w:tab w:leader="none" w:pos="38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47" w:lineRule="exact"/>
        <w:rPr>
          <w:rFonts w:ascii="Arial" w:cs="Arial" w:eastAsia="Arial" w:hAnsi="Arial"/>
          <w:sz w:val="18"/>
          <w:szCs w:val="18"/>
          <w:color w:val="auto"/>
          <w:vertAlign w:val="superscript"/>
        </w:rPr>
      </w:pPr>
    </w:p>
    <w:p>
      <w:pPr>
        <w:ind w:left="380" w:hanging="378"/>
        <w:spacing w:after="0"/>
        <w:tabs>
          <w:tab w:leader="none" w:pos="38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Excludes interest income included in the segments’ income (2025: $2 million; 2024: $40 million).</w:t>
      </w:r>
    </w:p>
    <w:p>
      <w:pPr>
        <w:spacing w:after="0" w:line="67" w:lineRule="exact"/>
        <w:rPr>
          <w:rFonts w:ascii="Arial" w:cs="Arial" w:eastAsia="Arial" w:hAnsi="Arial"/>
          <w:sz w:val="18"/>
          <w:szCs w:val="18"/>
          <w:color w:val="auto"/>
          <w:vertAlign w:val="superscript"/>
        </w:rPr>
      </w:pPr>
    </w:p>
    <w:p>
      <w:pPr>
        <w:ind w:left="380" w:hanging="378"/>
        <w:spacing w:after="0" w:line="216" w:lineRule="auto"/>
        <w:tabs>
          <w:tab w:leader="none" w:pos="38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Excludes interest expense included in the segments’ income (2025: $7 million; 2024: $14 million).</w:t>
      </w:r>
    </w:p>
    <w:p>
      <w:pPr>
        <w:spacing w:after="0" w:line="67" w:lineRule="exact"/>
        <w:rPr>
          <w:rFonts w:ascii="Arial" w:cs="Arial" w:eastAsia="Arial" w:hAnsi="Arial"/>
          <w:sz w:val="18"/>
          <w:szCs w:val="18"/>
          <w:color w:val="auto"/>
          <w:vertAlign w:val="superscript"/>
        </w:rPr>
      </w:pPr>
    </w:p>
    <w:p>
      <w:pPr>
        <w:ind w:left="380" w:hanging="378"/>
        <w:spacing w:after="0" w:line="216" w:lineRule="auto"/>
        <w:tabs>
          <w:tab w:leader="none" w:pos="38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Full-year 2025 revenue of $35.7 billion decreased 2%, or $580 million year on year. Excluding the $1.5 billion of revenue from the acquired ChampionX businesses, revenue declined 6% year on year as growth in the Digital and Data Center Solutions businesses were more than offset by activity reductions in Saudi Arabia, Mexico and offshore Sub-Saharan Africa.</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International revenue declined 5% year on year due to the lower activity in Saudi Arabia, Mexico and Sub-Saharan Africa. North America revenue grew 12% year on year primarily driven by the acquisition of ChampionX. Excluding the impact of this transaction, North America revenue declined 2% despite a 5% drop in upstream spending supported by growth in Data Center Solutions, which grew 121% year on year.</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Digital</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Digital revenue of $2.7 billion grew 9% year on year due to strong growth from both Digital Operations and Platforms &amp; Applications. The acquisition of ChampionX also accounted for $48 million of the increase.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Digital pretax operating margin of 28% expanded 291 bps year on year primarily driven by the higher revenue and efficiency gains.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Reservoir Performance</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212121"/>
        </w:rPr>
        <w:t>Reservoir Performance revenue of $6.8 billion decreased 5% year on year primarily due to a slowdown in evaluation and stimulation activity in the international markets.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212121"/>
        </w:rPr>
        <w:t>Reservoir Performance pretax operating margin of 18% contracted 191 bps year on year due to the lower evaluation and stimulation activity.</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Well Construction</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12121"/>
        </w:rPr>
        <w:t>Well Construction revenue of $11.9 billion decreased 11% year on year driven by a broad reduction in drilling activity both internationally, mainly in Mexico, Saudi Arabia, and offshore Africa, and in North America.</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212121"/>
        </w:rPr>
        <w:t>Well Construction pretax operating margin of 19% declined 220 bps year on year driven by the widespread activity reductions.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Production Systems</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212121"/>
        </w:rPr>
        <w:t xml:space="preserve">Production Systems revenue of $13.3 billion increased 12% year on year </w:t>
      </w:r>
      <w:r>
        <w:rPr>
          <w:rFonts w:ascii="Arial" w:cs="Arial" w:eastAsia="Arial" w:hAnsi="Arial"/>
          <w:sz w:val="15"/>
          <w:szCs w:val="15"/>
          <w:color w:val="231F20"/>
        </w:rPr>
        <w:t>reflecting five months of activity from the acquired ChampionX production chemicals and</w:t>
      </w:r>
      <w:r>
        <w:rPr>
          <w:rFonts w:ascii="Arial" w:cs="Arial" w:eastAsia="Arial" w:hAnsi="Arial"/>
          <w:sz w:val="15"/>
          <w:szCs w:val="15"/>
          <w:color w:val="212121"/>
        </w:rPr>
        <w:t xml:space="preserve"> </w:t>
      </w:r>
      <w:r>
        <w:rPr>
          <w:rFonts w:ascii="Arial" w:cs="Arial" w:eastAsia="Arial" w:hAnsi="Arial"/>
          <w:sz w:val="15"/>
          <w:szCs w:val="15"/>
          <w:color w:val="231F20"/>
        </w:rPr>
        <w:t>artificial lift businesses, which contributed $1.45 billion of revenue. Excluding the impact of this acquisition, Production Systems revenue was essentially flat year on year.</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231F20"/>
        </w:rPr>
        <w:t>Production Systems pretax operating margin of 16% was essentially flat year on year.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Other</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Revenue of $2.0 billion decreased 6% year on year largely due to the absence of approximately $290 million of revenue following the divestiture of SLB’s interest in the Palliser APS project in Canada at the end of the second quarter of 2025 and the loss of approximately $100 million of APS revenue due to production interruption arising from a pipeline disruption in Ecuador during the third quarter of 2025. These decreases were partially offset by a $251 million, or 121%, increase in Data Center Solutions revenue.</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Pretax operating income decreased $277 million year on year primarily due to the effects of the divestiture of the Palliser asset, the pipeline disruption in Ecuador and a significant loss on one particular project in SLB Capturi.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Full-Year 2024 Results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w w:val="97"/>
              </w:rPr>
              <w:t>(Stated in millions)</w:t>
            </w:r>
          </w:p>
        </w:tc>
      </w:tr>
      <w:tr>
        <w:trPr>
          <w:trHeight w:val="351"/>
        </w:trPr>
        <w:tc>
          <w:tcPr>
            <w:tcW w:w="5760" w:type="dxa"/>
            <w:vAlign w:val="bottom"/>
          </w:tcPr>
          <w:p>
            <w:pPr>
              <w:spacing w:after="0"/>
              <w:rPr>
                <w:sz w:val="24"/>
                <w:szCs w:val="24"/>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5"/>
                <w:szCs w:val="15"/>
                <w:color w:val="auto"/>
              </w:rPr>
              <w:t>2024</w:t>
            </w:r>
          </w:p>
        </w:tc>
        <w:tc>
          <w:tcPr>
            <w:tcW w:w="1040" w:type="dxa"/>
            <w:vAlign w:val="bottom"/>
          </w:tcPr>
          <w:p>
            <w:pPr>
              <w:spacing w:after="0"/>
              <w:rPr>
                <w:sz w:val="24"/>
                <w:szCs w:val="24"/>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5"/>
                <w:szCs w:val="15"/>
                <w:color w:val="auto"/>
              </w:rPr>
              <w:t>2023</w:t>
            </w:r>
          </w:p>
        </w:tc>
        <w:tc>
          <w:tcPr>
            <w:tcW w:w="1140" w:type="dxa"/>
            <w:vAlign w:val="bottom"/>
          </w:tcPr>
          <w:p>
            <w:pPr>
              <w:spacing w:after="0"/>
              <w:rPr>
                <w:sz w:val="24"/>
                <w:szCs w:val="24"/>
                <w:color w:val="auto"/>
              </w:rPr>
            </w:pPr>
          </w:p>
        </w:tc>
      </w:tr>
      <w:tr>
        <w:trPr>
          <w:trHeight w:val="158"/>
        </w:trPr>
        <w:tc>
          <w:tcPr>
            <w:tcW w:w="576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44"/>
              <w:spacing w:after="0" w:line="159" w:lineRule="exact"/>
              <w:rPr>
                <w:sz w:val="20"/>
                <w:szCs w:val="20"/>
                <w:color w:val="auto"/>
              </w:rPr>
            </w:pPr>
            <w:r>
              <w:rPr>
                <w:rFonts w:ascii="Arial" w:cs="Arial" w:eastAsia="Arial" w:hAnsi="Arial"/>
                <w:sz w:val="15"/>
                <w:szCs w:val="15"/>
                <w:color w:val="auto"/>
              </w:rPr>
              <w:t>Pretax</w:t>
            </w:r>
          </w:p>
        </w:tc>
        <w:tc>
          <w:tcPr>
            <w:tcW w:w="1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44"/>
              <w:spacing w:after="0" w:line="159" w:lineRule="exact"/>
              <w:rPr>
                <w:sz w:val="20"/>
                <w:szCs w:val="20"/>
                <w:color w:val="auto"/>
              </w:rPr>
            </w:pPr>
            <w:r>
              <w:rPr>
                <w:rFonts w:ascii="Arial" w:cs="Arial" w:eastAsia="Arial" w:hAnsi="Arial"/>
                <w:sz w:val="15"/>
                <w:szCs w:val="15"/>
                <w:color w:val="auto"/>
              </w:rPr>
              <w:t>Pretax</w:t>
            </w:r>
          </w:p>
        </w:tc>
      </w:tr>
      <w:tr>
        <w:trPr>
          <w:trHeight w:val="190"/>
        </w:trPr>
        <w:tc>
          <w:tcPr>
            <w:tcW w:w="5760" w:type="dxa"/>
            <w:vAlign w:val="bottom"/>
          </w:tcPr>
          <w:p>
            <w:pPr>
              <w:spacing w:after="0"/>
              <w:rPr>
                <w:sz w:val="16"/>
                <w:szCs w:val="16"/>
                <w:color w:val="auto"/>
              </w:rPr>
            </w:pPr>
          </w:p>
        </w:tc>
        <w:tc>
          <w:tcPr>
            <w:tcW w:w="12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Revenue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Revenue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Income</w:t>
            </w:r>
          </w:p>
        </w:tc>
      </w:tr>
      <w:tr>
        <w:trPr>
          <w:trHeight w:val="170"/>
        </w:trPr>
        <w:tc>
          <w:tcPr>
            <w:tcW w:w="57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12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$2,439</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$612</w:t>
            </w:r>
          </w:p>
        </w:tc>
        <w:tc>
          <w:tcPr>
            <w:tcW w:w="14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$2,034</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$366</w:t>
            </w:r>
          </w:p>
        </w:tc>
      </w:tr>
      <w:tr>
        <w:trPr>
          <w:trHeight w:val="178"/>
        </w:trPr>
        <w:tc>
          <w:tcPr>
            <w:tcW w:w="5760" w:type="dxa"/>
            <w:vAlign w:val="bottom"/>
          </w:tcPr>
          <w:p>
            <w:pPr>
              <w:spacing w:after="0"/>
              <w:rPr>
                <w:sz w:val="20"/>
                <w:szCs w:val="20"/>
                <w:color w:val="auto"/>
              </w:rPr>
            </w:pPr>
            <w:r>
              <w:rPr>
                <w:rFonts w:ascii="Arial" w:cs="Arial" w:eastAsia="Arial" w:hAnsi="Arial"/>
                <w:sz w:val="15"/>
                <w:szCs w:val="15"/>
                <w:color w:val="auto"/>
              </w:rPr>
              <w:t>Reservoir Performance</w:t>
            </w:r>
          </w:p>
        </w:tc>
        <w:tc>
          <w:tcPr>
            <w:tcW w:w="1260" w:type="dxa"/>
            <w:vAlign w:val="bottom"/>
          </w:tcPr>
          <w:p>
            <w:pPr>
              <w:jc w:val="right"/>
              <w:spacing w:after="0"/>
              <w:rPr>
                <w:sz w:val="20"/>
                <w:szCs w:val="20"/>
                <w:color w:val="auto"/>
              </w:rPr>
            </w:pPr>
            <w:r>
              <w:rPr>
                <w:rFonts w:ascii="Arial" w:cs="Arial" w:eastAsia="Arial" w:hAnsi="Arial"/>
                <w:sz w:val="15"/>
                <w:szCs w:val="15"/>
                <w:color w:val="auto"/>
              </w:rPr>
              <w:t>7,177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1,452</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6,561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1,263</w:t>
            </w:r>
          </w:p>
        </w:tc>
      </w:tr>
      <w:tr>
        <w:trPr>
          <w:trHeight w:val="178"/>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13,357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2,826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13,478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2,932</w:t>
            </w:r>
          </w:p>
        </w:tc>
      </w:tr>
      <w:tr>
        <w:trPr>
          <w:trHeight w:val="178"/>
        </w:trPr>
        <w:tc>
          <w:tcPr>
            <w:tcW w:w="5760" w:type="dxa"/>
            <w:vAlign w:val="bottom"/>
          </w:tcPr>
          <w:p>
            <w:pPr>
              <w:spacing w:after="0"/>
              <w:rPr>
                <w:sz w:val="20"/>
                <w:szCs w:val="20"/>
                <w:color w:val="auto"/>
              </w:rPr>
            </w:pPr>
            <w:r>
              <w:rPr>
                <w:rFonts w:ascii="Arial" w:cs="Arial" w:eastAsia="Arial" w:hAnsi="Arial"/>
                <w:sz w:val="15"/>
                <w:szCs w:val="15"/>
                <w:color w:val="auto"/>
              </w:rPr>
              <w:t>Production Systems</w:t>
            </w:r>
          </w:p>
        </w:tc>
        <w:tc>
          <w:tcPr>
            <w:tcW w:w="1260" w:type="dxa"/>
            <w:vAlign w:val="bottom"/>
          </w:tcPr>
          <w:p>
            <w:pPr>
              <w:jc w:val="right"/>
              <w:spacing w:after="0"/>
              <w:rPr>
                <w:sz w:val="20"/>
                <w:szCs w:val="20"/>
                <w:color w:val="auto"/>
              </w:rPr>
            </w:pPr>
            <w:r>
              <w:rPr>
                <w:rFonts w:ascii="Arial" w:cs="Arial" w:eastAsia="Arial" w:hAnsi="Arial"/>
                <w:sz w:val="15"/>
                <w:szCs w:val="15"/>
                <w:color w:val="auto"/>
              </w:rPr>
              <w:t>11,935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9,831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1,245</w:t>
            </w:r>
          </w:p>
        </w:tc>
      </w:tr>
      <w:tr>
        <w:trPr>
          <w:trHeight w:val="178"/>
        </w:trPr>
        <w:tc>
          <w:tcPr>
            <w:tcW w:w="576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1,844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892</w:t>
            </w:r>
          </w:p>
        </w:tc>
      </w:tr>
      <w:tr>
        <w:trPr>
          <w:trHeight w:val="178"/>
        </w:trPr>
        <w:tc>
          <w:tcPr>
            <w:tcW w:w="5760" w:type="dxa"/>
            <w:vAlign w:val="bottom"/>
          </w:tcPr>
          <w:p>
            <w:pPr>
              <w:spacing w:after="0"/>
              <w:rPr>
                <w:sz w:val="20"/>
                <w:szCs w:val="20"/>
                <w:color w:val="auto"/>
              </w:rPr>
            </w:pPr>
            <w:r>
              <w:rPr>
                <w:rFonts w:ascii="Arial" w:cs="Arial" w:eastAsia="Arial" w:hAnsi="Arial"/>
                <w:sz w:val="15"/>
                <w:szCs w:val="15"/>
                <w:color w:val="auto"/>
              </w:rPr>
              <w:t>Eliminations &amp; other</w:t>
            </w:r>
          </w:p>
        </w:tc>
        <w:tc>
          <w:tcPr>
            <w:tcW w:w="1260" w:type="dxa"/>
            <w:vAlign w:val="bottom"/>
          </w:tcPr>
          <w:p>
            <w:pPr>
              <w:jc w:val="right"/>
              <w:spacing w:after="0"/>
              <w:rPr>
                <w:sz w:val="20"/>
                <w:szCs w:val="20"/>
                <w:color w:val="auto"/>
              </w:rPr>
            </w:pPr>
            <w:r>
              <w:rPr>
                <w:rFonts w:ascii="Arial" w:cs="Arial" w:eastAsia="Arial" w:hAnsi="Arial"/>
                <w:sz w:val="15"/>
                <w:szCs w:val="15"/>
                <w:color w:val="auto"/>
              </w:rPr>
              <w:t>(736)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(244)</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(613)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(175)</w:t>
            </w:r>
          </w:p>
        </w:tc>
      </w:tr>
      <w:tr>
        <w:trPr>
          <w:trHeight w:val="178"/>
        </w:trPr>
        <w:tc>
          <w:tcPr>
            <w:tcW w:w="576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Corporate &amp; other </w:t>
            </w:r>
            <w:r>
              <w:rPr>
                <w:rFonts w:ascii="Arial" w:cs="Arial" w:eastAsia="Arial" w:hAnsi="Arial"/>
                <w:sz w:val="20"/>
                <w:szCs w:val="20"/>
                <w:color w:val="auto"/>
                <w:vertAlign w:val="superscript"/>
              </w:rPr>
              <w:t>(1)</w:t>
            </w: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(744)</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(729)</w:t>
            </w:r>
          </w:p>
        </w:tc>
      </w:tr>
      <w:tr>
        <w:trPr>
          <w:trHeight w:val="178"/>
        </w:trPr>
        <w:tc>
          <w:tcPr>
            <w:tcW w:w="5760" w:type="dxa"/>
            <w:vAlign w:val="bottom"/>
          </w:tcPr>
          <w:p>
            <w:pPr>
              <w:spacing w:after="0" w:line="178" w:lineRule="exact"/>
              <w:rPr>
                <w:sz w:val="20"/>
                <w:szCs w:val="20"/>
                <w:color w:val="auto"/>
              </w:rPr>
            </w:pPr>
            <w:r>
              <w:rPr>
                <w:rFonts w:ascii="Arial" w:cs="Arial" w:eastAsia="Arial" w:hAnsi="Arial"/>
                <w:sz w:val="15"/>
                <w:szCs w:val="15"/>
                <w:color w:val="auto"/>
              </w:rPr>
              <w:t xml:space="preserve">Interest income </w:t>
            </w:r>
            <w:r>
              <w:rPr>
                <w:rFonts w:ascii="Arial" w:cs="Arial" w:eastAsia="Arial" w:hAnsi="Arial"/>
                <w:sz w:val="20"/>
                <w:szCs w:val="20"/>
                <w:color w:val="auto"/>
                <w:vertAlign w:val="superscript"/>
              </w:rPr>
              <w:t>(2)</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178"/>
        </w:trPr>
        <w:tc>
          <w:tcPr>
            <w:tcW w:w="576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0"/>
                <w:szCs w:val="20"/>
                <w:color w:val="auto"/>
                <w:vertAlign w:val="superscript"/>
              </w:rPr>
              <w:t>(3)</w:t>
            </w: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w:t>
            </w: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(489)</w:t>
            </w:r>
          </w:p>
        </w:tc>
      </w:tr>
      <w:tr>
        <w:trPr>
          <w:trHeight w:val="178"/>
        </w:trPr>
        <w:tc>
          <w:tcPr>
            <w:tcW w:w="5760" w:type="dxa"/>
            <w:vAlign w:val="bottom"/>
          </w:tcPr>
          <w:p>
            <w:pPr>
              <w:spacing w:after="0" w:line="178" w:lineRule="exact"/>
              <w:rPr>
                <w:sz w:val="20"/>
                <w:szCs w:val="20"/>
                <w:color w:val="auto"/>
              </w:rPr>
            </w:pPr>
            <w:r>
              <w:rPr>
                <w:rFonts w:ascii="Arial" w:cs="Arial" w:eastAsia="Arial" w:hAnsi="Arial"/>
                <w:sz w:val="15"/>
                <w:szCs w:val="15"/>
                <w:color w:val="auto"/>
              </w:rPr>
              <w:t xml:space="preserve">Charges &amp; credits </w:t>
            </w:r>
            <w:r>
              <w:rPr>
                <w:rFonts w:ascii="Arial" w:cs="Arial" w:eastAsia="Arial" w:hAnsi="Arial"/>
                <w:sz w:val="20"/>
                <w:szCs w:val="20"/>
                <w:color w:val="auto"/>
                <w:vertAlign w:val="superscript"/>
              </w:rPr>
              <w:t>(4)</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w:t>
            </w:r>
          </w:p>
        </w:tc>
        <w:tc>
          <w:tcPr>
            <w:tcW w:w="1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r>
      <w:tr>
        <w:trPr>
          <w:trHeight w:val="210"/>
        </w:trPr>
        <w:tc>
          <w:tcPr>
            <w:tcW w:w="57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$36,289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$5,672</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$33,135</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$5,282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-23495</wp:posOffset>
            </wp:positionV>
            <wp:extent cx="80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80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-23495</wp:posOffset>
            </wp:positionV>
            <wp:extent cx="80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-7620</wp:posOffset>
            </wp:positionV>
            <wp:extent cx="80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-23495</wp:posOffset>
            </wp:positionV>
            <wp:extent cx="806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-7620</wp:posOffset>
            </wp:positionV>
            <wp:extent cx="806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645" cy="8255"/>
                    </a:xfrm>
                    <a:prstGeom prst="rect">
                      <a:avLst/>
                    </a:prstGeom>
                    <a:noFill/>
                  </pic:spPr>
                </pic:pic>
              </a:graphicData>
            </a:graphic>
          </wp:anchor>
        </w:drawing>
      </w:r>
    </w:p>
    <w:p>
      <w:pPr>
        <w:spacing w:after="0" w:line="328" w:lineRule="exact"/>
        <w:rPr>
          <w:sz w:val="20"/>
          <w:szCs w:val="20"/>
          <w:color w:val="auto"/>
        </w:rPr>
      </w:pPr>
    </w:p>
    <w:p>
      <w:pPr>
        <w:ind w:left="380" w:hanging="378"/>
        <w:spacing w:after="0" w:line="214" w:lineRule="auto"/>
        <w:tabs>
          <w:tab w:leader="none" w:pos="3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47" w:lineRule="exact"/>
        <w:rPr>
          <w:rFonts w:ascii="Arial" w:cs="Arial" w:eastAsia="Arial" w:hAnsi="Arial"/>
          <w:sz w:val="18"/>
          <w:szCs w:val="18"/>
          <w:color w:val="auto"/>
          <w:vertAlign w:val="superscript"/>
        </w:rPr>
      </w:pPr>
    </w:p>
    <w:p>
      <w:pPr>
        <w:ind w:left="380" w:hanging="378"/>
        <w:spacing w:after="0"/>
        <w:tabs>
          <w:tab w:leader="none" w:pos="3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Excludes interest income included in the segments’ income (2024: $40 million; 2023: $13 million).</w:t>
      </w:r>
    </w:p>
    <w:p>
      <w:pPr>
        <w:spacing w:after="0" w:line="67" w:lineRule="exact"/>
        <w:rPr>
          <w:rFonts w:ascii="Arial" w:cs="Arial" w:eastAsia="Arial" w:hAnsi="Arial"/>
          <w:sz w:val="18"/>
          <w:szCs w:val="18"/>
          <w:color w:val="auto"/>
          <w:vertAlign w:val="superscript"/>
        </w:rPr>
      </w:pPr>
    </w:p>
    <w:p>
      <w:pPr>
        <w:ind w:left="380" w:hanging="378"/>
        <w:spacing w:after="0" w:line="216" w:lineRule="auto"/>
        <w:tabs>
          <w:tab w:leader="none" w:pos="3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Excludes interest expense included in the segments’ income (2024: $14 million; 2023: $14 million).</w:t>
      </w:r>
    </w:p>
    <w:p>
      <w:pPr>
        <w:spacing w:after="0" w:line="67" w:lineRule="exact"/>
        <w:rPr>
          <w:rFonts w:ascii="Arial" w:cs="Arial" w:eastAsia="Arial" w:hAnsi="Arial"/>
          <w:sz w:val="18"/>
          <w:szCs w:val="18"/>
          <w:color w:val="auto"/>
          <w:vertAlign w:val="superscript"/>
        </w:rPr>
      </w:pPr>
    </w:p>
    <w:p>
      <w:pPr>
        <w:ind w:left="380" w:hanging="378"/>
        <w:spacing w:after="0" w:line="216" w:lineRule="auto"/>
        <w:tabs>
          <w:tab w:leader="none" w:pos="3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2024 was a strong year for SLB as it successfully navigated evolving market conditions as full year revenue of $36.3 billion increased 10% year on year.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46% of this increase came from the acquisition of the Aker Solutions subsea business (“Aker”) in the fourth quarter of 2023.</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Full-year results were highlighted by 12% international revenue growth. This performance was led by the Middle East &amp; Asia and Europe &amp; Africa, which grew 18% and 13%, respectively. The Middle East &amp; Asia achieved record revenues, while growth in Europe &amp; Africa was bolstered by the acquisition of the Aker subsea business. Excluding this acquired business, international revenue increased 7% year over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color w:val="auto"/>
        </w:rPr>
        <w:t>year, outperforming the rate of upstream investment and rig activity over the same period. North America revenue decreased 1% due to lower drilling in US land.</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SLB’s Core divisions — Reservoir Performance, Well Construction and Production Systems — delivered 9% revenue growth compared to the prior year, led by 21% growth in Production Systems, largely due to the subsea acquisition. Production Systems grew 9% organically due to double-digit increases in surface systems, completions and artificial lift. Reservoir Performance also delivered 9% growth, underpinned by strong stimulation and intervention activity in the production space.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Digital revenue, which reached $2.44 billion for the year, increased 20% year on year. Accelerated adoption of digital technologies marked a milestone year, highlighted by strategic collaborations with cross-industry leaders, the launch of the Lumi™ data and AI platform, new Performance Live™ centers to enable remote operations, and the achievement of fully autonomous drilling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Digital</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231F20"/>
        </w:rPr>
        <w:t>Digital revenue of $2.4 billion increased 20% year on year driven by the accelerated adoption of digital technologies and higher sales of exploration data.</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231F20"/>
        </w:rPr>
        <w:t>Digital &amp; Integration pretax operating margin of 25% increased 710 bps year on year primarily as a result of the revenue growth.</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Reservoir Performance</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Reservoir Performance revenue of $7.2 billion increased 9% year on year due to increased stimulation and intervention activity, with approximately 75% of the revenue growth coming from the Middle East &amp; Asia.</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Reservoir Performance pretax operating margin of 20% expanded 99 bps year on year due to improved profitability in the international markets driven by higher activity and improved pricing from increased technology intensity.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Well Construction</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Well Construction revenue of $13.4 billion decreased 1% year on year. North America revenue declined 13% due to lower drilling activity in US land largely offset by a 2% increase in international revenue, primarily in the Middle East &amp; Asia.</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231F20"/>
        </w:rPr>
        <w:t>Well Construction pretax operating margin of 21% decreased 59 bps year on year driven by the reduced activity in North America.</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Production Systems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Production Systems revenue of $11.9 billion increased 21% year on year mainly due to the acquisition of the Aker subsea business. Excluding the effects of the Aker subsea acquisition, revenue grew by 9% year on year driven by strong international sales across the portfolio.</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31F20"/>
        </w:rPr>
        <w:t>Production Systems pretax operating margin of 16% expanded 325 bps year on year driven by a favorable activity mix, execution efficiency, and conversion of improved-price backlog.</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Other</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Revenue of $2.1 billion increased 15% year on year with approximately 75% of the increase attributable to the Data Center Solutions business. APS revenue was essentially flat. The remaining increase was driven by the SLB Capturi joint venture which was formed in the second quarter of 2024.</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Pretax operating income decreased $117 million year on year primarily due to the effects of high APS amortization expense and lower gas prices.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Interest &amp; Other Income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Interest &amp; other income </w:t>
      </w:r>
      <w:r>
        <w:rPr>
          <w:rFonts w:ascii="Arial" w:cs="Arial" w:eastAsia="Arial" w:hAnsi="Arial"/>
          <w:sz w:val="15"/>
          <w:szCs w:val="15"/>
          <w:color w:val="auto"/>
        </w:rPr>
        <w:t>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39"/>
        </w:trPr>
        <w:tc>
          <w:tcPr>
            <w:tcW w:w="4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2025</w:t>
            </w:r>
          </w:p>
        </w:tc>
        <w:tc>
          <w:tcPr>
            <w:tcW w:w="3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2024</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Earnings of equity method investments</w:t>
            </w:r>
          </w:p>
        </w:tc>
        <w:tc>
          <w:tcPr>
            <w:tcW w:w="3460" w:type="dxa"/>
            <w:vAlign w:val="bottom"/>
            <w:gridSpan w:val="2"/>
            <w:shd w:val="clear" w:color="auto" w:fill="CFF0FC"/>
          </w:tcPr>
          <w:p>
            <w:pPr>
              <w:jc w:val="right"/>
              <w:ind w:right="824"/>
              <w:spacing w:after="0" w:line="171" w:lineRule="exact"/>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196</w:t>
            </w:r>
          </w:p>
        </w:tc>
        <w:tc>
          <w:tcPr>
            <w:tcW w:w="1240" w:type="dxa"/>
            <w:vAlign w:val="bottom"/>
            <w:gridSpan w:val="2"/>
            <w:shd w:val="clear" w:color="auto" w:fill="CFF0FC"/>
          </w:tcPr>
          <w:p>
            <w:pPr>
              <w:jc w:val="right"/>
              <w:ind w:right="804"/>
              <w:spacing w:after="0" w:line="171" w:lineRule="exact"/>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182</w:t>
            </w:r>
          </w:p>
        </w:tc>
        <w:tc>
          <w:tcPr>
            <w:tcW w:w="4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20"/>
                <w:szCs w:val="20"/>
                <w:color w:val="auto"/>
              </w:rPr>
            </w:pPr>
            <w:r>
              <w:rPr>
                <w:rFonts w:ascii="Arial" w:cs="Arial" w:eastAsia="Arial" w:hAnsi="Arial"/>
                <w:sz w:val="15"/>
                <w:szCs w:val="15"/>
                <w:color w:val="auto"/>
              </w:rPr>
              <w:t>Gain on sale of Palliser APS project *</w:t>
            </w: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149</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80" w:type="dxa"/>
            <w:vAlign w:val="bottom"/>
            <w:shd w:val="clear" w:color="auto" w:fill="CFF0FC"/>
          </w:tcPr>
          <w:p>
            <w:pPr>
              <w:spacing w:after="0"/>
              <w:rPr>
                <w:sz w:val="20"/>
                <w:szCs w:val="20"/>
                <w:color w:val="auto"/>
              </w:rPr>
            </w:pPr>
            <w:r>
              <w:rPr>
                <w:rFonts w:ascii="Arial" w:cs="Arial" w:eastAsia="Arial" w:hAnsi="Arial"/>
                <w:sz w:val="15"/>
                <w:szCs w:val="15"/>
                <w:color w:val="auto"/>
              </w:rPr>
              <w:t>Interest income</w:t>
            </w:r>
          </w:p>
        </w:tc>
        <w:tc>
          <w:tcPr>
            <w:tcW w:w="24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136</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20"/>
                <w:szCs w:val="20"/>
                <w:color w:val="auto"/>
              </w:rPr>
            </w:pPr>
            <w:r>
              <w:rPr>
                <w:rFonts w:ascii="Arial" w:cs="Arial" w:eastAsia="Arial" w:hAnsi="Arial"/>
                <w:sz w:val="15"/>
                <w:szCs w:val="15"/>
                <w:color w:val="auto"/>
              </w:rPr>
              <w:t>Gain on sale of investment *</w:t>
            </w: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80" w:type="dxa"/>
            <w:vAlign w:val="bottom"/>
            <w:shd w:val="clear" w:color="auto" w:fill="CFF0FC"/>
          </w:tcPr>
          <w:p>
            <w:pPr>
              <w:spacing w:after="0"/>
              <w:rPr>
                <w:sz w:val="20"/>
                <w:szCs w:val="20"/>
                <w:color w:val="auto"/>
              </w:rPr>
            </w:pPr>
            <w:r>
              <w:rPr>
                <w:rFonts w:ascii="Arial" w:cs="Arial" w:eastAsia="Arial" w:hAnsi="Arial"/>
                <w:sz w:val="15"/>
                <w:szCs w:val="15"/>
                <w:color w:val="auto"/>
              </w:rPr>
              <w:t>Gain on sale of Liberty shares</w:t>
            </w:r>
          </w:p>
        </w:tc>
        <w:tc>
          <w:tcPr>
            <w:tcW w:w="248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80" w:type="dxa"/>
            <w:vAlign w:val="bottom"/>
            <w:tcBorders>
              <w:bottom w:val="single" w:sz="8" w:color="auto"/>
            </w:tcBorders>
          </w:tcPr>
          <w:p>
            <w:pPr>
              <w:jc w:val="right"/>
              <w:ind w:right="824"/>
              <w:spacing w:after="0" w:line="171" w:lineRule="exact"/>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481</w:t>
            </w: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804"/>
              <w:spacing w:after="0" w:line="171" w:lineRule="exact"/>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380</w:t>
            </w:r>
          </w:p>
        </w:tc>
        <w:tc>
          <w:tcPr>
            <w:tcW w:w="2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80" w:type="dxa"/>
            <w:vAlign w:val="bottom"/>
            <w:vMerge w:val="restart"/>
          </w:tcPr>
          <w:p>
            <w:pPr>
              <w:jc w:val="right"/>
              <w:ind w:right="784"/>
              <w:spacing w:after="0"/>
              <w:rPr>
                <w:sz w:val="20"/>
                <w:szCs w:val="20"/>
                <w:color w:val="auto"/>
              </w:rPr>
            </w:pPr>
            <w:r>
              <w:rPr>
                <w:rFonts w:ascii="Arial" w:cs="Arial" w:eastAsia="Arial" w:hAnsi="Arial"/>
                <w:sz w:val="15"/>
                <w:szCs w:val="15"/>
                <w:color w:val="auto"/>
              </w:rPr>
              <w:t>19</w:t>
            </w: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0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6"/>
        </w:trPr>
        <w:tc>
          <w:tcPr>
            <w:tcW w:w="40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9" w:name="page20"/>
    <w:bookmarkEnd w:id="19"/>
    <w:p>
      <w:pPr>
        <w:ind w:left="100" w:hanging="98"/>
        <w:spacing w:after="0"/>
        <w:tabs>
          <w:tab w:leader="none" w:pos="1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See Note 3 to the </w:t>
      </w:r>
      <w:r>
        <w:rPr>
          <w:rFonts w:ascii="Arial" w:cs="Arial" w:eastAsia="Arial" w:hAnsi="Arial"/>
          <w:sz w:val="15"/>
          <w:szCs w:val="15"/>
          <w:i w:val="1"/>
          <w:iCs w:val="1"/>
          <w:color w:val="auto"/>
        </w:rPr>
        <w:t>Consolidated Financial Statements.</w:t>
      </w:r>
    </w:p>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Interest income decreased $39 million in 2025 as compared to 2024 primarily due to lower average cash and short-term investment balances and increased $74 million in 2024 as compared to 2023 primarily due to higher average cash and short-term investment balances.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Other</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Research &amp; engineering </w:t>
      </w:r>
      <w:r>
        <w:rPr>
          <w:rFonts w:ascii="Arial" w:cs="Arial" w:eastAsia="Arial" w:hAnsi="Arial"/>
          <w:sz w:val="15"/>
          <w:szCs w:val="15"/>
          <w:color w:val="auto"/>
        </w:rPr>
        <w:t>and</w:t>
      </w:r>
      <w:r>
        <w:rPr>
          <w:rFonts w:ascii="Arial" w:cs="Arial" w:eastAsia="Arial" w:hAnsi="Arial"/>
          <w:sz w:val="15"/>
          <w:szCs w:val="15"/>
          <w:i w:val="1"/>
          <w:iCs w:val="1"/>
          <w:color w:val="auto"/>
        </w:rPr>
        <w:t xml:space="preserve"> General &amp; administrative </w:t>
      </w:r>
      <w:r>
        <w:rPr>
          <w:rFonts w:ascii="Arial" w:cs="Arial" w:eastAsia="Arial" w:hAnsi="Arial"/>
          <w:sz w:val="15"/>
          <w:szCs w:val="15"/>
          <w:color w:val="auto"/>
        </w:rPr>
        <w:t>expenses, as a percentage of</w:t>
      </w:r>
      <w:r>
        <w:rPr>
          <w:rFonts w:ascii="Arial" w:cs="Arial" w:eastAsia="Arial" w:hAnsi="Arial"/>
          <w:sz w:val="15"/>
          <w:szCs w:val="15"/>
          <w:i w:val="1"/>
          <w:iCs w:val="1"/>
          <w:color w:val="auto"/>
        </w:rPr>
        <w:t xml:space="preserve"> Revenue</w:t>
      </w:r>
      <w:r>
        <w:rPr>
          <w:rFonts w:ascii="Arial" w:cs="Arial" w:eastAsia="Arial" w:hAnsi="Arial"/>
          <w:sz w:val="15"/>
          <w:szCs w:val="15"/>
          <w:color w:val="auto"/>
        </w:rPr>
        <w:t>,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2025</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2023</w:t>
            </w:r>
          </w:p>
        </w:tc>
        <w:tc>
          <w:tcPr>
            <w:tcW w:w="140" w:type="dxa"/>
            <w:vAlign w:val="bottom"/>
          </w:tcPr>
          <w:p>
            <w:pPr>
              <w:spacing w:after="0"/>
              <w:rPr>
                <w:sz w:val="16"/>
                <w:szCs w:val="16"/>
                <w:color w:val="auto"/>
              </w:rPr>
            </w:pPr>
          </w:p>
        </w:tc>
      </w:tr>
      <w:tr>
        <w:trPr>
          <w:trHeight w:val="183"/>
        </w:trPr>
        <w:tc>
          <w:tcPr>
            <w:tcW w:w="7460" w:type="dxa"/>
            <w:vAlign w:val="bottom"/>
            <w:gridSpan w:val="2"/>
            <w:shd w:val="clear" w:color="auto" w:fill="CFF0FC"/>
          </w:tcPr>
          <w:p>
            <w:pPr>
              <w:spacing w:after="0"/>
              <w:rPr>
                <w:sz w:val="20"/>
                <w:szCs w:val="20"/>
                <w:color w:val="auto"/>
              </w:rPr>
            </w:pPr>
            <w:r>
              <w:rPr>
                <w:rFonts w:ascii="Arial" w:cs="Arial" w:eastAsia="Arial" w:hAnsi="Arial"/>
                <w:sz w:val="15"/>
                <w:szCs w:val="15"/>
                <w:i w:val="1"/>
                <w:iCs w:val="1"/>
                <w:color w:val="auto"/>
              </w:rPr>
              <w:t>Research &amp; engineering</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2.0%</w:t>
            </w: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2.1%</w:t>
            </w:r>
          </w:p>
        </w:tc>
      </w:tr>
      <w:tr>
        <w:trPr>
          <w:trHeight w:val="208"/>
        </w:trPr>
        <w:tc>
          <w:tcPr>
            <w:tcW w:w="7460" w:type="dxa"/>
            <w:vAlign w:val="bottom"/>
            <w:gridSpan w:val="2"/>
          </w:tcPr>
          <w:p>
            <w:pPr>
              <w:spacing w:after="0"/>
              <w:rPr>
                <w:sz w:val="20"/>
                <w:szCs w:val="20"/>
                <w:color w:val="auto"/>
              </w:rPr>
            </w:pPr>
            <w:r>
              <w:rPr>
                <w:rFonts w:ascii="Arial" w:cs="Arial" w:eastAsia="Arial" w:hAnsi="Arial"/>
                <w:sz w:val="15"/>
                <w:szCs w:val="15"/>
                <w:i w:val="1"/>
                <w:iCs w:val="1"/>
                <w:color w:val="auto"/>
              </w:rPr>
              <w:t>General &amp; administrative</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1.0%</w:t>
            </w:r>
          </w:p>
        </w:tc>
        <w:tc>
          <w:tcPr>
            <w:tcW w:w="10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1.1%</w:t>
            </w:r>
          </w:p>
        </w:tc>
        <w:tc>
          <w:tcPr>
            <w:tcW w:w="1520" w:type="dxa"/>
            <w:vAlign w:val="bottom"/>
            <w:gridSpan w:val="2"/>
          </w:tcPr>
          <w:p>
            <w:pPr>
              <w:jc w:val="right"/>
              <w:ind w:right="20"/>
              <w:spacing w:after="0"/>
              <w:rPr>
                <w:sz w:val="20"/>
                <w:szCs w:val="20"/>
                <w:color w:val="auto"/>
              </w:rPr>
            </w:pPr>
            <w:r>
              <w:rPr>
                <w:rFonts w:ascii="Arial" w:cs="Arial" w:eastAsia="Arial" w:hAnsi="Arial"/>
                <w:sz w:val="15"/>
                <w:szCs w:val="15"/>
                <w:color w:val="auto"/>
              </w:rPr>
              <w:t>1.1%</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Charges and Credits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SLB recorded charges and credits during 2025, 2024 and 2023. These charges and credits, which are summarized below, are more fully described in Note 3 to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the 2025 charges and credits: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339"/>
        </w:trPr>
        <w:tc>
          <w:tcPr>
            <w:tcW w:w="580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5"/>
                <w:szCs w:val="15"/>
                <w:color w:val="auto"/>
              </w:rPr>
              <w:t>Pretax Charge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Tax Benefit</w:t>
            </w:r>
          </w:p>
        </w:tc>
        <w:tc>
          <w:tcPr>
            <w:tcW w:w="80" w:type="dxa"/>
            <w:vAlign w:val="bottom"/>
          </w:tcPr>
          <w:p>
            <w:pPr>
              <w:spacing w:after="0"/>
              <w:rPr>
                <w:sz w:val="24"/>
                <w:szCs w:val="24"/>
                <w:color w:val="auto"/>
              </w:rPr>
            </w:pPr>
          </w:p>
        </w:tc>
        <w:tc>
          <w:tcPr>
            <w:tcW w:w="1180" w:type="dxa"/>
            <w:vAlign w:val="bottom"/>
            <w:gridSpan w:val="2"/>
          </w:tcPr>
          <w:p>
            <w:pPr>
              <w:jc w:val="right"/>
              <w:ind w:right="44"/>
              <w:spacing w:after="0"/>
              <w:rPr>
                <w:sz w:val="20"/>
                <w:szCs w:val="20"/>
                <w:color w:val="auto"/>
              </w:rPr>
            </w:pPr>
            <w:r>
              <w:rPr>
                <w:rFonts w:ascii="Arial" w:cs="Arial" w:eastAsia="Arial" w:hAnsi="Arial"/>
                <w:sz w:val="15"/>
                <w:szCs w:val="15"/>
                <w:color w:val="auto"/>
              </w:rPr>
              <w:t>Noncontrolling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5"/>
                <w:szCs w:val="15"/>
                <w:color w:val="auto"/>
              </w:rPr>
              <w:t>(Credit)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5"/>
                <w:szCs w:val="15"/>
                <w:color w:val="auto"/>
              </w:rPr>
              <w:t>(Expense)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64"/>
              <w:spacing w:after="0"/>
              <w:rPr>
                <w:sz w:val="20"/>
                <w:szCs w:val="20"/>
                <w:color w:val="auto"/>
              </w:rPr>
            </w:pPr>
            <w:r>
              <w:rPr>
                <w:rFonts w:ascii="Arial" w:cs="Arial" w:eastAsia="Arial" w:hAnsi="Arial"/>
                <w:sz w:val="15"/>
                <w:szCs w:val="15"/>
                <w:color w:val="auto"/>
              </w:rPr>
              <w:t>Interest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5"/>
                <w:szCs w:val="15"/>
                <w:color w:val="auto"/>
              </w:rPr>
              <w:t>Net</w:t>
            </w:r>
          </w:p>
        </w:tc>
      </w:tr>
      <w:tr>
        <w:trPr>
          <w:trHeight w:val="170"/>
        </w:trPr>
        <w:tc>
          <w:tcPr>
            <w:tcW w:w="580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First quarter:</w:t>
            </w:r>
          </w:p>
        </w:tc>
        <w:tc>
          <w:tcPr>
            <w:tcW w:w="2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Workforce reductions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158</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5"/>
                <w:szCs w:val="15"/>
                <w:color w:val="auto"/>
              </w:rPr>
            </w:pPr>
          </w:p>
        </w:tc>
        <w:tc>
          <w:tcPr>
            <w:tcW w:w="30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8"/>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Other merger and integration</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spacing w:after="0"/>
              <w:rPr>
                <w:sz w:val="20"/>
                <w:szCs w:val="20"/>
                <w:color w:val="auto"/>
              </w:rPr>
            </w:pPr>
            <w:r>
              <w:rPr>
                <w:rFonts w:ascii="Arial" w:cs="Arial" w:eastAsia="Arial" w:hAnsi="Arial"/>
                <w:sz w:val="15"/>
                <w:szCs w:val="15"/>
                <w:i w:val="1"/>
                <w:iCs w:val="1"/>
                <w:color w:val="auto"/>
              </w:rPr>
              <w:t>Second quarter:</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Impairment of equity method investment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Workforce reductions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Other merger and integration</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Gain on sale of Palliser APS project</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(145)</w:t>
            </w:r>
          </w:p>
        </w:tc>
      </w:tr>
      <w:tr>
        <w:trPr>
          <w:trHeight w:val="178"/>
        </w:trPr>
        <w:tc>
          <w:tcPr>
            <w:tcW w:w="580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Third quarter:</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Acquisition-related professional fees</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Workforce reductions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Acquisition-related employee benefits</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Impairment of equity-method investment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Other merger and integration</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spacing w:after="0"/>
              <w:rPr>
                <w:sz w:val="20"/>
                <w:szCs w:val="20"/>
                <w:color w:val="auto"/>
              </w:rPr>
            </w:pPr>
            <w:r>
              <w:rPr>
                <w:rFonts w:ascii="Arial" w:cs="Arial" w:eastAsia="Arial" w:hAnsi="Arial"/>
                <w:sz w:val="15"/>
                <w:szCs w:val="15"/>
                <w:i w:val="1"/>
                <w:iCs w:val="1"/>
                <w:color w:val="auto"/>
              </w:rPr>
              <w:t>Fourth quarter:</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Goodwill impairment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Workforce reductions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Other merger and integration</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Reversal of valuation allowance relating to deferred tax assets</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(92)</w:t>
            </w:r>
          </w:p>
        </w:tc>
      </w:tr>
      <w:tr>
        <w:trPr>
          <w:trHeight w:val="170"/>
        </w:trPr>
        <w:tc>
          <w:tcPr>
            <w:tcW w:w="580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1,107</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203</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4"/>
              <w:spacing w:after="0" w:line="171" w:lineRule="exact"/>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68</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line="171"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836</w:t>
            </w:r>
          </w:p>
        </w:tc>
        <w:tc>
          <w:tcPr>
            <w:tcW w:w="100" w:type="dxa"/>
            <w:vAlign w:val="bottom"/>
            <w:tcBorders>
              <w:top w:val="single" w:sz="8" w:color="CFF0FC"/>
            </w:tcBorders>
          </w:tcPr>
          <w:p>
            <w:pPr>
              <w:spacing w:after="0"/>
              <w:rPr>
                <w:sz w:val="14"/>
                <w:szCs w:val="14"/>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-144145</wp:posOffset>
            </wp:positionV>
            <wp:extent cx="647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-144145</wp:posOffset>
            </wp:positionV>
            <wp:extent cx="64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-144145</wp:posOffset>
            </wp:positionV>
            <wp:extent cx="647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-144145</wp:posOffset>
            </wp:positionV>
            <wp:extent cx="723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the 2024 charges and credits: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5"/>
                <w:szCs w:val="15"/>
                <w:color w:val="auto"/>
              </w:rPr>
              <w:t>Pretax Charge</w:t>
            </w:r>
          </w:p>
        </w:tc>
        <w:tc>
          <w:tcPr>
            <w:tcW w:w="140" w:type="dxa"/>
            <w:vAlign w:val="bottom"/>
          </w:tcPr>
          <w:p>
            <w:pPr>
              <w:spacing w:after="0"/>
              <w:rPr>
                <w:sz w:val="24"/>
                <w:szCs w:val="24"/>
                <w:color w:val="auto"/>
              </w:rPr>
            </w:pPr>
          </w:p>
        </w:tc>
        <w:tc>
          <w:tcPr>
            <w:tcW w:w="960" w:type="dxa"/>
            <w:vAlign w:val="bottom"/>
            <w:gridSpan w:val="2"/>
          </w:tcPr>
          <w:p>
            <w:pPr>
              <w:jc w:val="center"/>
              <w:ind w:left="84"/>
              <w:spacing w:after="0"/>
              <w:rPr>
                <w:sz w:val="20"/>
                <w:szCs w:val="20"/>
                <w:color w:val="auto"/>
              </w:rPr>
            </w:pPr>
            <w:r>
              <w:rPr>
                <w:rFonts w:ascii="Arial" w:cs="Arial" w:eastAsia="Arial" w:hAnsi="Arial"/>
                <w:sz w:val="15"/>
                <w:szCs w:val="15"/>
                <w:color w:val="auto"/>
              </w:rPr>
              <w:t>Tax Benefit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Noncontrolling</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3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5"/>
                <w:szCs w:val="15"/>
                <w:color w:val="auto"/>
                <w:w w:val="99"/>
              </w:rPr>
              <w:t>(Credit)</w:t>
            </w:r>
          </w:p>
        </w:tc>
        <w:tc>
          <w:tcPr>
            <w:tcW w:w="140" w:type="dxa"/>
            <w:vAlign w:val="bottom"/>
          </w:tcPr>
          <w:p>
            <w:pPr>
              <w:spacing w:after="0"/>
              <w:rPr>
                <w:sz w:val="16"/>
                <w:szCs w:val="16"/>
                <w:color w:val="auto"/>
              </w:rPr>
            </w:pPr>
          </w:p>
        </w:tc>
        <w:tc>
          <w:tcPr>
            <w:tcW w:w="960" w:type="dxa"/>
            <w:vAlign w:val="bottom"/>
            <w:gridSpan w:val="2"/>
          </w:tcPr>
          <w:p>
            <w:pPr>
              <w:jc w:val="center"/>
              <w:ind w:left="104"/>
              <w:spacing w:after="0"/>
              <w:rPr>
                <w:sz w:val="20"/>
                <w:szCs w:val="20"/>
                <w:color w:val="auto"/>
              </w:rPr>
            </w:pPr>
            <w:r>
              <w:rPr>
                <w:rFonts w:ascii="Arial" w:cs="Arial" w:eastAsia="Arial" w:hAnsi="Arial"/>
                <w:sz w:val="15"/>
                <w:szCs w:val="15"/>
                <w:color w:val="auto"/>
              </w:rPr>
              <w:t>(Expense)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Interest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5"/>
                <w:szCs w:val="15"/>
                <w:color w:val="auto"/>
              </w:rPr>
              <w:t>Net</w:t>
            </w:r>
          </w:p>
        </w:tc>
      </w:tr>
      <w:tr>
        <w:trPr>
          <w:trHeight w:val="170"/>
        </w:trPr>
        <w:tc>
          <w:tcPr>
            <w:tcW w:w="526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First quarter:</w:t>
            </w:r>
          </w:p>
        </w:tc>
        <w:tc>
          <w:tcPr>
            <w:tcW w:w="5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7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5"/>
                <w:szCs w:val="15"/>
                <w:color w:val="auto"/>
              </w:rPr>
            </w:pPr>
          </w:p>
        </w:tc>
        <w:tc>
          <w:tcPr>
            <w:tcW w:w="880" w:type="dxa"/>
            <w:vAlign w:val="bottom"/>
            <w:gridSpan w:val="2"/>
          </w:tcPr>
          <w:p>
            <w:pPr>
              <w:jc w:val="center"/>
              <w:ind w:right="444"/>
              <w:spacing w:after="0"/>
              <w:rPr>
                <w:sz w:val="20"/>
                <w:szCs w:val="20"/>
                <w:color w:val="auto"/>
              </w:rPr>
            </w:pPr>
            <w:r>
              <w:rPr>
                <w:rFonts w:ascii="Arial" w:cs="Arial" w:eastAsia="Arial" w:hAnsi="Arial"/>
                <w:sz w:val="15"/>
                <w:szCs w:val="15"/>
                <w:color w:val="auto"/>
                <w:w w:val="95"/>
              </w:rPr>
              <w:t>$</w:t>
            </w:r>
          </w:p>
        </w:tc>
        <w:tc>
          <w:tcPr>
            <w:tcW w:w="2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Merger and integration</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2</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spacing w:after="0"/>
              <w:rPr>
                <w:sz w:val="20"/>
                <w:szCs w:val="20"/>
                <w:color w:val="auto"/>
              </w:rPr>
            </w:pPr>
            <w:r>
              <w:rPr>
                <w:rFonts w:ascii="Arial" w:cs="Arial" w:eastAsia="Arial" w:hAnsi="Arial"/>
                <w:sz w:val="15"/>
                <w:szCs w:val="15"/>
                <w:i w:val="1"/>
                <w:iCs w:val="1"/>
                <w:color w:val="auto"/>
              </w:rPr>
              <w:t>Second quarter:</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Workforce reductions</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5"/>
              </w:rPr>
              <w:t>17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Merger and integration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spacing w:after="0"/>
              <w:rPr>
                <w:sz w:val="20"/>
                <w:szCs w:val="20"/>
                <w:color w:val="auto"/>
              </w:rPr>
            </w:pPr>
            <w:r>
              <w:rPr>
                <w:rFonts w:ascii="Arial" w:cs="Arial" w:eastAsia="Arial" w:hAnsi="Arial"/>
                <w:sz w:val="15"/>
                <w:szCs w:val="15"/>
                <w:i w:val="1"/>
                <w:iCs w:val="1"/>
                <w:color w:val="auto"/>
              </w:rPr>
              <w:t>Third quarter</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Workforce reductions</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5"/>
              </w:rPr>
              <w:t>10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Merger and integration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spacing w:after="0"/>
              <w:rPr>
                <w:sz w:val="20"/>
                <w:szCs w:val="20"/>
                <w:color w:val="auto"/>
              </w:rPr>
            </w:pPr>
            <w:r>
              <w:rPr>
                <w:rFonts w:ascii="Arial" w:cs="Arial" w:eastAsia="Arial" w:hAnsi="Arial"/>
                <w:sz w:val="15"/>
                <w:szCs w:val="15"/>
                <w:i w:val="1"/>
                <w:iCs w:val="1"/>
                <w:color w:val="auto"/>
              </w:rPr>
              <w:t>Fourth quarter</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Asset impairments</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162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5"/>
              </w:rPr>
              <w:t>23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Merger and integration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Workforce reductions</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5"/>
              </w:rPr>
              <w:t>10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Gain on sale of investment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(24)</w:t>
            </w:r>
          </w:p>
        </w:tc>
      </w:tr>
      <w:tr>
        <w:trPr>
          <w:trHeight w:val="210"/>
        </w:trPr>
        <w:tc>
          <w:tcPr>
            <w:tcW w:w="2320" w:type="dxa"/>
            <w:vAlign w:val="bottom"/>
            <w:tcBorders>
              <w:bottom w:val="single" w:sz="8" w:color="CFF0FC"/>
            </w:tcBorders>
            <w:shd w:val="clear" w:color="auto" w:fill="CFF0FC"/>
          </w:tcPr>
          <w:p>
            <w:pPr>
              <w:spacing w:after="0"/>
              <w:rPr>
                <w:sz w:val="18"/>
                <w:szCs w:val="18"/>
                <w:color w:val="auto"/>
              </w:rPr>
            </w:pPr>
          </w:p>
        </w:tc>
        <w:tc>
          <w:tcPr>
            <w:tcW w:w="29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541</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center"/>
              <w:ind w:right="584"/>
              <w:spacing w:after="0" w:line="171" w:lineRule="exact"/>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w w:val="95"/>
              </w:rPr>
              <w:t>87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line="171"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gridSpan w:val="3"/>
            <w:shd w:val="clear" w:color="auto" w:fill="CFF0FC"/>
          </w:tcPr>
          <w:p>
            <w:pPr>
              <w:jc w:val="right"/>
              <w:spacing w:after="0" w:line="171" w:lineRule="exact"/>
              <w:rPr>
                <w:sz w:val="20"/>
                <w:szCs w:val="20"/>
                <w:color w:val="auto"/>
              </w:rPr>
            </w:pPr>
            <w:r>
              <w:rPr>
                <w:rFonts w:ascii="Arial" w:cs="Arial" w:eastAsia="Arial" w:hAnsi="Arial"/>
                <w:sz w:val="15"/>
                <w:szCs w:val="15"/>
                <w:color w:val="auto"/>
              </w:rPr>
              <w:t>27</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427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521"/>
        </w:trPr>
        <w:tc>
          <w:tcPr>
            <w:tcW w:w="5260" w:type="dxa"/>
            <w:vAlign w:val="bottom"/>
            <w:gridSpan w:val="2"/>
          </w:tcPr>
          <w:p>
            <w:pPr>
              <w:spacing w:after="0"/>
              <w:rPr>
                <w:sz w:val="20"/>
                <w:szCs w:val="20"/>
                <w:color w:val="auto"/>
              </w:rPr>
            </w:pPr>
            <w:r>
              <w:rPr>
                <w:rFonts w:ascii="Arial" w:cs="Arial" w:eastAsia="Arial" w:hAnsi="Arial"/>
                <w:sz w:val="15"/>
                <w:szCs w:val="15"/>
                <w:color w:val="auto"/>
              </w:rPr>
              <w:t>The following is a summary of the 2023 charges and credits: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5"/>
        </w:trPr>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5"/>
                <w:szCs w:val="15"/>
                <w:color w:val="auto"/>
              </w:rPr>
              <w:t>Pretax Charge</w:t>
            </w:r>
          </w:p>
        </w:tc>
        <w:tc>
          <w:tcPr>
            <w:tcW w:w="140" w:type="dxa"/>
            <w:vAlign w:val="bottom"/>
          </w:tcPr>
          <w:p>
            <w:pPr>
              <w:spacing w:after="0"/>
              <w:rPr>
                <w:sz w:val="24"/>
                <w:szCs w:val="24"/>
                <w:color w:val="auto"/>
              </w:rPr>
            </w:pPr>
          </w:p>
        </w:tc>
        <w:tc>
          <w:tcPr>
            <w:tcW w:w="960" w:type="dxa"/>
            <w:vAlign w:val="bottom"/>
            <w:gridSpan w:val="2"/>
          </w:tcPr>
          <w:p>
            <w:pPr>
              <w:jc w:val="center"/>
              <w:ind w:left="84"/>
              <w:spacing w:after="0"/>
              <w:rPr>
                <w:sz w:val="20"/>
                <w:szCs w:val="20"/>
                <w:color w:val="auto"/>
              </w:rPr>
            </w:pPr>
            <w:r>
              <w:rPr>
                <w:rFonts w:ascii="Arial" w:cs="Arial" w:eastAsia="Arial" w:hAnsi="Arial"/>
                <w:sz w:val="15"/>
                <w:szCs w:val="15"/>
                <w:color w:val="auto"/>
              </w:rPr>
              <w:t>Tax Benefit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Noncontrolling</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3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5"/>
                <w:szCs w:val="15"/>
                <w:color w:val="auto"/>
                <w:w w:val="99"/>
              </w:rPr>
              <w:t>(Credit)</w:t>
            </w:r>
          </w:p>
        </w:tc>
        <w:tc>
          <w:tcPr>
            <w:tcW w:w="140" w:type="dxa"/>
            <w:vAlign w:val="bottom"/>
          </w:tcPr>
          <w:p>
            <w:pPr>
              <w:spacing w:after="0"/>
              <w:rPr>
                <w:sz w:val="16"/>
                <w:szCs w:val="16"/>
                <w:color w:val="auto"/>
              </w:rPr>
            </w:pPr>
          </w:p>
        </w:tc>
        <w:tc>
          <w:tcPr>
            <w:tcW w:w="960" w:type="dxa"/>
            <w:vAlign w:val="bottom"/>
            <w:gridSpan w:val="2"/>
          </w:tcPr>
          <w:p>
            <w:pPr>
              <w:jc w:val="center"/>
              <w:ind w:left="104"/>
              <w:spacing w:after="0"/>
              <w:rPr>
                <w:sz w:val="20"/>
                <w:szCs w:val="20"/>
                <w:color w:val="auto"/>
              </w:rPr>
            </w:pPr>
            <w:r>
              <w:rPr>
                <w:rFonts w:ascii="Arial" w:cs="Arial" w:eastAsia="Arial" w:hAnsi="Arial"/>
                <w:sz w:val="15"/>
                <w:szCs w:val="15"/>
                <w:color w:val="auto"/>
              </w:rPr>
              <w:t>(Expense)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Interests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5"/>
                <w:szCs w:val="15"/>
                <w:color w:val="auto"/>
              </w:rPr>
              <w:t>Net</w:t>
            </w:r>
          </w:p>
        </w:tc>
      </w:tr>
      <w:tr>
        <w:trPr>
          <w:trHeight w:val="170"/>
        </w:trPr>
        <w:tc>
          <w:tcPr>
            <w:tcW w:w="526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First quarter:</w:t>
            </w:r>
          </w:p>
        </w:tc>
        <w:tc>
          <w:tcPr>
            <w:tcW w:w="5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Gain on sale of Liberty shares</w:t>
            </w:r>
          </w:p>
        </w:tc>
        <w:tc>
          <w:tcPr>
            <w:tcW w:w="7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(36)</w:t>
            </w:r>
          </w:p>
        </w:tc>
        <w:tc>
          <w:tcPr>
            <w:tcW w:w="880" w:type="dxa"/>
            <w:vAlign w:val="bottom"/>
            <w:gridSpan w:val="2"/>
          </w:tcPr>
          <w:p>
            <w:pPr>
              <w:jc w:val="center"/>
              <w:ind w:right="444"/>
              <w:spacing w:after="0"/>
              <w:rPr>
                <w:sz w:val="20"/>
                <w:szCs w:val="20"/>
                <w:color w:val="auto"/>
              </w:rPr>
            </w:pPr>
            <w:r>
              <w:rPr>
                <w:rFonts w:ascii="Arial" w:cs="Arial" w:eastAsia="Arial" w:hAnsi="Arial"/>
                <w:sz w:val="15"/>
                <w:szCs w:val="15"/>
                <w:color w:val="auto"/>
                <w:w w:val="95"/>
              </w:rPr>
              <w:t>$</w:t>
            </w:r>
          </w:p>
        </w:tc>
        <w:tc>
          <w:tcPr>
            <w:tcW w:w="220" w:type="dxa"/>
            <w:vAlign w:val="bottom"/>
          </w:tcPr>
          <w:p>
            <w:pPr>
              <w:spacing w:after="0"/>
              <w:rPr>
                <w:sz w:val="15"/>
                <w:szCs w:val="15"/>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(8)</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(28)</w:t>
            </w:r>
          </w:p>
        </w:tc>
      </w:tr>
      <w:tr>
        <w:trPr>
          <w:trHeight w:val="178"/>
        </w:trPr>
        <w:tc>
          <w:tcPr>
            <w:tcW w:w="5260" w:type="dxa"/>
            <w:vAlign w:val="bottom"/>
            <w:gridSpan w:val="2"/>
            <w:shd w:val="clear" w:color="auto" w:fill="CFF0FC"/>
          </w:tcPr>
          <w:p>
            <w:pPr>
              <w:spacing w:after="0"/>
              <w:rPr>
                <w:sz w:val="20"/>
                <w:szCs w:val="20"/>
                <w:color w:val="auto"/>
              </w:rPr>
            </w:pPr>
            <w:r>
              <w:rPr>
                <w:rFonts w:ascii="Arial" w:cs="Arial" w:eastAsia="Arial" w:hAnsi="Arial"/>
                <w:sz w:val="15"/>
                <w:szCs w:val="15"/>
                <w:i w:val="1"/>
                <w:iCs w:val="1"/>
                <w:color w:val="auto"/>
              </w:rPr>
              <w:t>Fourth quarter:</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Currency devaluation loss in Argentina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Merger and integration</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6</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FF0FC"/>
          </w:tcPr>
          <w:p>
            <w:pPr>
              <w:spacing w:after="0"/>
              <w:rPr>
                <w:sz w:val="15"/>
                <w:szCs w:val="15"/>
                <w:color w:val="auto"/>
              </w:rPr>
            </w:pPr>
          </w:p>
        </w:tc>
      </w:tr>
      <w:tr>
        <w:trPr>
          <w:trHeight w:val="178"/>
        </w:trPr>
        <w:tc>
          <w:tcPr>
            <w:tcW w:w="5260" w:type="dxa"/>
            <w:vAlign w:val="bottom"/>
            <w:gridSpan w:val="2"/>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5"/>
                <w:szCs w:val="15"/>
                <w:color w:val="auto"/>
              </w:rPr>
            </w:pPr>
          </w:p>
        </w:tc>
      </w:tr>
      <w:tr>
        <w:trPr>
          <w:trHeight w:val="210"/>
        </w:trPr>
        <w:tc>
          <w:tcPr>
            <w:tcW w:w="23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110</w:t>
            </w: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center"/>
              <w:ind w:right="444"/>
              <w:spacing w:after="0" w:line="171" w:lineRule="exact"/>
              <w:rPr>
                <w:sz w:val="20"/>
                <w:szCs w:val="20"/>
                <w:color w:val="auto"/>
              </w:rPr>
            </w:pPr>
            <w:r>
              <w:rPr>
                <w:rFonts w:ascii="Arial" w:cs="Arial" w:eastAsia="Arial" w:hAnsi="Arial"/>
                <w:sz w:val="15"/>
                <w:szCs w:val="15"/>
                <w:color w:val="auto"/>
                <w:w w:val="95"/>
              </w:rPr>
              <w:t>$</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line="171"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95"/>
              </w:rPr>
              <w:t>8</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102</w:t>
            </w:r>
          </w:p>
        </w:tc>
        <w:tc>
          <w:tcPr>
            <w:tcW w:w="100" w:type="dxa"/>
            <w:vAlign w:val="bottom"/>
            <w:shd w:val="clear" w:color="auto" w:fill="CFF0FC"/>
          </w:tcPr>
          <w:p>
            <w:pPr>
              <w:spacing w:after="0"/>
              <w:rPr>
                <w:sz w:val="18"/>
                <w:szCs w:val="18"/>
                <w:color w:val="auto"/>
              </w:rPr>
            </w:pPr>
          </w:p>
        </w:tc>
      </w:tr>
      <w:tr>
        <w:trPr>
          <w:trHeight w:val="410"/>
        </w:trPr>
        <w:tc>
          <w:tcPr>
            <w:tcW w:w="5260" w:type="dxa"/>
            <w:vAlign w:val="bottom"/>
            <w:tcBorders>
              <w:top w:val="single" w:sz="8" w:color="CFF0FC"/>
            </w:tcBorders>
            <w:gridSpan w:val="2"/>
          </w:tcPr>
          <w:p>
            <w:pPr>
              <w:spacing w:after="0"/>
              <w:rPr>
                <w:sz w:val="20"/>
                <w:szCs w:val="20"/>
                <w:color w:val="auto"/>
              </w:rPr>
            </w:pPr>
            <w:r>
              <w:rPr>
                <w:rFonts w:ascii="Arial" w:cs="Arial" w:eastAsia="Arial" w:hAnsi="Arial"/>
                <w:sz w:val="15"/>
                <w:szCs w:val="15"/>
                <w:b w:val="1"/>
                <w:bCs w:val="1"/>
                <w:color w:val="auto"/>
              </w:rPr>
              <w:t>Liquidity and Capital Resources</w:t>
            </w:r>
          </w:p>
        </w:tc>
        <w:tc>
          <w:tcPr>
            <w:tcW w:w="5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5"/>
        </w:trPr>
        <w:tc>
          <w:tcPr>
            <w:tcW w:w="5260" w:type="dxa"/>
            <w:vAlign w:val="bottom"/>
            <w:gridSpan w:val="2"/>
          </w:tcPr>
          <w:p>
            <w:pPr>
              <w:spacing w:after="0"/>
              <w:rPr>
                <w:sz w:val="20"/>
                <w:szCs w:val="20"/>
                <w:color w:val="auto"/>
              </w:rPr>
            </w:pPr>
            <w:r>
              <w:rPr>
                <w:rFonts w:ascii="Arial" w:cs="Arial" w:eastAsia="Arial" w:hAnsi="Arial"/>
                <w:sz w:val="15"/>
                <w:szCs w:val="15"/>
                <w:color w:val="auto"/>
              </w:rPr>
              <w:t>Details of the components of liquidity as well as changes in liquidity follow:</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5"/>
        </w:trPr>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352"/>
        </w:trPr>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rPr>
              <w:t>Dec.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5"/>
                <w:szCs w:val="15"/>
                <w:color w:val="auto"/>
              </w:rPr>
              <w:t>Dec. 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Dec. 31,</w:t>
            </w:r>
          </w:p>
        </w:tc>
      </w:tr>
      <w:tr>
        <w:trPr>
          <w:trHeight w:val="190"/>
        </w:trPr>
        <w:tc>
          <w:tcPr>
            <w:tcW w:w="5260" w:type="dxa"/>
            <w:vAlign w:val="bottom"/>
            <w:gridSpan w:val="2"/>
          </w:tcPr>
          <w:p>
            <w:pPr>
              <w:spacing w:after="0"/>
              <w:rPr>
                <w:sz w:val="20"/>
                <w:szCs w:val="20"/>
                <w:color w:val="auto"/>
              </w:rPr>
            </w:pPr>
            <w:r>
              <w:rPr>
                <w:rFonts w:ascii="Arial" w:cs="Arial" w:eastAsia="Arial" w:hAnsi="Arial"/>
                <w:sz w:val="15"/>
                <w:szCs w:val="15"/>
                <w:b w:val="1"/>
                <w:bCs w:val="1"/>
                <w:color w:val="auto"/>
              </w:rPr>
              <w:t>Components of Liquidity:</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424"/>
              <w:spacing w:after="0"/>
              <w:rPr>
                <w:sz w:val="20"/>
                <w:szCs w:val="20"/>
                <w:color w:val="auto"/>
              </w:rPr>
            </w:pPr>
            <w:r>
              <w:rPr>
                <w:rFonts w:ascii="Arial" w:cs="Arial" w:eastAsia="Arial" w:hAnsi="Arial"/>
                <w:sz w:val="15"/>
                <w:szCs w:val="15"/>
                <w:b w:val="1"/>
                <w:bCs w:val="1"/>
                <w:color w:val="auto"/>
              </w:rPr>
              <w:t>2025</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6"/>
                <w:szCs w:val="16"/>
                <w:color w:val="auto"/>
              </w:rPr>
            </w:pPr>
          </w:p>
        </w:tc>
      </w:tr>
      <w:tr>
        <w:trPr>
          <w:trHeight w:val="170"/>
        </w:trPr>
        <w:tc>
          <w:tcPr>
            <w:tcW w:w="526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color w:val="auto"/>
              </w:rPr>
              <w:t>Cash</w:t>
            </w: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4"/>
              <w:spacing w:after="0" w:line="171"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3,036</w:t>
            </w:r>
          </w:p>
        </w:tc>
        <w:tc>
          <w:tcPr>
            <w:tcW w:w="2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3,544</w:t>
            </w:r>
          </w:p>
        </w:tc>
        <w:tc>
          <w:tcPr>
            <w:tcW w:w="80" w:type="dxa"/>
            <w:vAlign w:val="bottom"/>
            <w:shd w:val="clear" w:color="auto" w:fill="CFF0FC"/>
          </w:tcPr>
          <w:p>
            <w:pPr>
              <w:spacing w:after="0"/>
              <w:rPr>
                <w:sz w:val="14"/>
                <w:szCs w:val="14"/>
                <w:color w:val="auto"/>
              </w:rPr>
            </w:pPr>
          </w:p>
        </w:tc>
        <w:tc>
          <w:tcPr>
            <w:tcW w:w="340" w:type="dxa"/>
            <w:vAlign w:val="bottom"/>
            <w:gridSpan w:val="3"/>
            <w:shd w:val="clear" w:color="auto" w:fill="CFF0FC"/>
          </w:tcPr>
          <w:p>
            <w:pPr>
              <w:ind w:left="180"/>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2,900</w:t>
            </w:r>
          </w:p>
        </w:tc>
        <w:tc>
          <w:tcPr>
            <w:tcW w:w="100" w:type="dxa"/>
            <w:vAlign w:val="bottom"/>
            <w:shd w:val="clear" w:color="auto" w:fill="CFF0FC"/>
          </w:tcPr>
          <w:p>
            <w:pPr>
              <w:spacing w:after="0"/>
              <w:rPr>
                <w:sz w:val="14"/>
                <w:szCs w:val="14"/>
                <w:color w:val="auto"/>
              </w:rPr>
            </w:pPr>
          </w:p>
        </w:tc>
      </w:tr>
      <w:tr>
        <w:trPr>
          <w:trHeight w:val="178"/>
        </w:trPr>
        <w:tc>
          <w:tcPr>
            <w:tcW w:w="5260" w:type="dxa"/>
            <w:vAlign w:val="bottom"/>
            <w:gridSpan w:val="2"/>
          </w:tcPr>
          <w:p>
            <w:pPr>
              <w:spacing w:after="0"/>
              <w:rPr>
                <w:sz w:val="20"/>
                <w:szCs w:val="20"/>
                <w:color w:val="auto"/>
              </w:rPr>
            </w:pPr>
            <w:r>
              <w:rPr>
                <w:rFonts w:ascii="Arial" w:cs="Arial" w:eastAsia="Arial" w:hAnsi="Arial"/>
                <w:sz w:val="15"/>
                <w:szCs w:val="15"/>
                <w:color w:val="auto"/>
              </w:rPr>
              <w:t>Short-term investments</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b w:val="1"/>
                <w:bCs w:val="1"/>
                <w:color w:val="auto"/>
              </w:rPr>
              <w:t>1,176</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1,089</w:t>
            </w:r>
          </w:p>
        </w:tc>
        <w:tc>
          <w:tcPr>
            <w:tcW w:w="100" w:type="dxa"/>
            <w:vAlign w:val="bottom"/>
          </w:tcPr>
          <w:p>
            <w:pPr>
              <w:spacing w:after="0"/>
              <w:rPr>
                <w:sz w:val="15"/>
                <w:szCs w:val="15"/>
                <w:color w:val="auto"/>
              </w:rPr>
            </w:pPr>
          </w:p>
        </w:tc>
      </w:tr>
      <w:tr>
        <w:trPr>
          <w:trHeight w:val="178"/>
        </w:trPr>
        <w:tc>
          <w:tcPr>
            <w:tcW w:w="52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Short-term borrowings and current portion of long-term debt</w:t>
            </w: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(1,894)</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(1,051)</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(1,123)</w:t>
            </w:r>
          </w:p>
        </w:tc>
      </w:tr>
      <w:tr>
        <w:trPr>
          <w:trHeight w:val="178"/>
        </w:trPr>
        <w:tc>
          <w:tcPr>
            <w:tcW w:w="5260" w:type="dxa"/>
            <w:vAlign w:val="bottom"/>
            <w:gridSpan w:val="2"/>
          </w:tcPr>
          <w:p>
            <w:pPr>
              <w:spacing w:after="0"/>
              <w:rPr>
                <w:sz w:val="20"/>
                <w:szCs w:val="20"/>
                <w:color w:val="auto"/>
              </w:rPr>
            </w:pPr>
            <w:r>
              <w:rPr>
                <w:rFonts w:ascii="Arial" w:cs="Arial" w:eastAsia="Arial" w:hAnsi="Arial"/>
                <w:sz w:val="15"/>
                <w:szCs w:val="15"/>
                <w:color w:val="auto"/>
              </w:rPr>
              <w:t>Long-term debt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(9,742)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(11,023)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(10,842)</w:t>
            </w:r>
          </w:p>
        </w:tc>
      </w:tr>
      <w:tr>
        <w:trPr>
          <w:trHeight w:val="20"/>
        </w:trPr>
        <w:tc>
          <w:tcPr>
            <w:tcW w:w="2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6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color w:val="auto"/>
              </w:rPr>
              <w:t xml:space="preserve">Net debt </w:t>
            </w:r>
            <w:r>
              <w:rPr>
                <w:rFonts w:ascii="Arial" w:cs="Arial" w:eastAsia="Arial" w:hAnsi="Arial"/>
                <w:sz w:val="19"/>
                <w:szCs w:val="19"/>
                <w:color w:val="auto"/>
                <w:vertAlign w:val="superscript"/>
              </w:rPr>
              <w:t>(1)</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4"/>
              <w:spacing w:after="0" w:line="171" w:lineRule="exact"/>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60"/>
              <w:spacing w:after="0" w:line="171" w:lineRule="exact"/>
              <w:rPr>
                <w:sz w:val="20"/>
                <w:szCs w:val="20"/>
                <w:color w:val="auto"/>
              </w:rPr>
            </w:pPr>
            <w:r>
              <w:rPr>
                <w:rFonts w:ascii="Arial" w:cs="Arial" w:eastAsia="Arial" w:hAnsi="Arial"/>
                <w:sz w:val="15"/>
                <w:szCs w:val="15"/>
                <w:b w:val="1"/>
                <w:bCs w:val="1"/>
                <w:color w:val="auto"/>
              </w:rPr>
              <w:t>(7,424)</w:t>
            </w:r>
          </w:p>
        </w:tc>
        <w:tc>
          <w:tcPr>
            <w:tcW w:w="20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(7,405)</w:t>
            </w:r>
          </w:p>
        </w:tc>
        <w:tc>
          <w:tcPr>
            <w:tcW w:w="340" w:type="dxa"/>
            <w:vAlign w:val="bottom"/>
            <w:gridSpan w:val="3"/>
            <w:shd w:val="clear" w:color="auto" w:fill="CFF0FC"/>
          </w:tcPr>
          <w:p>
            <w:pPr>
              <w:ind w:left="180"/>
              <w:spacing w:after="0" w:line="171" w:lineRule="exact"/>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7"/>
                <w:szCs w:val="17"/>
                <w:color w:val="auto"/>
              </w:rPr>
              <w:t>(7,976)</w:t>
            </w:r>
          </w:p>
        </w:tc>
      </w:tr>
      <w:tr>
        <w:trPr>
          <w:trHeight w:val="572"/>
        </w:trPr>
        <w:tc>
          <w:tcPr>
            <w:tcW w:w="2320" w:type="dxa"/>
            <w:vAlign w:val="bottom"/>
            <w:tcBorders>
              <w:top w:val="single" w:sz="8" w:color="CFF0FC"/>
            </w:tcBorders>
          </w:tcPr>
          <w:p>
            <w:pPr>
              <w:spacing w:after="0"/>
              <w:rPr>
                <w:sz w:val="24"/>
                <w:szCs w:val="24"/>
                <w:color w:val="auto"/>
              </w:rPr>
            </w:pPr>
          </w:p>
        </w:tc>
        <w:tc>
          <w:tcPr>
            <w:tcW w:w="2940" w:type="dxa"/>
            <w:vAlign w:val="bottom"/>
            <w:tcBorders>
              <w:top w:val="single" w:sz="8" w:color="CFF0FC"/>
            </w:tcBorders>
          </w:tcPr>
          <w:p>
            <w:pPr>
              <w:spacing w:after="0"/>
              <w:rPr>
                <w:sz w:val="24"/>
                <w:szCs w:val="24"/>
                <w:color w:val="auto"/>
              </w:rPr>
            </w:pPr>
          </w:p>
        </w:tc>
        <w:tc>
          <w:tcPr>
            <w:tcW w:w="540" w:type="dxa"/>
            <w:vAlign w:val="bottom"/>
            <w:tcBorders>
              <w:top w:val="single" w:sz="8" w:color="CFF0FC"/>
            </w:tcBorders>
          </w:tcPr>
          <w:p>
            <w:pPr>
              <w:jc w:val="right"/>
              <w:ind w:right="24"/>
              <w:spacing w:after="0"/>
              <w:rPr>
                <w:sz w:val="20"/>
                <w:szCs w:val="20"/>
                <w:color w:val="auto"/>
              </w:rPr>
            </w:pPr>
            <w:r>
              <w:rPr>
                <w:rFonts w:ascii="Arial" w:cs="Arial" w:eastAsia="Arial" w:hAnsi="Arial"/>
                <w:sz w:val="15"/>
                <w:szCs w:val="15"/>
                <w:color w:val="auto"/>
              </w:rPr>
              <w:t>21</w:t>
            </w:r>
          </w:p>
        </w:tc>
        <w:tc>
          <w:tcPr>
            <w:tcW w:w="20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06"/>
        </w:trPr>
        <w:tc>
          <w:tcPr>
            <w:tcW w:w="23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-4278630</wp:posOffset>
            </wp:positionV>
            <wp:extent cx="647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-4262755</wp:posOffset>
            </wp:positionV>
            <wp:extent cx="647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-4278630</wp:posOffset>
            </wp:positionV>
            <wp:extent cx="647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-4262755</wp:posOffset>
            </wp:positionV>
            <wp:extent cx="647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-4278630</wp:posOffset>
            </wp:positionV>
            <wp:extent cx="647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-4262755</wp:posOffset>
            </wp:positionV>
            <wp:extent cx="647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-4278630</wp:posOffset>
            </wp:positionV>
            <wp:extent cx="723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-4262755</wp:posOffset>
            </wp:positionV>
            <wp:extent cx="723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-2529840</wp:posOffset>
            </wp:positionV>
            <wp:extent cx="647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-2513965</wp:posOffset>
            </wp:positionV>
            <wp:extent cx="647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-2529840</wp:posOffset>
            </wp:positionV>
            <wp:extent cx="647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-2513965</wp:posOffset>
            </wp:positionV>
            <wp:extent cx="647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-2529840</wp:posOffset>
            </wp:positionV>
            <wp:extent cx="647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-2513965</wp:posOffset>
            </wp:positionV>
            <wp:extent cx="647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-2529840</wp:posOffset>
            </wp:positionV>
            <wp:extent cx="723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-2513965</wp:posOffset>
            </wp:positionV>
            <wp:extent cx="723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-861695</wp:posOffset>
            </wp:positionV>
            <wp:extent cx="723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-845820</wp:posOffset>
            </wp:positionV>
            <wp:extent cx="723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-861695</wp:posOffset>
            </wp:positionV>
            <wp:extent cx="647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-845820</wp:posOffset>
            </wp:positionV>
            <wp:extent cx="647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-861695</wp:posOffset>
            </wp:positionV>
            <wp:extent cx="647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-845820</wp:posOffset>
            </wp:positionV>
            <wp:extent cx="647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20"/>
                <w:szCs w:val="20"/>
                <w:color w:val="auto"/>
              </w:rPr>
            </w:pPr>
            <w:r>
              <w:rPr>
                <w:rFonts w:ascii="Arial" w:cs="Arial" w:eastAsia="Arial" w:hAnsi="Arial"/>
                <w:sz w:val="15"/>
                <w:szCs w:val="15"/>
                <w:b w:val="1"/>
                <w:bCs w:val="1"/>
                <w:color w:val="auto"/>
              </w:rPr>
              <w:t>Changes in Liquidity:</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6"/>
                <w:szCs w:val="16"/>
                <w:color w:val="auto"/>
              </w:rPr>
            </w:pPr>
          </w:p>
        </w:tc>
      </w:tr>
      <w:tr>
        <w:trPr>
          <w:trHeight w:val="170"/>
        </w:trPr>
        <w:tc>
          <w:tcPr>
            <w:tcW w:w="65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Net income</w:t>
            </w:r>
          </w:p>
        </w:tc>
        <w:tc>
          <w:tcPr>
            <w:tcW w:w="300" w:type="dxa"/>
            <w:vAlign w:val="bottom"/>
            <w:shd w:val="clear" w:color="auto" w:fill="CFF0FC"/>
          </w:tcPr>
          <w:p>
            <w:pPr>
              <w:jc w:val="right"/>
              <w:ind w:right="144"/>
              <w:spacing w:after="0" w:line="171" w:lineRule="exact"/>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3,451</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71"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4,579</w:t>
            </w:r>
          </w:p>
        </w:tc>
        <w:tc>
          <w:tcPr>
            <w:tcW w:w="1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line="171"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4,275</w:t>
            </w:r>
          </w:p>
        </w:tc>
        <w:tc>
          <w:tcPr>
            <w:tcW w:w="100" w:type="dxa"/>
            <w:vAlign w:val="bottom"/>
            <w:shd w:val="clear" w:color="auto" w:fill="CFF0FC"/>
          </w:tcPr>
          <w:p>
            <w:pPr>
              <w:spacing w:after="0"/>
              <w:rPr>
                <w:sz w:val="14"/>
                <w:szCs w:val="14"/>
                <w:color w:val="auto"/>
              </w:rPr>
            </w:pPr>
          </w:p>
        </w:tc>
      </w:tr>
      <w:tr>
        <w:trPr>
          <w:trHeight w:val="178"/>
        </w:trPr>
        <w:tc>
          <w:tcPr>
            <w:tcW w:w="6560" w:type="dxa"/>
            <w:vAlign w:val="bottom"/>
          </w:tcPr>
          <w:p>
            <w:pPr>
              <w:spacing w:after="0" w:line="17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0"/>
                <w:szCs w:val="20"/>
                <w:color w:val="auto"/>
                <w:vertAlign w:val="superscript"/>
              </w:rPr>
              <w:t>(2)</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2,643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2,312</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Impairments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331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Amortization of inventory purchase accounting adjustment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Gains on sales of investments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(36)</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Gain on sale of Palliser APS project</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(149)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expense</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332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293</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Deferred taxes</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(279)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Earnings of equity method investments, less dividends received</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(59)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(132)</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Increase in working capital</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(60)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(159)</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US federal tax refund</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(40)</w:t>
            </w:r>
          </w:p>
        </w:tc>
      </w:tr>
      <w:tr>
        <w:trPr>
          <w:trHeight w:val="170"/>
        </w:trPr>
        <w:tc>
          <w:tcPr>
            <w:tcW w:w="6560" w:type="dxa"/>
            <w:vAlign w:val="bottom"/>
            <w:tcBorders>
              <w:bottom w:val="single" w:sz="8" w:color="CFF0FC"/>
            </w:tcBorders>
            <w:shd w:val="clear" w:color="auto" w:fill="CFF0FC"/>
          </w:tcPr>
          <w:p>
            <w:pPr>
              <w:spacing w:after="0" w:line="171" w:lineRule="exact"/>
              <w:rPr>
                <w:sz w:val="20"/>
                <w:szCs w:val="20"/>
                <w:color w:val="auto"/>
              </w:rPr>
            </w:pPr>
            <w:r>
              <w:rPr>
                <w:rFonts w:ascii="Arial" w:cs="Arial" w:eastAsia="Arial" w:hAnsi="Arial"/>
                <w:sz w:val="15"/>
                <w:szCs w:val="15"/>
                <w:b w:val="1"/>
                <w:bCs w:val="1"/>
                <w:color w:val="auto"/>
              </w:rPr>
              <w:t>Cash flow from operations</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6,489</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6,602</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6,637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70"/>
        </w:trPr>
        <w:tc>
          <w:tcPr>
            <w:tcW w:w="6560" w:type="dxa"/>
            <w:vAlign w:val="bottom"/>
          </w:tcPr>
          <w:p>
            <w:pPr>
              <w:spacing w:after="0" w:line="171" w:lineRule="exact"/>
              <w:rPr>
                <w:sz w:val="20"/>
                <w:szCs w:val="20"/>
                <w:color w:val="auto"/>
              </w:rPr>
            </w:pPr>
            <w:r>
              <w:rPr>
                <w:rFonts w:ascii="Arial" w:cs="Arial" w:eastAsia="Arial" w:hAnsi="Arial"/>
                <w:sz w:val="15"/>
                <w:szCs w:val="15"/>
                <w:color w:val="auto"/>
              </w:rPr>
              <w:t>Capital expenditures</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line="171" w:lineRule="exact"/>
              <w:rPr>
                <w:sz w:val="20"/>
                <w:szCs w:val="20"/>
                <w:color w:val="auto"/>
              </w:rPr>
            </w:pPr>
            <w:r>
              <w:rPr>
                <w:rFonts w:ascii="Arial" w:cs="Arial" w:eastAsia="Arial" w:hAnsi="Arial"/>
                <w:sz w:val="15"/>
                <w:szCs w:val="15"/>
                <w:b w:val="1"/>
                <w:bCs w:val="1"/>
                <w:color w:val="auto"/>
              </w:rPr>
              <w:t>(1,694)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(1,931)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(1,939)</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APS investments</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(428)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(483)</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(507)</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Exploration data capitalized</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(252)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(153)</w:t>
            </w:r>
          </w:p>
        </w:tc>
      </w:tr>
      <w:tr>
        <w:trPr>
          <w:trHeight w:val="170"/>
        </w:trPr>
        <w:tc>
          <w:tcPr>
            <w:tcW w:w="6560" w:type="dxa"/>
            <w:vAlign w:val="bottom"/>
            <w:tcBorders>
              <w:bottom w:val="single" w:sz="8" w:color="CFF0FC"/>
            </w:tcBorders>
            <w:shd w:val="clear" w:color="auto" w:fill="CFF0FC"/>
          </w:tcPr>
          <w:p>
            <w:pPr>
              <w:spacing w:after="0" w:line="171" w:lineRule="exact"/>
              <w:rPr>
                <w:sz w:val="20"/>
                <w:szCs w:val="20"/>
                <w:color w:val="auto"/>
              </w:rPr>
            </w:pPr>
            <w:r>
              <w:rPr>
                <w:rFonts w:ascii="Arial" w:cs="Arial" w:eastAsia="Arial" w:hAnsi="Arial"/>
                <w:sz w:val="15"/>
                <w:szCs w:val="15"/>
                <w:b w:val="1"/>
                <w:bCs w:val="1"/>
                <w:color w:val="auto"/>
              </w:rPr>
              <w:t xml:space="preserve">Free cash flow </w:t>
            </w:r>
            <w:r>
              <w:rPr>
                <w:rFonts w:ascii="Arial" w:cs="Arial" w:eastAsia="Arial" w:hAnsi="Arial"/>
                <w:sz w:val="19"/>
                <w:szCs w:val="19"/>
                <w:b w:val="1"/>
                <w:bCs w:val="1"/>
                <w:color w:val="auto"/>
                <w:vertAlign w:val="superscript"/>
              </w:rPr>
              <w:t>(3)</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4,115</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3,990</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4,038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70"/>
        </w:trPr>
        <w:tc>
          <w:tcPr>
            <w:tcW w:w="6560" w:type="dxa"/>
            <w:vAlign w:val="bottom"/>
          </w:tcPr>
          <w:p>
            <w:pPr>
              <w:spacing w:after="0" w:line="171" w:lineRule="exact"/>
              <w:rPr>
                <w:sz w:val="20"/>
                <w:szCs w:val="20"/>
                <w:color w:val="auto"/>
              </w:rPr>
            </w:pPr>
            <w:r>
              <w:rPr>
                <w:rFonts w:ascii="Arial" w:cs="Arial" w:eastAsia="Arial" w:hAnsi="Arial"/>
                <w:sz w:val="15"/>
                <w:szCs w:val="15"/>
                <w:color w:val="auto"/>
              </w:rPr>
              <w:t>Dividends paid</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line="171" w:lineRule="exact"/>
              <w:rPr>
                <w:sz w:val="20"/>
                <w:szCs w:val="20"/>
                <w:color w:val="auto"/>
              </w:rPr>
            </w:pPr>
            <w:r>
              <w:rPr>
                <w:rFonts w:ascii="Arial" w:cs="Arial" w:eastAsia="Arial" w:hAnsi="Arial"/>
                <w:sz w:val="15"/>
                <w:szCs w:val="15"/>
                <w:b w:val="1"/>
                <w:bCs w:val="1"/>
                <w:color w:val="auto"/>
              </w:rPr>
              <w:t>(1,602)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120"/>
              <w:spacing w:after="0" w:line="171" w:lineRule="exact"/>
              <w:rPr>
                <w:sz w:val="20"/>
                <w:szCs w:val="20"/>
                <w:color w:val="auto"/>
              </w:rPr>
            </w:pPr>
            <w:r>
              <w:rPr>
                <w:rFonts w:ascii="Arial" w:cs="Arial" w:eastAsia="Arial" w:hAnsi="Arial"/>
                <w:sz w:val="15"/>
                <w:szCs w:val="15"/>
                <w:color w:val="auto"/>
              </w:rPr>
              <w:t>(1,533)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(1,317)</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Stock repurchase program</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(2,414)</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(1,737)</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(694)</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Proceeds from employee stock purchase plan and exercise of stock options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229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281</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Net debt assumed in connection with ChampionX acquisition</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(133)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Proceeds from sale of Palliser APS project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338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 of ChampionX Drilling Technologies business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286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Other business acquisitions and investments, net of cash acquired plus debt assumed</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(187)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(553)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(330)</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 of Liberty shares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Purchases of Blue Chip Swap securities</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(185)</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sales of Blue Chip Swap securities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Taxes paid on net-settled stock-based compensation awards</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(61)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(169)</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(51)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(195)</w:t>
            </w:r>
          </w:p>
        </w:tc>
      </w:tr>
      <w:tr>
        <w:trPr>
          <w:trHeight w:val="170"/>
        </w:trPr>
        <w:tc>
          <w:tcPr>
            <w:tcW w:w="6560" w:type="dxa"/>
            <w:vAlign w:val="bottom"/>
            <w:tcBorders>
              <w:top w:val="single" w:sz="8" w:color="CFF0FC"/>
            </w:tcBorders>
          </w:tcPr>
          <w:p>
            <w:pPr>
              <w:spacing w:after="0" w:line="171" w:lineRule="exact"/>
              <w:rPr>
                <w:sz w:val="20"/>
                <w:szCs w:val="20"/>
                <w:color w:val="auto"/>
              </w:rPr>
            </w:pPr>
            <w:r>
              <w:rPr>
                <w:rFonts w:ascii="Arial" w:cs="Arial" w:eastAsia="Arial" w:hAnsi="Arial"/>
                <w:sz w:val="15"/>
                <w:szCs w:val="15"/>
                <w:b w:val="1"/>
                <w:bCs w:val="1"/>
                <w:color w:val="auto"/>
              </w:rPr>
              <w:t>Change in net debt before impact of changes in foreign exchange rates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490</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323</w:t>
            </w: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1,663</w:t>
            </w:r>
          </w:p>
        </w:tc>
        <w:tc>
          <w:tcPr>
            <w:tcW w:w="100" w:type="dxa"/>
            <w:vAlign w:val="bottom"/>
            <w:tcBorders>
              <w:top w:val="single" w:sz="8" w:color="CFF0FC"/>
            </w:tcBorders>
          </w:tcPr>
          <w:p>
            <w:pPr>
              <w:spacing w:after="0"/>
              <w:rPr>
                <w:sz w:val="14"/>
                <w:szCs w:val="14"/>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Impact of changes in foreign exchange rates</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(509)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(307)</w:t>
            </w: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6560" w:type="dxa"/>
            <w:vAlign w:val="bottom"/>
          </w:tcPr>
          <w:p>
            <w:pPr>
              <w:spacing w:after="0" w:line="171" w:lineRule="exact"/>
              <w:rPr>
                <w:sz w:val="20"/>
                <w:szCs w:val="20"/>
                <w:color w:val="auto"/>
              </w:rPr>
            </w:pPr>
            <w:r>
              <w:rPr>
                <w:rFonts w:ascii="Arial" w:cs="Arial" w:eastAsia="Arial" w:hAnsi="Arial"/>
                <w:sz w:val="15"/>
                <w:szCs w:val="15"/>
                <w:b w:val="1"/>
                <w:bCs w:val="1"/>
                <w:color w:val="auto"/>
              </w:rPr>
              <w:t>Decrease in Net Debt</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line="171" w:lineRule="exact"/>
              <w:rPr>
                <w:sz w:val="20"/>
                <w:szCs w:val="20"/>
                <w:color w:val="auto"/>
              </w:rPr>
            </w:pPr>
            <w:r>
              <w:rPr>
                <w:rFonts w:ascii="Arial" w:cs="Arial" w:eastAsia="Arial" w:hAnsi="Arial"/>
                <w:sz w:val="15"/>
                <w:szCs w:val="15"/>
                <w:b w:val="1"/>
                <w:bCs w:val="1"/>
                <w:color w:val="auto"/>
              </w:rPr>
              <w:t>(19)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571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1,356</w:t>
            </w:r>
          </w:p>
        </w:tc>
        <w:tc>
          <w:tcPr>
            <w:tcW w:w="100" w:type="dxa"/>
            <w:vAlign w:val="bottom"/>
          </w:tcPr>
          <w:p>
            <w:pPr>
              <w:spacing w:after="0"/>
              <w:rPr>
                <w:sz w:val="14"/>
                <w:szCs w:val="14"/>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Net Debt, Beginning of period</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(7,405)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(7,976)</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(9,332)</w:t>
            </w: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6560" w:type="dxa"/>
            <w:vAlign w:val="bottom"/>
          </w:tcPr>
          <w:p>
            <w:pPr>
              <w:spacing w:after="0" w:line="158" w:lineRule="exact"/>
              <w:rPr>
                <w:sz w:val="20"/>
                <w:szCs w:val="20"/>
                <w:color w:val="auto"/>
              </w:rPr>
            </w:pPr>
            <w:r>
              <w:rPr>
                <w:rFonts w:ascii="Arial" w:cs="Arial" w:eastAsia="Arial" w:hAnsi="Arial"/>
                <w:sz w:val="15"/>
                <w:szCs w:val="15"/>
                <w:b w:val="1"/>
                <w:bCs w:val="1"/>
                <w:color w:val="auto"/>
              </w:rPr>
              <w:t>Net Debt, End of period</w:t>
            </w:r>
          </w:p>
        </w:tc>
        <w:tc>
          <w:tcPr>
            <w:tcW w:w="300" w:type="dxa"/>
            <w:vAlign w:val="bottom"/>
          </w:tcPr>
          <w:p>
            <w:pPr>
              <w:jc w:val="right"/>
              <w:ind w:right="144"/>
              <w:spacing w:after="0" w:line="158" w:lineRule="exact"/>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00"/>
              <w:spacing w:after="0" w:line="158" w:lineRule="exact"/>
              <w:rPr>
                <w:sz w:val="20"/>
                <w:szCs w:val="20"/>
                <w:color w:val="auto"/>
              </w:rPr>
            </w:pPr>
            <w:r>
              <w:rPr>
                <w:rFonts w:ascii="Arial" w:cs="Arial" w:eastAsia="Arial" w:hAnsi="Arial"/>
                <w:sz w:val="15"/>
                <w:szCs w:val="15"/>
                <w:b w:val="1"/>
                <w:bCs w:val="1"/>
                <w:color w:val="auto"/>
              </w:rPr>
              <w:t>(7,424)</w:t>
            </w:r>
          </w:p>
        </w:tc>
        <w:tc>
          <w:tcPr>
            <w:tcW w:w="420" w:type="dxa"/>
            <w:vAlign w:val="bottom"/>
            <w:gridSpan w:val="2"/>
          </w:tcPr>
          <w:p>
            <w:pPr>
              <w:jc w:val="right"/>
              <w:ind w:right="220"/>
              <w:spacing w:after="0" w:line="158" w:lineRule="exact"/>
              <w:rPr>
                <w:sz w:val="20"/>
                <w:szCs w:val="20"/>
                <w:color w:val="auto"/>
              </w:rPr>
            </w:pPr>
            <w:r>
              <w:rPr>
                <w:rFonts w:ascii="Arial" w:cs="Arial" w:eastAsia="Arial" w:hAnsi="Arial"/>
                <w:sz w:val="15"/>
                <w:szCs w:val="15"/>
                <w:b w:val="1"/>
                <w:bCs w:val="1"/>
                <w:color w:val="auto"/>
              </w:rPr>
              <w:t>$</w:t>
            </w:r>
          </w:p>
        </w:tc>
        <w:tc>
          <w:tcPr>
            <w:tcW w:w="1220" w:type="dxa"/>
            <w:vAlign w:val="bottom"/>
            <w:gridSpan w:val="2"/>
          </w:tcPr>
          <w:p>
            <w:pPr>
              <w:jc w:val="right"/>
              <w:ind w:right="120"/>
              <w:spacing w:after="0" w:line="158" w:lineRule="exact"/>
              <w:rPr>
                <w:sz w:val="20"/>
                <w:szCs w:val="20"/>
                <w:color w:val="auto"/>
              </w:rPr>
            </w:pPr>
            <w:r>
              <w:rPr>
                <w:rFonts w:ascii="Arial" w:cs="Arial" w:eastAsia="Arial" w:hAnsi="Arial"/>
                <w:sz w:val="15"/>
                <w:szCs w:val="15"/>
                <w:b w:val="1"/>
                <w:bCs w:val="1"/>
                <w:color w:val="auto"/>
              </w:rPr>
              <w:t>(7,405)</w:t>
            </w:r>
          </w:p>
        </w:tc>
        <w:tc>
          <w:tcPr>
            <w:tcW w:w="380" w:type="dxa"/>
            <w:vAlign w:val="bottom"/>
            <w:gridSpan w:val="2"/>
          </w:tcPr>
          <w:p>
            <w:pPr>
              <w:jc w:val="right"/>
              <w:ind w:right="200"/>
              <w:spacing w:after="0" w:line="158"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rPr>
              <w:t>(7,976)</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-2441575</wp:posOffset>
            </wp:positionV>
            <wp:extent cx="723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-2441575</wp:posOffset>
            </wp:positionV>
            <wp:extent cx="647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-2441575</wp:posOffset>
            </wp:positionV>
            <wp:extent cx="647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-1973580</wp:posOffset>
            </wp:positionV>
            <wp:extent cx="723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-1973580</wp:posOffset>
            </wp:positionV>
            <wp:extent cx="647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-1973580</wp:posOffset>
            </wp:positionV>
            <wp:extent cx="647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-612140</wp:posOffset>
            </wp:positionV>
            <wp:extent cx="723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-612140</wp:posOffset>
            </wp:positionV>
            <wp:extent cx="647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-612140</wp:posOffset>
            </wp:positionV>
            <wp:extent cx="647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-378460</wp:posOffset>
            </wp:positionV>
            <wp:extent cx="723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-378460</wp:posOffset>
            </wp:positionV>
            <wp:extent cx="647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-378460</wp:posOffset>
            </wp:positionV>
            <wp:extent cx="647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-144145</wp:posOffset>
            </wp:positionV>
            <wp:extent cx="723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-144145</wp:posOffset>
            </wp:positionV>
            <wp:extent cx="647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8" w:lineRule="exact"/>
        <w:rPr>
          <w:sz w:val="20"/>
          <w:szCs w:val="20"/>
          <w:color w:val="auto"/>
        </w:rPr>
      </w:pPr>
    </w:p>
    <w:p>
      <w:pPr>
        <w:jc w:val="both"/>
        <w:ind w:left="380" w:hanging="378"/>
        <w:spacing w:after="0" w:line="218" w:lineRule="auto"/>
        <w:tabs>
          <w:tab w:leader="none" w:pos="38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ind w:left="380" w:hanging="378"/>
        <w:spacing w:after="0" w:line="191" w:lineRule="auto"/>
        <w:tabs>
          <w:tab w:leader="none" w:pos="38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jc w:val="both"/>
        <w:ind w:left="380" w:hanging="378"/>
        <w:spacing w:after="0" w:line="218" w:lineRule="auto"/>
        <w:tabs>
          <w:tab w:leader="none" w:pos="38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Key liquidity events during 2025, 2024 and 2023 included:</w:t>
      </w:r>
    </w:p>
    <w:p>
      <w:pPr>
        <w:spacing w:after="0" w:line="107" w:lineRule="exact"/>
        <w:rPr>
          <w:sz w:val="20"/>
          <w:szCs w:val="20"/>
          <w:color w:val="auto"/>
        </w:rPr>
      </w:pPr>
    </w:p>
    <w:p>
      <w:pPr>
        <w:jc w:val="both"/>
        <w:ind w:left="760" w:hanging="384"/>
        <w:spacing w:after="0" w:line="256" w:lineRule="auto"/>
        <w:tabs>
          <w:tab w:leader="none" w:pos="76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In January 2026, SLB announced a 3.5% increase to its quarterly cash dividend from $0.285 per share of outstanding common stock to $0.295 per share, beginning with the dividend payable in April 2026. In January 2025, SLB announced a 3.6% increase to its quarterly cash dividend from $0.275 per share of outstanding common stock to $0.285 per share, beginning with the dividend payable in April 2025. In January 2024, SLB announced a 10% increase to its quarterly cash dividend from $0.25 per share of outstanding common stock to $0.275 per share, beginning with the dividend paid in April 2024. Dividends paid during 2025, 2024 and 2023 were $1.6 billion, $1.5 billion and $1.3 billion, respectively.</w:t>
      </w:r>
    </w:p>
    <w:p>
      <w:pPr>
        <w:spacing w:after="0" w:line="82" w:lineRule="exact"/>
        <w:rPr>
          <w:rFonts w:ascii="Times New Roman" w:cs="Times New Roman" w:eastAsia="Times New Roman" w:hAnsi="Times New Roman"/>
          <w:sz w:val="15"/>
          <w:szCs w:val="15"/>
          <w:color w:val="auto"/>
        </w:rPr>
      </w:pPr>
    </w:p>
    <w:p>
      <w:pPr>
        <w:ind w:left="760" w:hanging="384"/>
        <w:spacing w:after="0" w:line="253" w:lineRule="auto"/>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5"/>
          <w:szCs w:val="15"/>
          <w:color w:val="auto"/>
        </w:rPr>
        <w:t>Capital investments (consisting of capital expenditures, APS investments, and exploration data capitalized) were $2.4 billion in 2025, and $2.6 billion in both 2024 and 2023. Capital investments during 2026 are expected to be approximately $2.5 billion.</w:t>
      </w:r>
    </w:p>
    <w:p>
      <w:pPr>
        <w:spacing w:after="0" w:line="81" w:lineRule="exact"/>
        <w:rPr>
          <w:rFonts w:ascii="Times New Roman" w:cs="Times New Roman" w:eastAsia="Times New Roman" w:hAnsi="Times New Roman"/>
          <w:sz w:val="17"/>
          <w:szCs w:val="17"/>
          <w:color w:val="auto"/>
        </w:rPr>
      </w:pPr>
    </w:p>
    <w:p>
      <w:pPr>
        <w:ind w:left="760" w:hanging="384"/>
        <w:spacing w:after="0"/>
        <w:tabs>
          <w:tab w:leader="none" w:pos="76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5"/>
          <w:szCs w:val="15"/>
          <w:color w:val="auto"/>
        </w:rPr>
        <w:t>During the fourth quarter of 2025, SLB repaid its $0.5 billion 4.00% Senior Notes due 2025.</w:t>
      </w:r>
    </w:p>
    <w:p>
      <w:pPr>
        <w:spacing w:after="0" w:line="96" w:lineRule="exact"/>
        <w:rPr>
          <w:rFonts w:ascii="Times New Roman" w:cs="Times New Roman" w:eastAsia="Times New Roman" w:hAnsi="Times New Roman"/>
          <w:sz w:val="17"/>
          <w:szCs w:val="17"/>
          <w:color w:val="auto"/>
        </w:rPr>
      </w:pPr>
    </w:p>
    <w:p>
      <w:pPr>
        <w:ind w:left="760" w:hanging="384"/>
        <w:spacing w:after="0"/>
        <w:tabs>
          <w:tab w:leader="none" w:pos="76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During the third quarter of 2025, SLB repaid its $0.5 billion 1.40% Senior Notes due 2025.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22" w:name="page23"/>
    <w:bookmarkEnd w:id="22"/>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During the third quarter of 2025, SLB fully repaid all the $0.6 billion of debt assumed in connection with the acquisition of ChampionX.</w:t>
      </w:r>
    </w:p>
    <w:p>
      <w:pPr>
        <w:spacing w:after="0" w:line="118" w:lineRule="exact"/>
        <w:rPr>
          <w:rFonts w:ascii="Times New Roman" w:cs="Times New Roman" w:eastAsia="Times New Roman" w:hAnsi="Times New Roman"/>
          <w:sz w:val="15"/>
          <w:szCs w:val="15"/>
          <w:color w:val="auto"/>
        </w:rPr>
      </w:pPr>
    </w:p>
    <w:p>
      <w:pPr>
        <w:ind w:left="760" w:hanging="384"/>
        <w:spacing w:after="0" w:line="284" w:lineRule="auto"/>
        <w:tabs>
          <w:tab w:leader="none" w:pos="76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During the third quarter of 2025 and concurrent with the close of the ChampionX acquisition, the ChampionX Drilling Technologies business was disposed of and SLB received $286 million of proceeds.</w:t>
      </w:r>
    </w:p>
    <w:p>
      <w:pPr>
        <w:spacing w:after="0" w:line="60" w:lineRule="exact"/>
        <w:rPr>
          <w:rFonts w:ascii="Times New Roman" w:cs="Times New Roman" w:eastAsia="Times New Roman" w:hAnsi="Times New Roman"/>
          <w:sz w:val="15"/>
          <w:szCs w:val="15"/>
          <w:color w:val="auto"/>
        </w:rPr>
      </w:pPr>
    </w:p>
    <w:p>
      <w:pPr>
        <w:ind w:left="760" w:right="1220" w:hanging="384"/>
        <w:spacing w:after="0" w:line="412" w:lineRule="auto"/>
        <w:tabs>
          <w:tab w:leader="none" w:pos="76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5"/>
          <w:szCs w:val="15"/>
          <w:color w:val="auto"/>
        </w:rPr>
        <w:t>As of December 31, 2025, SLB cumulatively repurchased $5.9 billion of its common stock under its $10 billion share repurchase program. The following table summarizes the activity under the share repurchase program:</w:t>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8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9"/>
              </w:rPr>
              <w:t>(Stated in millions, except per share amounts)</w:t>
            </w:r>
          </w:p>
        </w:tc>
      </w:tr>
      <w:tr>
        <w:trPr>
          <w:trHeight w:val="33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84"/>
              <w:spacing w:after="0"/>
              <w:rPr>
                <w:sz w:val="20"/>
                <w:szCs w:val="20"/>
                <w:color w:val="auto"/>
              </w:rPr>
            </w:pPr>
            <w:r>
              <w:rPr>
                <w:rFonts w:ascii="Arial" w:cs="Arial" w:eastAsia="Arial" w:hAnsi="Arial"/>
                <w:sz w:val="15"/>
                <w:szCs w:val="15"/>
                <w:b w:val="1"/>
                <w:bCs w:val="1"/>
                <w:color w:val="auto"/>
              </w:rPr>
              <w:t>Total Cost</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Total Number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Average Price</w:t>
            </w:r>
          </w:p>
        </w:tc>
      </w:tr>
      <w:tr>
        <w:trPr>
          <w:trHeight w:val="178"/>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84"/>
              <w:spacing w:after="0"/>
              <w:rPr>
                <w:sz w:val="20"/>
                <w:szCs w:val="20"/>
                <w:color w:val="auto"/>
              </w:rPr>
            </w:pPr>
            <w:r>
              <w:rPr>
                <w:rFonts w:ascii="Arial" w:cs="Arial" w:eastAsia="Arial" w:hAnsi="Arial"/>
                <w:sz w:val="15"/>
                <w:szCs w:val="15"/>
                <w:b w:val="1"/>
                <w:bCs w:val="1"/>
                <w:color w:val="auto"/>
              </w:rPr>
              <w:t>of Shares</w:t>
            </w:r>
          </w:p>
        </w:tc>
        <w:tc>
          <w:tcPr>
            <w:tcW w:w="1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9"/>
              </w:rPr>
              <w:t>of Shares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Paid per</w:t>
            </w:r>
          </w:p>
        </w:tc>
      </w:tr>
      <w:tr>
        <w:trPr>
          <w:trHeight w:val="190"/>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Purchased</w:t>
            </w: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Purchased</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rPr>
              <w:t>Share</w:t>
            </w:r>
          </w:p>
        </w:tc>
        <w:tc>
          <w:tcPr>
            <w:tcW w:w="100" w:type="dxa"/>
            <w:vAlign w:val="bottom"/>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3120" w:type="dxa"/>
            <w:vAlign w:val="bottom"/>
            <w:shd w:val="clear" w:color="auto" w:fill="CFF0FC"/>
          </w:tcPr>
          <w:p>
            <w:pPr>
              <w:jc w:val="right"/>
              <w:ind w:right="2724"/>
              <w:spacing w:after="0" w:line="171" w:lineRule="exact"/>
              <w:rPr>
                <w:sz w:val="20"/>
                <w:szCs w:val="20"/>
                <w:color w:val="auto"/>
              </w:rPr>
            </w:pPr>
            <w:r>
              <w:rPr>
                <w:rFonts w:ascii="Arial" w:cs="Arial" w:eastAsia="Arial" w:hAnsi="Arial"/>
                <w:sz w:val="15"/>
                <w:szCs w:val="15"/>
                <w:b w:val="1"/>
                <w:bCs w:val="1"/>
                <w:color w:val="auto"/>
                <w:w w:val="89"/>
              </w:rPr>
              <w:t>2025</w:t>
            </w:r>
          </w:p>
        </w:tc>
        <w:tc>
          <w:tcPr>
            <w:tcW w:w="294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2,414</w:t>
            </w:r>
          </w:p>
        </w:tc>
        <w:tc>
          <w:tcPr>
            <w:tcW w:w="144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60.0</w:t>
            </w:r>
          </w:p>
        </w:tc>
        <w:tc>
          <w:tcPr>
            <w:tcW w:w="32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40.23</w:t>
            </w:r>
          </w:p>
        </w:tc>
        <w:tc>
          <w:tcPr>
            <w:tcW w:w="100" w:type="dxa"/>
            <w:vAlign w:val="bottom"/>
            <w:shd w:val="clear" w:color="auto" w:fill="CFF0FC"/>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3120" w:type="dxa"/>
            <w:vAlign w:val="bottom"/>
          </w:tcPr>
          <w:p>
            <w:pPr>
              <w:jc w:val="right"/>
              <w:ind w:right="2724"/>
              <w:spacing w:after="0"/>
              <w:rPr>
                <w:sz w:val="20"/>
                <w:szCs w:val="20"/>
                <w:color w:val="auto"/>
              </w:rPr>
            </w:pPr>
            <w:r>
              <w:rPr>
                <w:rFonts w:ascii="Arial" w:cs="Arial" w:eastAsia="Arial" w:hAnsi="Arial"/>
                <w:sz w:val="15"/>
                <w:szCs w:val="15"/>
                <w:color w:val="auto"/>
                <w:w w:val="89"/>
              </w:rPr>
              <w:t>2024</w:t>
            </w:r>
          </w:p>
        </w:tc>
        <w:tc>
          <w:tcPr>
            <w:tcW w:w="29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1,737</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38.4</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45.29</w:t>
            </w:r>
          </w:p>
        </w:tc>
        <w:tc>
          <w:tcPr>
            <w:tcW w:w="1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120" w:type="dxa"/>
            <w:vAlign w:val="bottom"/>
            <w:shd w:val="clear" w:color="auto" w:fill="CFF0FC"/>
          </w:tcPr>
          <w:p>
            <w:pPr>
              <w:jc w:val="right"/>
              <w:ind w:right="2724"/>
              <w:spacing w:after="0"/>
              <w:rPr>
                <w:sz w:val="20"/>
                <w:szCs w:val="20"/>
                <w:color w:val="auto"/>
              </w:rPr>
            </w:pPr>
            <w:r>
              <w:rPr>
                <w:rFonts w:ascii="Arial" w:cs="Arial" w:eastAsia="Arial" w:hAnsi="Arial"/>
                <w:sz w:val="15"/>
                <w:szCs w:val="15"/>
                <w:color w:val="auto"/>
                <w:w w:val="89"/>
              </w:rPr>
              <w:t>2023</w:t>
            </w:r>
          </w:p>
        </w:tc>
        <w:tc>
          <w:tcPr>
            <w:tcW w:w="29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52.05</w:t>
            </w:r>
          </w:p>
        </w:tc>
        <w:tc>
          <w:tcPr>
            <w:tcW w:w="100" w:type="dxa"/>
            <w:vAlign w:val="bottom"/>
            <w:shd w:val="clear" w:color="auto" w:fill="CFF0FC"/>
          </w:tcPr>
          <w:p>
            <w:pPr>
              <w:spacing w:after="0"/>
              <w:rPr>
                <w:sz w:val="15"/>
                <w:szCs w:val="15"/>
                <w:color w:val="auto"/>
              </w:rPr>
            </w:pPr>
          </w:p>
        </w:tc>
      </w:tr>
    </w:tbl>
    <w:p>
      <w:pPr>
        <w:spacing w:after="0" w:line="191" w:lineRule="exact"/>
        <w:rPr>
          <w:sz w:val="20"/>
          <w:szCs w:val="20"/>
          <w:color w:val="auto"/>
        </w:rPr>
      </w:pPr>
    </w:p>
    <w:p>
      <w:pPr>
        <w:jc w:val="both"/>
        <w:ind w:left="760" w:hanging="384"/>
        <w:spacing w:after="0" w:line="265" w:lineRule="auto"/>
        <w:tabs>
          <w:tab w:leader="none" w:pos="760" w:val="left"/>
        </w:tabs>
        <w:numPr>
          <w:ilvl w:val="0"/>
          <w:numId w:val="19"/>
        </w:numPr>
        <w:rPr>
          <w:rFonts w:ascii="Times New Roman" w:cs="Times New Roman" w:eastAsia="Times New Roman" w:hAnsi="Times New Roman"/>
          <w:sz w:val="15"/>
          <w:szCs w:val="15"/>
          <w:color w:val="auto"/>
        </w:rPr>
      </w:pPr>
      <w:r>
        <w:rPr>
          <w:rFonts w:ascii="Arial" w:cs="Arial" w:eastAsia="Arial" w:hAnsi="Arial"/>
          <w:sz w:val="15"/>
          <w:szCs w:val="15"/>
          <w:color w:val="auto"/>
        </w:rPr>
        <w:t>During the second quarter of 2025, SLB completed the sale of its interest in the Palliser APS project in Canada in exchange for net cash proceeds of $338 million. SLB recorded revenue of approximately $0.2 billion relating to this project during the six months ended June 30, 2025 and approximately $0.5 billion during 2024.</w:t>
      </w:r>
    </w:p>
    <w:p>
      <w:pPr>
        <w:spacing w:after="0" w:line="7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5"/>
          <w:szCs w:val="15"/>
          <w:color w:val="auto"/>
        </w:rPr>
        <w:t>During the fourth quarter of 2024, SLB repaid its €0.6 billion of 0.00% Notes that were outstanding.</w:t>
      </w:r>
    </w:p>
    <w:p>
      <w:pPr>
        <w:spacing w:after="0" w:line="109" w:lineRule="exact"/>
        <w:rPr>
          <w:rFonts w:ascii="Times New Roman" w:cs="Times New Roman" w:eastAsia="Times New Roman" w:hAnsi="Times New Roman"/>
          <w:sz w:val="17"/>
          <w:szCs w:val="17"/>
          <w:color w:val="auto"/>
        </w:rPr>
      </w:pPr>
    </w:p>
    <w:p>
      <w:pPr>
        <w:ind w:left="760" w:hanging="384"/>
        <w:spacing w:after="0" w:line="253" w:lineRule="auto"/>
        <w:tabs>
          <w:tab w:leader="none" w:pos="7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5"/>
          <w:szCs w:val="15"/>
          <w:color w:val="auto"/>
        </w:rPr>
        <w:t>During the second quarter of 2024, SLB issued $500 million of 5.00% Senior Notes due 2027, $500 million of 5.00% Senior Notes due 2029, and $500 million of 5.00% Senior Notes due 2034.</w:t>
      </w:r>
    </w:p>
    <w:p>
      <w:pPr>
        <w:spacing w:after="0" w:line="81" w:lineRule="exact"/>
        <w:rPr>
          <w:rFonts w:ascii="Times New Roman" w:cs="Times New Roman" w:eastAsia="Times New Roman" w:hAnsi="Times New Roman"/>
          <w:sz w:val="17"/>
          <w:szCs w:val="17"/>
          <w:color w:val="auto"/>
        </w:rPr>
      </w:pPr>
    </w:p>
    <w:p>
      <w:pPr>
        <w:jc w:val="both"/>
        <w:ind w:left="760" w:hanging="384"/>
        <w:spacing w:after="0" w:line="248" w:lineRule="auto"/>
        <w:tabs>
          <w:tab w:leader="none" w:pos="7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5"/>
          <w:szCs w:val="15"/>
          <w:color w:val="auto"/>
        </w:rPr>
        <w:t>During the second quarter of 2024, SLB and Aker Carbon Capture ASA (“ACC”) announced the closing of their previously announced joint venture. The new company, SLB Capturi, combines technology portfolios, expertise, and operation platforms to support accelerated carbon capture adoption for industrial decarbonization at scale. At closing, SLB paid NOK 4.1 billion ($0.4 billion) in cash to ACC for the purchase of 80% of the shares in Aker Carbon Capture Holdings AS (“ACCH”), which held the business of ACC.</w:t>
      </w:r>
    </w:p>
    <w:p>
      <w:pPr>
        <w:spacing w:after="0" w:line="151" w:lineRule="exact"/>
        <w:rPr>
          <w:rFonts w:ascii="Times New Roman" w:cs="Times New Roman" w:eastAsia="Times New Roman" w:hAnsi="Times New Roman"/>
          <w:sz w:val="17"/>
          <w:szCs w:val="17"/>
          <w:color w:val="auto"/>
        </w:rPr>
      </w:pPr>
    </w:p>
    <w:p>
      <w:pPr>
        <w:jc w:val="both"/>
        <w:ind w:left="760"/>
        <w:spacing w:after="0" w:line="259" w:lineRule="auto"/>
        <w:rPr>
          <w:rFonts w:ascii="Times New Roman" w:cs="Times New Roman" w:eastAsia="Times New Roman" w:hAnsi="Times New Roman"/>
          <w:sz w:val="17"/>
          <w:szCs w:val="17"/>
          <w:color w:val="auto"/>
        </w:rPr>
      </w:pPr>
      <w:r>
        <w:rPr>
          <w:rFonts w:ascii="Arial" w:cs="Arial" w:eastAsia="Arial" w:hAnsi="Arial"/>
          <w:sz w:val="15"/>
          <w:szCs w:val="15"/>
          <w:color w:val="auto"/>
        </w:rPr>
        <w:t>After a lock-up period of three years, ACC is entitled to sell its 20% interest in ACCH to SLB during a period of six months for a price based on the fair market value of the combined business subject to a floor of NOK 1.0 billion and a ceiling of NOK 2.1 billion (the “put option”). Additionally, after the expiration of the put option, SLB has the right to purchase ACC’s 20% interest in the combined business during the following six months for a price based on the fair market value of the combined business subject to a floor of NOK 1.5 billion and a ceiling of NOK 2.6 billion.</w:t>
      </w:r>
    </w:p>
    <w:p>
      <w:pPr>
        <w:spacing w:after="0" w:line="80" w:lineRule="exact"/>
        <w:rPr>
          <w:rFonts w:ascii="Times New Roman" w:cs="Times New Roman" w:eastAsia="Times New Roman" w:hAnsi="Times New Roman"/>
          <w:sz w:val="17"/>
          <w:szCs w:val="17"/>
          <w:color w:val="auto"/>
        </w:rPr>
      </w:pPr>
    </w:p>
    <w:p>
      <w:pPr>
        <w:ind w:left="760" w:hanging="384"/>
        <w:spacing w:after="0" w:line="253" w:lineRule="auto"/>
        <w:tabs>
          <w:tab w:leader="none" w:pos="7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5"/>
          <w:szCs w:val="15"/>
          <w:color w:val="auto"/>
        </w:rPr>
        <w:t>During the first quarter of 2023, SLB sold all of its remaining approximately 9 million shares of Liberty and received net proceeds of $137 million. As a result, SLB recognized a gain of $36 million.</w:t>
      </w:r>
    </w:p>
    <w:p>
      <w:pPr>
        <w:spacing w:after="0" w:line="81" w:lineRule="exact"/>
        <w:rPr>
          <w:rFonts w:ascii="Times New Roman" w:cs="Times New Roman" w:eastAsia="Times New Roman" w:hAnsi="Times New Roman"/>
          <w:sz w:val="17"/>
          <w:szCs w:val="17"/>
          <w:color w:val="auto"/>
        </w:rPr>
      </w:pPr>
    </w:p>
    <w:p>
      <w:pPr>
        <w:ind w:left="760" w:hanging="384"/>
        <w:spacing w:after="0"/>
        <w:tabs>
          <w:tab w:leader="none" w:pos="7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5"/>
          <w:szCs w:val="15"/>
          <w:color w:val="auto"/>
        </w:rPr>
        <w:t>During the second quarter of 2023, SLB issued $500 million of 4.50% Senior Notes due 2028 and $500 million of 4.85% Senior Notes due 2033.</w:t>
      </w:r>
    </w:p>
    <w:p>
      <w:pPr>
        <w:spacing w:after="0" w:line="109" w:lineRule="exact"/>
        <w:rPr>
          <w:rFonts w:ascii="Times New Roman" w:cs="Times New Roman" w:eastAsia="Times New Roman" w:hAnsi="Times New Roman"/>
          <w:sz w:val="17"/>
          <w:szCs w:val="17"/>
          <w:color w:val="auto"/>
        </w:rPr>
      </w:pPr>
    </w:p>
    <w:p>
      <w:pPr>
        <w:ind w:left="760" w:hanging="384"/>
        <w:spacing w:after="0"/>
        <w:tabs>
          <w:tab w:leader="none" w:pos="7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5"/>
          <w:szCs w:val="15"/>
          <w:color w:val="auto"/>
        </w:rPr>
        <w:t>During the fourth quarter of 2023, SLB repaid its $1.5 billion of 3.65% Senior Notes that were outstanding.</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As of December 31, 2025, SLB had $4.2 billion of cash and short-term investments and committed credit facility agreements with commercial banks aggregating $5.0 billion, all of which was available. SLB believes these amounts, along with cash generated by ongoing operations, will be sufficient to meet future business requirements for the next 12 months and beyond.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The following table reflects the carrying amounts of SLB’s debt at December 31, 2025 by year of maturity: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5"/>
          </w:tcPr>
          <w:p>
            <w:pPr>
              <w:ind w:left="400"/>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05"/>
              <w:spacing w:after="0"/>
              <w:rPr>
                <w:sz w:val="20"/>
                <w:szCs w:val="20"/>
                <w:color w:val="auto"/>
              </w:rPr>
            </w:pPr>
            <w:r>
              <w:rPr>
                <w:rFonts w:ascii="Arial" w:cs="Arial" w:eastAsia="Arial" w:hAnsi="Arial"/>
                <w:sz w:val="15"/>
                <w:szCs w:val="15"/>
                <w:color w:val="auto"/>
              </w:rPr>
              <w:t>After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2026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84"/>
              <w:spacing w:after="0"/>
              <w:rPr>
                <w:sz w:val="20"/>
                <w:szCs w:val="20"/>
                <w:color w:val="auto"/>
              </w:rPr>
            </w:pPr>
            <w:r>
              <w:rPr>
                <w:rFonts w:ascii="Arial" w:cs="Arial" w:eastAsia="Arial" w:hAnsi="Arial"/>
                <w:sz w:val="15"/>
                <w:szCs w:val="15"/>
                <w:color w:val="auto"/>
              </w:rPr>
              <w:t>2027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2028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15"/>
                <w:szCs w:val="15"/>
                <w:color w:val="auto"/>
              </w:rPr>
              <w:t>2029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2030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ind w:right="84"/>
              <w:spacing w:after="0"/>
              <w:rPr>
                <w:sz w:val="20"/>
                <w:szCs w:val="20"/>
                <w:color w:val="auto"/>
              </w:rPr>
            </w:pPr>
            <w:r>
              <w:rPr>
                <w:rFonts w:ascii="Arial" w:cs="Arial" w:eastAsia="Arial" w:hAnsi="Arial"/>
                <w:sz w:val="15"/>
                <w:szCs w:val="15"/>
                <w:color w:val="auto"/>
              </w:rPr>
              <w:t>2031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15"/>
                <w:szCs w:val="15"/>
                <w:color w:val="auto"/>
              </w:rPr>
              <w:t>2032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5"/>
                <w:szCs w:val="15"/>
                <w:color w:val="auto"/>
              </w:rPr>
              <w:t>2033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05"/>
              <w:spacing w:after="0"/>
              <w:rPr>
                <w:sz w:val="20"/>
                <w:szCs w:val="20"/>
                <w:color w:val="auto"/>
              </w:rPr>
            </w:pPr>
            <w:r>
              <w:rPr>
                <w:rFonts w:ascii="Arial" w:cs="Arial" w:eastAsia="Arial" w:hAnsi="Arial"/>
                <w:sz w:val="15"/>
                <w:szCs w:val="15"/>
                <w:color w:val="auto"/>
              </w:rPr>
              <w:t>2033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5"/>
                <w:szCs w:val="15"/>
                <w:color w:val="auto"/>
              </w:rPr>
              <w:t>Total</w:t>
            </w:r>
          </w:p>
        </w:tc>
      </w:tr>
      <w:tr>
        <w:trPr>
          <w:trHeight w:val="170"/>
        </w:trPr>
        <w:tc>
          <w:tcPr>
            <w:tcW w:w="260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b w:val="1"/>
                <w:bCs w:val="1"/>
                <w:color w:val="auto"/>
              </w:rPr>
              <w:t>Fixed rate debt</w:t>
            </w: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90"/>
        </w:trPr>
        <w:tc>
          <w:tcPr>
            <w:tcW w:w="2600" w:type="dxa"/>
            <w:vAlign w:val="bottom"/>
            <w:gridSpan w:val="2"/>
          </w:tcPr>
          <w:p>
            <w:pPr>
              <w:spacing w:after="0"/>
              <w:rPr>
                <w:sz w:val="20"/>
                <w:szCs w:val="20"/>
                <w:color w:val="auto"/>
              </w:rPr>
            </w:pPr>
            <w:r>
              <w:rPr>
                <w:rFonts w:ascii="Arial" w:cs="Arial" w:eastAsia="Arial" w:hAnsi="Arial"/>
                <w:sz w:val="15"/>
                <w:szCs w:val="15"/>
                <w:color w:val="auto"/>
              </w:rPr>
              <w:t>1.375% Guaranteed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1,177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1,177</w:t>
            </w:r>
          </w:p>
        </w:tc>
        <w:tc>
          <w:tcPr>
            <w:tcW w:w="120" w:type="dxa"/>
            <w:vAlign w:val="bottom"/>
          </w:tcPr>
          <w:p>
            <w:pPr>
              <w:spacing w:after="0"/>
              <w:rPr>
                <w:sz w:val="16"/>
                <w:szCs w:val="16"/>
                <w:color w:val="auto"/>
              </w:rPr>
            </w:pPr>
          </w:p>
        </w:tc>
      </w:tr>
      <w:tr>
        <w:trPr>
          <w:trHeight w:val="190"/>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1.00%</w:t>
            </w:r>
          </w:p>
        </w:tc>
        <w:tc>
          <w:tcPr>
            <w:tcW w:w="2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Guaranteed Notes</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707</w:t>
            </w:r>
          </w:p>
        </w:tc>
        <w:tc>
          <w:tcPr>
            <w:tcW w:w="120" w:type="dxa"/>
            <w:vAlign w:val="bottom"/>
            <w:shd w:val="clear" w:color="auto" w:fill="CFF0FC"/>
          </w:tcPr>
          <w:p>
            <w:pPr>
              <w:spacing w:after="0"/>
              <w:rPr>
                <w:sz w:val="16"/>
                <w:szCs w:val="16"/>
                <w:color w:val="auto"/>
              </w:rPr>
            </w:pPr>
          </w:p>
        </w:tc>
      </w:tr>
      <w:tr>
        <w:trPr>
          <w:trHeight w:val="190"/>
        </w:trPr>
        <w:tc>
          <w:tcPr>
            <w:tcW w:w="460" w:type="dxa"/>
            <w:vAlign w:val="bottom"/>
          </w:tcPr>
          <w:p>
            <w:pPr>
              <w:spacing w:after="0"/>
              <w:rPr>
                <w:sz w:val="20"/>
                <w:szCs w:val="20"/>
                <w:color w:val="auto"/>
              </w:rPr>
            </w:pPr>
            <w:r>
              <w:rPr>
                <w:rFonts w:ascii="Arial" w:cs="Arial" w:eastAsia="Arial" w:hAnsi="Arial"/>
                <w:sz w:val="15"/>
                <w:szCs w:val="15"/>
                <w:color w:val="auto"/>
              </w:rPr>
              <w:t>0.25%</w:t>
            </w:r>
          </w:p>
        </w:tc>
        <w:tc>
          <w:tcPr>
            <w:tcW w:w="2140" w:type="dxa"/>
            <w:vAlign w:val="bottom"/>
          </w:tcPr>
          <w:p>
            <w:pPr>
              <w:ind w:left="20"/>
              <w:spacing w:after="0"/>
              <w:rPr>
                <w:sz w:val="20"/>
                <w:szCs w:val="20"/>
                <w:color w:val="auto"/>
              </w:rPr>
            </w:pPr>
            <w:r>
              <w:rPr>
                <w:rFonts w:ascii="Arial" w:cs="Arial" w:eastAsia="Arial" w:hAnsi="Arial"/>
                <w:sz w:val="15"/>
                <w:szCs w:val="15"/>
                <w:color w:val="auto"/>
              </w:rPr>
              <w:t>Notes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1,059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1,059</w:t>
            </w:r>
          </w:p>
        </w:tc>
        <w:tc>
          <w:tcPr>
            <w:tcW w:w="120" w:type="dxa"/>
            <w:vAlign w:val="bottom"/>
          </w:tcPr>
          <w:p>
            <w:pPr>
              <w:spacing w:after="0"/>
              <w:rPr>
                <w:sz w:val="16"/>
                <w:szCs w:val="16"/>
                <w:color w:val="auto"/>
              </w:rPr>
            </w:pPr>
          </w:p>
        </w:tc>
      </w:tr>
      <w:tr>
        <w:trPr>
          <w:trHeight w:val="190"/>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5.00%</w:t>
            </w:r>
          </w:p>
        </w:tc>
        <w:tc>
          <w:tcPr>
            <w:tcW w:w="2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Senior Notes</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w:t>
            </w:r>
          </w:p>
        </w:tc>
        <w:tc>
          <w:tcPr>
            <w:tcW w:w="120" w:type="dxa"/>
            <w:vAlign w:val="bottom"/>
            <w:shd w:val="clear" w:color="auto" w:fill="CFF0FC"/>
          </w:tcPr>
          <w:p>
            <w:pPr>
              <w:spacing w:after="0"/>
              <w:rPr>
                <w:sz w:val="16"/>
                <w:szCs w:val="16"/>
                <w:color w:val="auto"/>
              </w:rPr>
            </w:pPr>
          </w:p>
        </w:tc>
      </w:tr>
      <w:tr>
        <w:trPr>
          <w:trHeight w:val="190"/>
        </w:trPr>
        <w:tc>
          <w:tcPr>
            <w:tcW w:w="460" w:type="dxa"/>
            <w:vAlign w:val="bottom"/>
          </w:tcPr>
          <w:p>
            <w:pPr>
              <w:spacing w:after="0"/>
              <w:rPr>
                <w:sz w:val="20"/>
                <w:szCs w:val="20"/>
                <w:color w:val="auto"/>
              </w:rPr>
            </w:pPr>
            <w:r>
              <w:rPr>
                <w:rFonts w:ascii="Arial" w:cs="Arial" w:eastAsia="Arial" w:hAnsi="Arial"/>
                <w:sz w:val="15"/>
                <w:szCs w:val="15"/>
                <w:color w:val="auto"/>
              </w:rPr>
              <w:t>3.90%</w:t>
            </w:r>
          </w:p>
        </w:tc>
        <w:tc>
          <w:tcPr>
            <w:tcW w:w="2140" w:type="dxa"/>
            <w:vAlign w:val="bottom"/>
          </w:tcPr>
          <w:p>
            <w:pPr>
              <w:ind w:left="20"/>
              <w:spacing w:after="0"/>
              <w:rPr>
                <w:sz w:val="20"/>
                <w:szCs w:val="20"/>
                <w:color w:val="auto"/>
              </w:rPr>
            </w:pPr>
            <w:r>
              <w:rPr>
                <w:rFonts w:ascii="Arial" w:cs="Arial" w:eastAsia="Arial" w:hAnsi="Arial"/>
                <w:sz w:val="15"/>
                <w:szCs w:val="15"/>
                <w:color w:val="auto"/>
              </w:rPr>
              <w:t>Senior Notes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1,484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1,484</w:t>
            </w:r>
          </w:p>
        </w:tc>
        <w:tc>
          <w:tcPr>
            <w:tcW w:w="120" w:type="dxa"/>
            <w:vAlign w:val="bottom"/>
          </w:tcPr>
          <w:p>
            <w:pPr>
              <w:spacing w:after="0"/>
              <w:rPr>
                <w:sz w:val="16"/>
                <w:szCs w:val="16"/>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4.50%</w:t>
            </w:r>
          </w:p>
        </w:tc>
        <w:tc>
          <w:tcPr>
            <w:tcW w:w="2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Senior Notes</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w:t>
            </w:r>
          </w:p>
        </w:tc>
        <w:tc>
          <w:tcPr>
            <w:tcW w:w="120" w:type="dxa"/>
            <w:vAlign w:val="bottom"/>
            <w:shd w:val="clear" w:color="auto" w:fill="CFF0FC"/>
          </w:tcPr>
          <w:p>
            <w:pPr>
              <w:spacing w:after="0"/>
              <w:rPr>
                <w:sz w:val="15"/>
                <w:szCs w:val="15"/>
                <w:color w:val="auto"/>
              </w:rPr>
            </w:pPr>
          </w:p>
        </w:tc>
      </w:tr>
      <w:tr>
        <w:trPr>
          <w:trHeight w:val="190"/>
        </w:trPr>
        <w:tc>
          <w:tcPr>
            <w:tcW w:w="460" w:type="dxa"/>
            <w:vAlign w:val="bottom"/>
          </w:tcPr>
          <w:p>
            <w:pPr>
              <w:spacing w:after="0"/>
              <w:rPr>
                <w:sz w:val="20"/>
                <w:szCs w:val="20"/>
                <w:color w:val="auto"/>
              </w:rPr>
            </w:pPr>
            <w:r>
              <w:rPr>
                <w:rFonts w:ascii="Arial" w:cs="Arial" w:eastAsia="Arial" w:hAnsi="Arial"/>
                <w:sz w:val="15"/>
                <w:szCs w:val="15"/>
                <w:color w:val="auto"/>
              </w:rPr>
              <w:t>4.30%</w:t>
            </w:r>
          </w:p>
        </w:tc>
        <w:tc>
          <w:tcPr>
            <w:tcW w:w="2140" w:type="dxa"/>
            <w:vAlign w:val="bottom"/>
          </w:tcPr>
          <w:p>
            <w:pPr>
              <w:ind w:left="20"/>
              <w:spacing w:after="0"/>
              <w:rPr>
                <w:sz w:val="20"/>
                <w:szCs w:val="20"/>
                <w:color w:val="auto"/>
              </w:rPr>
            </w:pPr>
            <w:r>
              <w:rPr>
                <w:rFonts w:ascii="Arial" w:cs="Arial" w:eastAsia="Arial" w:hAnsi="Arial"/>
                <w:sz w:val="15"/>
                <w:szCs w:val="15"/>
                <w:color w:val="auto"/>
              </w:rPr>
              <w:t>Senior Notes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848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848</w:t>
            </w:r>
          </w:p>
        </w:tc>
        <w:tc>
          <w:tcPr>
            <w:tcW w:w="120" w:type="dxa"/>
            <w:vAlign w:val="bottom"/>
          </w:tcPr>
          <w:p>
            <w:pPr>
              <w:spacing w:after="0"/>
              <w:rPr>
                <w:sz w:val="16"/>
                <w:szCs w:val="16"/>
                <w:color w:val="auto"/>
              </w:rPr>
            </w:pPr>
          </w:p>
        </w:tc>
      </w:tr>
      <w:tr>
        <w:trPr>
          <w:trHeight w:val="190"/>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5.00%</w:t>
            </w:r>
          </w:p>
        </w:tc>
        <w:tc>
          <w:tcPr>
            <w:tcW w:w="2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Senior Notes</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494</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494</w:t>
            </w:r>
          </w:p>
        </w:tc>
        <w:tc>
          <w:tcPr>
            <w:tcW w:w="120" w:type="dxa"/>
            <w:vAlign w:val="bottom"/>
            <w:shd w:val="clear" w:color="auto" w:fill="CFF0FC"/>
          </w:tcPr>
          <w:p>
            <w:pPr>
              <w:spacing w:after="0"/>
              <w:rPr>
                <w:sz w:val="16"/>
                <w:szCs w:val="16"/>
                <w:color w:val="auto"/>
              </w:rPr>
            </w:pPr>
          </w:p>
        </w:tc>
      </w:tr>
      <w:tr>
        <w:trPr>
          <w:trHeight w:val="190"/>
        </w:trPr>
        <w:tc>
          <w:tcPr>
            <w:tcW w:w="460" w:type="dxa"/>
            <w:vAlign w:val="bottom"/>
          </w:tcPr>
          <w:p>
            <w:pPr>
              <w:spacing w:after="0"/>
              <w:rPr>
                <w:sz w:val="20"/>
                <w:szCs w:val="20"/>
                <w:color w:val="auto"/>
              </w:rPr>
            </w:pPr>
            <w:r>
              <w:rPr>
                <w:rFonts w:ascii="Arial" w:cs="Arial" w:eastAsia="Arial" w:hAnsi="Arial"/>
                <w:sz w:val="15"/>
                <w:szCs w:val="15"/>
                <w:color w:val="auto"/>
              </w:rPr>
              <w:t>2.65%</w:t>
            </w:r>
          </w:p>
        </w:tc>
        <w:tc>
          <w:tcPr>
            <w:tcW w:w="2140" w:type="dxa"/>
            <w:vAlign w:val="bottom"/>
          </w:tcPr>
          <w:p>
            <w:pPr>
              <w:ind w:left="20"/>
              <w:spacing w:after="0"/>
              <w:rPr>
                <w:sz w:val="20"/>
                <w:szCs w:val="20"/>
                <w:color w:val="auto"/>
              </w:rPr>
            </w:pPr>
            <w:r>
              <w:rPr>
                <w:rFonts w:ascii="Arial" w:cs="Arial" w:eastAsia="Arial" w:hAnsi="Arial"/>
                <w:sz w:val="15"/>
                <w:szCs w:val="15"/>
                <w:color w:val="auto"/>
              </w:rPr>
              <w:t>Senior Notes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1,247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1,247</w:t>
            </w:r>
          </w:p>
        </w:tc>
        <w:tc>
          <w:tcPr>
            <w:tcW w:w="120" w:type="dxa"/>
            <w:vAlign w:val="bottom"/>
          </w:tcPr>
          <w:p>
            <w:pPr>
              <w:spacing w:after="0"/>
              <w:rPr>
                <w:sz w:val="16"/>
                <w:szCs w:val="16"/>
                <w:color w:val="auto"/>
              </w:rPr>
            </w:pPr>
          </w:p>
        </w:tc>
      </w:tr>
      <w:tr>
        <w:trPr>
          <w:trHeight w:val="190"/>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0.50%</w:t>
            </w:r>
          </w:p>
        </w:tc>
        <w:tc>
          <w:tcPr>
            <w:tcW w:w="2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Notes</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1,058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1,058</w:t>
            </w:r>
          </w:p>
        </w:tc>
        <w:tc>
          <w:tcPr>
            <w:tcW w:w="120" w:type="dxa"/>
            <w:vAlign w:val="bottom"/>
            <w:shd w:val="clear" w:color="auto" w:fill="CFF0FC"/>
          </w:tcPr>
          <w:p>
            <w:pPr>
              <w:spacing w:after="0"/>
              <w:rPr>
                <w:sz w:val="16"/>
                <w:szCs w:val="16"/>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2.00%</w:t>
            </w:r>
          </w:p>
        </w:tc>
        <w:tc>
          <w:tcPr>
            <w:tcW w:w="2140" w:type="dxa"/>
            <w:vAlign w:val="bottom"/>
          </w:tcPr>
          <w:p>
            <w:pPr>
              <w:ind w:left="20"/>
              <w:spacing w:after="0"/>
              <w:rPr>
                <w:sz w:val="20"/>
                <w:szCs w:val="20"/>
                <w:color w:val="auto"/>
              </w:rPr>
            </w:pPr>
            <w:r>
              <w:rPr>
                <w:rFonts w:ascii="Arial" w:cs="Arial" w:eastAsia="Arial" w:hAnsi="Arial"/>
                <w:sz w:val="15"/>
                <w:szCs w:val="15"/>
                <w:color w:val="auto"/>
              </w:rPr>
              <w:t>Guaranteed Notes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1,172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1,172</w:t>
            </w:r>
          </w:p>
        </w:tc>
        <w:tc>
          <w:tcPr>
            <w:tcW w:w="120" w:type="dxa"/>
            <w:vAlign w:val="bottom"/>
          </w:tcPr>
          <w:p>
            <w:pPr>
              <w:spacing w:after="0"/>
              <w:rPr>
                <w:sz w:val="15"/>
                <w:szCs w:val="15"/>
                <w:color w:val="auto"/>
              </w:rPr>
            </w:pPr>
          </w:p>
        </w:tc>
      </w:tr>
      <w:tr>
        <w:trPr>
          <w:trHeight w:val="190"/>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4.85%</w:t>
            </w:r>
          </w:p>
        </w:tc>
        <w:tc>
          <w:tcPr>
            <w:tcW w:w="2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Senior Notes</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495</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495</w:t>
            </w:r>
          </w:p>
        </w:tc>
        <w:tc>
          <w:tcPr>
            <w:tcW w:w="120" w:type="dxa"/>
            <w:vAlign w:val="bottom"/>
            <w:shd w:val="clear" w:color="auto" w:fill="CFF0FC"/>
          </w:tcPr>
          <w:p>
            <w:pPr>
              <w:spacing w:after="0"/>
              <w:rPr>
                <w:sz w:val="16"/>
                <w:szCs w:val="16"/>
                <w:color w:val="auto"/>
              </w:rPr>
            </w:pPr>
          </w:p>
        </w:tc>
      </w:tr>
      <w:tr>
        <w:trPr>
          <w:trHeight w:val="190"/>
        </w:trPr>
        <w:tc>
          <w:tcPr>
            <w:tcW w:w="460" w:type="dxa"/>
            <w:vAlign w:val="bottom"/>
          </w:tcPr>
          <w:p>
            <w:pPr>
              <w:spacing w:after="0"/>
              <w:rPr>
                <w:sz w:val="20"/>
                <w:szCs w:val="20"/>
                <w:color w:val="auto"/>
              </w:rPr>
            </w:pPr>
            <w:r>
              <w:rPr>
                <w:rFonts w:ascii="Arial" w:cs="Arial" w:eastAsia="Arial" w:hAnsi="Arial"/>
                <w:sz w:val="15"/>
                <w:szCs w:val="15"/>
                <w:color w:val="auto"/>
              </w:rPr>
              <w:t>5.00%</w:t>
            </w:r>
          </w:p>
        </w:tc>
        <w:tc>
          <w:tcPr>
            <w:tcW w:w="2140" w:type="dxa"/>
            <w:vAlign w:val="bottom"/>
          </w:tcPr>
          <w:p>
            <w:pPr>
              <w:ind w:left="20"/>
              <w:spacing w:after="0"/>
              <w:rPr>
                <w:sz w:val="20"/>
                <w:szCs w:val="20"/>
                <w:color w:val="auto"/>
              </w:rPr>
            </w:pPr>
            <w:r>
              <w:rPr>
                <w:rFonts w:ascii="Arial" w:cs="Arial" w:eastAsia="Arial" w:hAnsi="Arial"/>
                <w:sz w:val="15"/>
                <w:szCs w:val="15"/>
                <w:color w:val="auto"/>
              </w:rPr>
              <w:t>Senior Notes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487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487</w:t>
            </w:r>
          </w:p>
        </w:tc>
        <w:tc>
          <w:tcPr>
            <w:tcW w:w="120" w:type="dxa"/>
            <w:vAlign w:val="bottom"/>
          </w:tcPr>
          <w:p>
            <w:pPr>
              <w:spacing w:after="0"/>
              <w:rPr>
                <w:sz w:val="16"/>
                <w:szCs w:val="16"/>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7.00%</w:t>
            </w:r>
          </w:p>
        </w:tc>
        <w:tc>
          <w:tcPr>
            <w:tcW w:w="2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Notes</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w:t>
            </w:r>
          </w:p>
        </w:tc>
        <w:tc>
          <w:tcPr>
            <w:tcW w:w="120" w:type="dxa"/>
            <w:vAlign w:val="bottom"/>
            <w:shd w:val="clear" w:color="auto" w:fill="CFF0FC"/>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5.95%</w:t>
            </w:r>
          </w:p>
        </w:tc>
        <w:tc>
          <w:tcPr>
            <w:tcW w:w="2140" w:type="dxa"/>
            <w:vAlign w:val="bottom"/>
          </w:tcPr>
          <w:p>
            <w:pPr>
              <w:ind w:left="20"/>
              <w:spacing w:after="0"/>
              <w:rPr>
                <w:sz w:val="20"/>
                <w:szCs w:val="20"/>
                <w:color w:val="auto"/>
              </w:rPr>
            </w:pPr>
            <w:r>
              <w:rPr>
                <w:rFonts w:ascii="Arial" w:cs="Arial" w:eastAsia="Arial" w:hAnsi="Arial"/>
                <w:sz w:val="15"/>
                <w:szCs w:val="15"/>
                <w:color w:val="auto"/>
              </w:rPr>
              <w:t>Notes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5"/>
                <w:szCs w:val="15"/>
                <w:color w:val="auto"/>
              </w:rPr>
            </w:pPr>
          </w:p>
        </w:tc>
      </w:tr>
      <w:tr>
        <w:trPr>
          <w:trHeight w:val="178"/>
        </w:trPr>
        <w:tc>
          <w:tcPr>
            <w:tcW w:w="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5.13%</w:t>
            </w:r>
          </w:p>
        </w:tc>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Notes</w:t>
            </w: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70"/>
        </w:trPr>
        <w:tc>
          <w:tcPr>
            <w:tcW w:w="2600" w:type="dxa"/>
            <w:vAlign w:val="bottom"/>
            <w:gridSpan w:val="2"/>
          </w:tcPr>
          <w:p>
            <w:pPr>
              <w:spacing w:after="0" w:line="171" w:lineRule="exact"/>
              <w:rPr>
                <w:sz w:val="20"/>
                <w:szCs w:val="20"/>
                <w:color w:val="auto"/>
              </w:rPr>
            </w:pPr>
            <w:r>
              <w:rPr>
                <w:rFonts w:ascii="Arial" w:cs="Arial" w:eastAsia="Arial" w:hAnsi="Arial"/>
                <w:sz w:val="15"/>
                <w:szCs w:val="15"/>
                <w:color w:val="auto"/>
              </w:rPr>
              <w:t>Total fixed rate debt</w:t>
            </w:r>
          </w:p>
        </w:tc>
        <w:tc>
          <w:tcPr>
            <w:tcW w:w="12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71" w:lineRule="exact"/>
              <w:rPr>
                <w:sz w:val="20"/>
                <w:szCs w:val="20"/>
                <w:color w:val="auto"/>
              </w:rPr>
            </w:pPr>
            <w:r>
              <w:rPr>
                <w:rFonts w:ascii="Arial" w:cs="Arial" w:eastAsia="Arial" w:hAnsi="Arial"/>
                <w:sz w:val="15"/>
                <w:szCs w:val="15"/>
                <w:color w:val="auto"/>
              </w:rPr>
              <w:t>1,884</w:t>
            </w:r>
          </w:p>
        </w:tc>
        <w:tc>
          <w:tcPr>
            <w:tcW w:w="3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71" w:lineRule="exact"/>
              <w:rPr>
                <w:sz w:val="20"/>
                <w:szCs w:val="20"/>
                <w:color w:val="auto"/>
              </w:rPr>
            </w:pPr>
            <w:r>
              <w:rPr>
                <w:rFonts w:ascii="Arial" w:cs="Arial" w:eastAsia="Arial" w:hAnsi="Arial"/>
                <w:sz w:val="15"/>
                <w:szCs w:val="15"/>
                <w:color w:val="auto"/>
              </w:rPr>
              <w:t>1,556</w:t>
            </w:r>
          </w:p>
        </w:tc>
        <w:tc>
          <w:tcPr>
            <w:tcW w:w="3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71" w:lineRule="exact"/>
              <w:rPr>
                <w:sz w:val="20"/>
                <w:szCs w:val="20"/>
                <w:color w:val="auto"/>
              </w:rPr>
            </w:pPr>
            <w:r>
              <w:rPr>
                <w:rFonts w:ascii="Arial" w:cs="Arial" w:eastAsia="Arial" w:hAnsi="Arial"/>
                <w:sz w:val="15"/>
                <w:szCs w:val="15"/>
                <w:color w:val="auto"/>
              </w:rPr>
              <w:t>1,981</w:t>
            </w:r>
          </w:p>
        </w:tc>
        <w:tc>
          <w:tcPr>
            <w:tcW w:w="3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71" w:lineRule="exact"/>
              <w:rPr>
                <w:sz w:val="20"/>
                <w:szCs w:val="20"/>
                <w:color w:val="auto"/>
              </w:rPr>
            </w:pPr>
            <w:r>
              <w:rPr>
                <w:rFonts w:ascii="Arial" w:cs="Arial" w:eastAsia="Arial" w:hAnsi="Arial"/>
                <w:sz w:val="15"/>
                <w:szCs w:val="15"/>
                <w:color w:val="auto"/>
              </w:rPr>
              <w:t>1,342</w:t>
            </w:r>
          </w:p>
        </w:tc>
        <w:tc>
          <w:tcPr>
            <w:tcW w:w="3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71" w:lineRule="exact"/>
              <w:rPr>
                <w:sz w:val="20"/>
                <w:szCs w:val="20"/>
                <w:color w:val="auto"/>
              </w:rPr>
            </w:pPr>
            <w:r>
              <w:rPr>
                <w:rFonts w:ascii="Arial" w:cs="Arial" w:eastAsia="Arial" w:hAnsi="Arial"/>
                <w:sz w:val="15"/>
                <w:szCs w:val="15"/>
                <w:color w:val="auto"/>
              </w:rPr>
              <w:t>1,247</w:t>
            </w:r>
          </w:p>
        </w:tc>
        <w:tc>
          <w:tcPr>
            <w:tcW w:w="3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1,058</w:t>
            </w:r>
          </w:p>
        </w:tc>
        <w:tc>
          <w:tcPr>
            <w:tcW w:w="3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71" w:lineRule="exact"/>
              <w:rPr>
                <w:sz w:val="20"/>
                <w:szCs w:val="20"/>
                <w:color w:val="auto"/>
              </w:rPr>
            </w:pPr>
            <w:r>
              <w:rPr>
                <w:rFonts w:ascii="Arial" w:cs="Arial" w:eastAsia="Arial" w:hAnsi="Arial"/>
                <w:sz w:val="15"/>
                <w:szCs w:val="15"/>
                <w:color w:val="auto"/>
              </w:rPr>
              <w:t>1,172</w:t>
            </w:r>
          </w:p>
        </w:tc>
        <w:tc>
          <w:tcPr>
            <w:tcW w:w="32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560" w:type="dxa"/>
            <w:vAlign w:val="bottom"/>
            <w:gridSpan w:val="3"/>
          </w:tcPr>
          <w:p>
            <w:pPr>
              <w:jc w:val="right"/>
              <w:ind w:right="20"/>
              <w:spacing w:after="0" w:line="171" w:lineRule="exact"/>
              <w:rPr>
                <w:sz w:val="20"/>
                <w:szCs w:val="20"/>
                <w:color w:val="auto"/>
              </w:rPr>
            </w:pPr>
            <w:r>
              <w:rPr>
                <w:rFonts w:ascii="Arial" w:cs="Arial" w:eastAsia="Arial" w:hAnsi="Arial"/>
                <w:sz w:val="15"/>
                <w:szCs w:val="15"/>
                <w:color w:val="auto"/>
              </w:rPr>
              <w:t>495</w:t>
            </w:r>
          </w:p>
        </w:tc>
        <w:tc>
          <w:tcPr>
            <w:tcW w:w="3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71" w:lineRule="exact"/>
              <w:rPr>
                <w:sz w:val="20"/>
                <w:szCs w:val="20"/>
                <w:color w:val="auto"/>
              </w:rPr>
            </w:pPr>
            <w:r>
              <w:rPr>
                <w:rFonts w:ascii="Arial" w:cs="Arial" w:eastAsia="Arial" w:hAnsi="Arial"/>
                <w:sz w:val="15"/>
                <w:szCs w:val="15"/>
                <w:color w:val="auto"/>
              </w:rPr>
              <w:t>891</w:t>
            </w:r>
          </w:p>
        </w:tc>
        <w:tc>
          <w:tcPr>
            <w:tcW w:w="3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71" w:lineRule="exact"/>
              <w:rPr>
                <w:sz w:val="20"/>
                <w:szCs w:val="20"/>
                <w:color w:val="auto"/>
              </w:rPr>
            </w:pPr>
            <w:r>
              <w:rPr>
                <w:rFonts w:ascii="Arial" w:cs="Arial" w:eastAsia="Arial" w:hAnsi="Arial"/>
                <w:sz w:val="15"/>
                <w:szCs w:val="15"/>
                <w:color w:val="auto"/>
              </w:rPr>
              <w:t>11,626</w:t>
            </w:r>
          </w:p>
        </w:tc>
        <w:tc>
          <w:tcPr>
            <w:tcW w:w="120" w:type="dxa"/>
            <w:vAlign w:val="bottom"/>
          </w:tcPr>
          <w:p>
            <w:pPr>
              <w:spacing w:after="0"/>
              <w:rPr>
                <w:sz w:val="14"/>
                <w:szCs w:val="14"/>
                <w:color w:val="auto"/>
              </w:rPr>
            </w:pPr>
          </w:p>
        </w:tc>
      </w:tr>
      <w:tr>
        <w:trPr>
          <w:trHeight w:val="178"/>
        </w:trPr>
        <w:tc>
          <w:tcPr>
            <w:tcW w:w="2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5"/>
                <w:szCs w:val="15"/>
                <w:b w:val="1"/>
                <w:bCs w:val="1"/>
                <w:color w:val="auto"/>
              </w:rPr>
              <w:t>Variable rate debt</w:t>
            </w: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70"/>
        </w:trPr>
        <w:tc>
          <w:tcPr>
            <w:tcW w:w="460" w:type="dxa"/>
            <w:vAlign w:val="bottom"/>
          </w:tcPr>
          <w:p>
            <w:pPr>
              <w:spacing w:after="0" w:line="158" w:lineRule="exact"/>
              <w:rPr>
                <w:sz w:val="20"/>
                <w:szCs w:val="20"/>
                <w:color w:val="auto"/>
              </w:rPr>
            </w:pPr>
            <w:r>
              <w:rPr>
                <w:rFonts w:ascii="Arial" w:cs="Arial" w:eastAsia="Arial" w:hAnsi="Arial"/>
                <w:sz w:val="15"/>
                <w:szCs w:val="15"/>
                <w:b w:val="1"/>
                <w:bCs w:val="1"/>
                <w:color w:val="auto"/>
              </w:rPr>
              <w:t>Total</w:t>
            </w:r>
          </w:p>
        </w:tc>
        <w:tc>
          <w:tcPr>
            <w:tcW w:w="2140" w:type="dxa"/>
            <w:vAlign w:val="bottom"/>
          </w:tcPr>
          <w:p>
            <w:pPr>
              <w:spacing w:after="0"/>
              <w:rPr>
                <w:sz w:val="14"/>
                <w:szCs w:val="14"/>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58" w:lineRule="exact"/>
              <w:rPr>
                <w:sz w:val="20"/>
                <w:szCs w:val="20"/>
                <w:color w:val="auto"/>
              </w:rPr>
            </w:pPr>
            <w:r>
              <w:rPr>
                <w:rFonts w:ascii="Arial" w:cs="Arial" w:eastAsia="Arial" w:hAnsi="Arial"/>
                <w:sz w:val="15"/>
                <w:szCs w:val="15"/>
                <w:color w:val="auto"/>
              </w:rPr>
              <w:t>1,894</w:t>
            </w:r>
          </w:p>
        </w:tc>
        <w:tc>
          <w:tcPr>
            <w:tcW w:w="32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5"/>
                <w:szCs w:val="15"/>
                <w:color w:val="auto"/>
              </w:rPr>
              <w:t>1,556</w:t>
            </w:r>
          </w:p>
        </w:tc>
        <w:tc>
          <w:tcPr>
            <w:tcW w:w="32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5"/>
                <w:szCs w:val="15"/>
                <w:color w:val="auto"/>
              </w:rPr>
              <w:t>1,981</w:t>
            </w:r>
          </w:p>
        </w:tc>
        <w:tc>
          <w:tcPr>
            <w:tcW w:w="32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5"/>
                <w:szCs w:val="15"/>
                <w:color w:val="auto"/>
              </w:rPr>
              <w:t>1,342</w:t>
            </w:r>
          </w:p>
        </w:tc>
        <w:tc>
          <w:tcPr>
            <w:tcW w:w="32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5"/>
                <w:szCs w:val="15"/>
                <w:color w:val="auto"/>
              </w:rPr>
              <w:t>1,247</w:t>
            </w:r>
          </w:p>
        </w:tc>
        <w:tc>
          <w:tcPr>
            <w:tcW w:w="32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1,058</w:t>
            </w:r>
          </w:p>
        </w:tc>
        <w:tc>
          <w:tcPr>
            <w:tcW w:w="3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5"/>
                <w:szCs w:val="15"/>
                <w:color w:val="auto"/>
              </w:rPr>
              <w:t>1,172</w:t>
            </w:r>
          </w:p>
        </w:tc>
        <w:tc>
          <w:tcPr>
            <w:tcW w:w="32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w:t>
            </w:r>
          </w:p>
        </w:tc>
        <w:tc>
          <w:tcPr>
            <w:tcW w:w="560" w:type="dxa"/>
            <w:vAlign w:val="bottom"/>
            <w:gridSpan w:val="3"/>
          </w:tcPr>
          <w:p>
            <w:pPr>
              <w:jc w:val="right"/>
              <w:ind w:right="20"/>
              <w:spacing w:after="0" w:line="158" w:lineRule="exact"/>
              <w:rPr>
                <w:sz w:val="20"/>
                <w:szCs w:val="20"/>
                <w:color w:val="auto"/>
              </w:rPr>
            </w:pPr>
            <w:r>
              <w:rPr>
                <w:rFonts w:ascii="Arial" w:cs="Arial" w:eastAsia="Arial" w:hAnsi="Arial"/>
                <w:sz w:val="15"/>
                <w:szCs w:val="15"/>
                <w:color w:val="auto"/>
              </w:rPr>
              <w:t>495</w:t>
            </w:r>
          </w:p>
        </w:tc>
        <w:tc>
          <w:tcPr>
            <w:tcW w:w="32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58" w:lineRule="exact"/>
              <w:rPr>
                <w:sz w:val="20"/>
                <w:szCs w:val="20"/>
                <w:color w:val="auto"/>
              </w:rPr>
            </w:pPr>
            <w:r>
              <w:rPr>
                <w:rFonts w:ascii="Arial" w:cs="Arial" w:eastAsia="Arial" w:hAnsi="Arial"/>
                <w:sz w:val="15"/>
                <w:szCs w:val="15"/>
                <w:color w:val="auto"/>
              </w:rPr>
              <w:t>891</w:t>
            </w:r>
          </w:p>
        </w:tc>
        <w:tc>
          <w:tcPr>
            <w:tcW w:w="36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5"/>
                <w:szCs w:val="15"/>
                <w:color w:val="auto"/>
              </w:rPr>
              <w:t>11,636</w:t>
            </w:r>
          </w:p>
        </w:tc>
        <w:tc>
          <w:tcPr>
            <w:tcW w:w="120" w:type="dxa"/>
            <w:vAlign w:val="bottom"/>
          </w:tcPr>
          <w:p>
            <w:pPr>
              <w:spacing w:after="0"/>
              <w:rPr>
                <w:sz w:val="14"/>
                <w:szCs w:val="14"/>
                <w:color w:val="auto"/>
              </w:rPr>
            </w:pPr>
          </w:p>
        </w:tc>
      </w:tr>
      <w:tr>
        <w:trPr>
          <w:trHeight w:val="20"/>
        </w:trPr>
        <w:tc>
          <w:tcPr>
            <w:tcW w:w="26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9"/>
        </w:trPr>
        <w:tc>
          <w:tcPr>
            <w:tcW w:w="4960" w:type="dxa"/>
            <w:vAlign w:val="bottom"/>
            <w:gridSpan w:val="10"/>
          </w:tcPr>
          <w:p>
            <w:pPr>
              <w:spacing w:after="0"/>
              <w:rPr>
                <w:sz w:val="20"/>
                <w:szCs w:val="20"/>
                <w:color w:val="auto"/>
              </w:rPr>
            </w:pPr>
            <w:r>
              <w:rPr>
                <w:rFonts w:ascii="Arial" w:cs="Arial" w:eastAsia="Arial" w:hAnsi="Arial"/>
                <w:sz w:val="15"/>
                <w:szCs w:val="15"/>
                <w:color w:val="auto"/>
              </w:rPr>
              <w:t>Interest payments on fixed rate debt obligations by year are as follows: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7"/>
        </w:trPr>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7"/>
          </w:tcPr>
          <w:p>
            <w:pPr>
              <w:jc w:val="right"/>
              <w:ind w:right="380"/>
              <w:spacing w:after="0"/>
              <w:rPr>
                <w:sz w:val="20"/>
                <w:szCs w:val="20"/>
                <w:color w:val="auto"/>
              </w:rPr>
            </w:pPr>
            <w:r>
              <w:rPr>
                <w:rFonts w:ascii="Arial" w:cs="Arial" w:eastAsia="Arial" w:hAnsi="Arial"/>
                <w:sz w:val="14"/>
                <w:szCs w:val="14"/>
                <w:i w:val="1"/>
                <w:iCs w:val="1"/>
                <w:color w:val="auto"/>
                <w:w w:val="98"/>
              </w:rPr>
              <w:t>(Stated in millions)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4"/>
        </w:trPr>
        <w:tc>
          <w:tcPr>
            <w:tcW w:w="4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2026</w:t>
            </w:r>
          </w:p>
        </w:tc>
        <w:tc>
          <w:tcPr>
            <w:tcW w:w="2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387</w:t>
            </w:r>
          </w:p>
        </w:tc>
        <w:tc>
          <w:tcPr>
            <w:tcW w:w="80" w:type="dxa"/>
            <w:vAlign w:val="bottom"/>
            <w:shd w:val="clear" w:color="auto" w:fill="CFF0FC"/>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2027</w:t>
            </w: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5"/>
                <w:szCs w:val="15"/>
                <w:color w:val="auto"/>
              </w:rPr>
              <w:t>341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2028</w:t>
            </w:r>
          </w:p>
        </w:tc>
        <w:tc>
          <w:tcPr>
            <w:tcW w:w="2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262</w:t>
            </w:r>
          </w:p>
        </w:tc>
        <w:tc>
          <w:tcPr>
            <w:tcW w:w="80" w:type="dxa"/>
            <w:vAlign w:val="bottom"/>
            <w:shd w:val="clear" w:color="auto" w:fill="CFF0FC"/>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2029</w:t>
            </w: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5"/>
                <w:szCs w:val="15"/>
                <w:color w:val="auto"/>
              </w:rPr>
              <w:t>204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2030</w:t>
            </w:r>
          </w:p>
        </w:tc>
        <w:tc>
          <w:tcPr>
            <w:tcW w:w="2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FF0FC"/>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260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46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gridSpan w:val="3"/>
            <w:shd w:val="clear" w:color="auto" w:fill="CFF0FC"/>
          </w:tcPr>
          <w:p>
            <w:pPr>
              <w:jc w:val="right"/>
              <w:spacing w:after="0" w:line="171" w:lineRule="exact"/>
              <w:rPr>
                <w:sz w:val="20"/>
                <w:szCs w:val="20"/>
                <w:color w:val="auto"/>
              </w:rPr>
            </w:pPr>
            <w:r>
              <w:rPr>
                <w:rFonts w:ascii="Arial" w:cs="Arial" w:eastAsia="Arial" w:hAnsi="Arial"/>
                <w:sz w:val="15"/>
                <w:szCs w:val="15"/>
                <w:color w:val="auto"/>
              </w:rPr>
              <w:t>1,777</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-1772285</wp:posOffset>
            </wp:positionV>
            <wp:extent cx="647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-1772285</wp:posOffset>
            </wp:positionV>
            <wp:extent cx="647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-1772285</wp:posOffset>
            </wp:positionV>
            <wp:extent cx="647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-1772285</wp:posOffset>
            </wp:positionV>
            <wp:extent cx="647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-1772285</wp:posOffset>
            </wp:positionV>
            <wp:extent cx="647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-1772285</wp:posOffset>
            </wp:positionV>
            <wp:extent cx="647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-1772285</wp:posOffset>
            </wp:positionV>
            <wp:extent cx="647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-1772285</wp:posOffset>
            </wp:positionV>
            <wp:extent cx="647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6456680</wp:posOffset>
            </wp:positionH>
            <wp:positionV relativeFrom="paragraph">
              <wp:posOffset>-1772285</wp:posOffset>
            </wp:positionV>
            <wp:extent cx="647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-1772285</wp:posOffset>
            </wp:positionV>
            <wp:extent cx="806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-1538605</wp:posOffset>
            </wp:positionV>
            <wp:extent cx="647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-1538605</wp:posOffset>
            </wp:positionV>
            <wp:extent cx="647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-1538605</wp:posOffset>
            </wp:positionV>
            <wp:extent cx="647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-1538605</wp:posOffset>
            </wp:positionV>
            <wp:extent cx="647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-1538605</wp:posOffset>
            </wp:positionV>
            <wp:extent cx="647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-1538605</wp:posOffset>
            </wp:positionV>
            <wp:extent cx="647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-1538605</wp:posOffset>
            </wp:positionV>
            <wp:extent cx="647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-1538605</wp:posOffset>
            </wp:positionV>
            <wp:extent cx="647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6456680</wp:posOffset>
            </wp:positionH>
            <wp:positionV relativeFrom="paragraph">
              <wp:posOffset>-1538605</wp:posOffset>
            </wp:positionV>
            <wp:extent cx="647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-1538605</wp:posOffset>
            </wp:positionV>
            <wp:extent cx="806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-23495</wp:posOffset>
            </wp:positionV>
            <wp:extent cx="56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-7620</wp:posOffset>
            </wp:positionV>
            <wp:extent cx="565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1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See Note 14, </w:t>
      </w:r>
      <w:r>
        <w:rPr>
          <w:rFonts w:ascii="Arial" w:cs="Arial" w:eastAsia="Arial" w:hAnsi="Arial"/>
          <w:sz w:val="15"/>
          <w:szCs w:val="15"/>
          <w:i w:val="1"/>
          <w:iCs w:val="1"/>
          <w:color w:val="auto"/>
        </w:rPr>
        <w:t>Leases</w:t>
      </w:r>
      <w:r>
        <w:rPr>
          <w:rFonts w:ascii="Arial" w:cs="Arial" w:eastAsia="Arial" w:hAnsi="Arial"/>
          <w:sz w:val="15"/>
          <w:szCs w:val="15"/>
          <w:color w:val="auto"/>
        </w:rPr>
        <w:t xml:space="preserve"> of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xml:space="preserve"> for details regarding SLB’s lease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SLB has outstanding letters of credit/guarantees that relate to business performance bonds, customs/excise tax commitments, facility lease/rental obligations, etc.</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These were entered into in the ordinary course of business and are customary practices in the various countries where SLB operates.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Critical Accounting Estimates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preparation of financial statements and related disclosures in conformity with accounting principles generally accepted in the United States requires SLB to make estimates and assumptions that affect the reported amounts of assets and liabilities, the disclosure of contingent liabilities and the reported amounts of revenue and expenses. The following accounting policies involve “critical accounting estimates” because they are particularly dependent on estimates and assumptions made by SLB about matters that are inherently uncertain.</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Allowance for Doubtful Accounts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4" w:name="page25"/>
    <w:bookmarkEnd w:id="24"/>
    <w:p>
      <w:pPr>
        <w:jc w:val="both"/>
        <w:spacing w:after="0" w:line="285" w:lineRule="auto"/>
        <w:rPr>
          <w:sz w:val="20"/>
          <w:szCs w:val="20"/>
          <w:color w:val="auto"/>
        </w:rPr>
      </w:pPr>
      <w:r>
        <w:rPr>
          <w:rFonts w:ascii="Arial" w:cs="Arial" w:eastAsia="Arial" w:hAnsi="Arial"/>
          <w:sz w:val="15"/>
          <w:szCs w:val="15"/>
          <w:color w:val="auto"/>
        </w:rPr>
        <w:t>may be required in future periods depending on how such potential issues are resolved, or if the financial condition of SLB’s customers were to deteriorate resulting in an impairment of their ability to make payments.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a large multinational company with a long history of operating in a cyclical industry, SLB has extensive experience in working with its customers during difficult times to manage its accounts receivable. During weak economic environments or when there is an extended period of weakness in oil and gas prices, SLB typically experiences delays in the payment of its receivables. However, SLB has not historically had material write-offs due to uncollectible accounts receivables in its recent past. SLB has a global footprint in more than 100 countries. As of December 31, 2025, three of those countries individually accounted for greater than 5% of SLB’s net accounts receivable balance, of which only one (the United States) accounted for greater than 10% of such receivables.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As of December 31, 2025, the United States represented 13% of SLB’s net accounts receivable balance. As of December 31, 2025, Mexico represented approximately 6% of SLB's net accounts receivable balance. SLB’s receivables from its primary customer in Mexico are not in dispute and SLB has not historically had any material write-offs due to uncollectible accounts receivable relating to this customer.</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Goodwill, Intangible Assets and Long-Lived Assets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records the excess of purchase price over the fair value of the tangible and identifiable intangible assets acquired and liabilities assumed as goodwill. The goodwill relating to each of SLB’s reporting units is tested for impairment annually as well as when an event, or change in circumstances, indicates an impairment may have occurred.</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Under generally accepted accounting principles, SLB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SLB determines it is more likely than not that the fair value of a reporting unit is greater than its carrying amount, there is no need to perform any further testing. However, if SLB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SLB has the option to bypass the qualitative assessment for any reporting unit in any period and proceed directly to perform the quantitative goodwill impairment test.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elected to perform the qualitative assessment described above for purposes of its annual goodwill impairment test for each of its Digital, Reservoir Performance, Well Construction and Production Systems reporting units in 2025. Based on this assessment, SLB concluded it was more likely than not that the fair value of each of its reporting units was significantly greater than its carrying amount. Accordingly, no further testing was required.</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performed a quantitative goodwill impairment test for SLB Capturi, its remaining reporting unit, using the income approach to estimate its fair value. Based on the results of this test, SLB recorded a $210 million goodwill impairment charge during 2025 relating to this reporting unit.</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income approach estimates the fair value by discounting the reporting unit’s estimated future cash flows using SLB’s estimate of the discount rate, or expected return, that a marketplace participant would have required as of the valuation date. The more significant assumptions inherent in the income approach include the estimated future net annual cash flows for the reporting unit and the discount rate. SLB selected the assumptions used in the discounted cash flow projections using current and anticipated market conditions and estimated growth rates. SLB’s estimates are based upon assumptions believed to be reasonable.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discount rate utilized to value the reporting unit was 14.75%. Assuming all other assumptions and inputs used in the discounted cash flow analysis were held constant, a 50-basis point increase in the discount rate assumption would have increased the goodwill impairment charge by approximately $32 million. Conversely, assuming all other assumptions and inputs used in the respective discounted cash flow analysis were held constant, a 50-basis point decrease in the discount rate assumption would have decreased the goodwill impairment charge by approximately $36 million.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Long-lived assets, including fixed assets, intangible assets, and investments in APS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SLB could be required to recognize impairment charges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Taxes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SLB conducts business in more than 100 tax jurisdictions, a number of which have tax laws that are not fully defined and are evolving. SLB’s tax filings are subject to regular audits by the tax authorities. These audits may result in assessments for additional taxes that are resolved with the authorities or, potentially, through the courts. SLB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judgmental and are made based upon prior experience and are updated in light of changes in facts and circumstances. However, due to the uncertain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5" w:name="page26"/>
    <w:bookmarkEnd w:id="25"/>
    <w:p>
      <w:pPr>
        <w:jc w:val="both"/>
        <w:spacing w:after="0" w:line="285" w:lineRule="auto"/>
        <w:rPr>
          <w:sz w:val="20"/>
          <w:szCs w:val="20"/>
          <w:color w:val="auto"/>
        </w:rPr>
      </w:pPr>
      <w:r>
        <w:rPr>
          <w:rFonts w:ascii="Arial" w:cs="Arial" w:eastAsia="Arial" w:hAnsi="Arial"/>
          <w:sz w:val="15"/>
          <w:szCs w:val="15"/>
          <w:color w:val="auto"/>
        </w:rPr>
        <w:t>and complex application of tax regulations, the ultimate resolution of audits may result in liabilities that could be materially different from these estimates. In such an event, SLB will record additional tax expense or tax benefit in the period in which such resolution occurs.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 for Certain Long-term Construction-type Contracts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SLB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11% of SLB’s revenue in 2025, 9% in 2024, and 6% in 2023, was recognized under this method.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Pension and Postretirement Benefits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SLB’s pension and postretirement benefit obligations are described in detail in Note 17 to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The obligations and related costs are calculated using actuarial concepts, which include critical assumptions related to the discount rate and the expected rate of return on plan assets. These assumptions are important elements of expense and/or liability measurement and are updated on an annual basis, or upon the occurrence of significant events.</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discount rate that SLB uses reflects the prevailing market rate of a portfolio of high-quality debt instruments with maturities matching the expected timing of payment of the related benefit obligations. The following summarizes the discount rates utilized by SLB for its various pension and postretirement benefit plans:</w:t>
      </w:r>
    </w:p>
    <w:p>
      <w:pPr>
        <w:spacing w:after="0" w:line="60" w:lineRule="exact"/>
        <w:rPr>
          <w:sz w:val="20"/>
          <w:szCs w:val="20"/>
          <w:color w:val="auto"/>
        </w:rPr>
      </w:pPr>
    </w:p>
    <w:p>
      <w:pPr>
        <w:ind w:left="760" w:hanging="384"/>
        <w:spacing w:after="0" w:line="246" w:lineRule="auto"/>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5"/>
          <w:szCs w:val="15"/>
          <w:color w:val="auto"/>
        </w:rPr>
        <w:t>The discount rate utilized to determine the liability for SLB’s United States pension plans and postretirement medical plan was 5.55% at December 31, 2025 and 5.70% at December 31, 2024.</w:t>
      </w:r>
    </w:p>
    <w:p>
      <w:pPr>
        <w:ind w:left="760" w:hanging="384"/>
        <w:spacing w:after="0"/>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5"/>
          <w:szCs w:val="15"/>
          <w:color w:val="auto"/>
        </w:rPr>
        <w:t>The weighted-average discount rate utilized to determine the liability for SLB’s international pension plans was 5.56% at December 31, 2025 and 5.67% at December 31, 2024.</w:t>
      </w:r>
    </w:p>
    <w:p>
      <w:pPr>
        <w:ind w:left="760" w:hanging="384"/>
        <w:spacing w:after="0"/>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5"/>
          <w:szCs w:val="15"/>
          <w:color w:val="auto"/>
        </w:rPr>
        <w:t>The discount rate utilized to determine expense for SLB’s United States pension plans and postretirement medical plan was 5.70% in 2025 and 5.25% in 2024.</w:t>
      </w:r>
    </w:p>
    <w:p>
      <w:pPr>
        <w:ind w:left="760" w:hanging="384"/>
        <w:spacing w:after="0" w:line="233" w:lineRule="auto"/>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5"/>
          <w:szCs w:val="15"/>
          <w:color w:val="auto"/>
        </w:rPr>
        <w:t>The weighted-average discount rate utilized to determine expense for SLB’s international pension plans was 5.67% in 2025 and 5.14% in 2024.</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expected rate of return for SLB’s retirement benefit plans represents the long-term average rate of return expected to be earned on plan assets based on expectations regarding future rates of return for the portfolio considering the asset allocation and related historical rate of return. The average expected rate of return on plan assets for the United States pension plans was 6.30% in 2025 and 6.00% in 2024. The weighted average expected rate of return on plan assets for the international pension plans was 6.57% in 2025 and 5.91% in 2024. A higher expected rate of return decreases pension expense.</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following illustrates the sensitivity to changes in certain assumptions, holding all other assumptions constant, for SLB’s United States and international pension plans: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1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rPr>
              <w:t>Effect on</w:t>
            </w:r>
          </w:p>
        </w:tc>
      </w:tr>
      <w:tr>
        <w:trPr>
          <w:trHeight w:val="178"/>
        </w:trPr>
        <w:tc>
          <w:tcPr>
            <w:tcW w:w="1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00" w:type="dxa"/>
            <w:vAlign w:val="bottom"/>
          </w:tcPr>
          <w:p>
            <w:pPr>
              <w:jc w:val="right"/>
              <w:ind w:right="284"/>
              <w:spacing w:after="0"/>
              <w:rPr>
                <w:sz w:val="20"/>
                <w:szCs w:val="20"/>
                <w:color w:val="auto"/>
              </w:rPr>
            </w:pPr>
            <w:r>
              <w:rPr>
                <w:rFonts w:ascii="Arial" w:cs="Arial" w:eastAsia="Arial" w:hAnsi="Arial"/>
                <w:sz w:val="15"/>
                <w:szCs w:val="15"/>
                <w:color w:val="auto"/>
              </w:rPr>
              <w:t>Effect on 2025</w:t>
            </w:r>
          </w:p>
        </w:tc>
        <w:tc>
          <w:tcPr>
            <w:tcW w:w="1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5"/>
                <w:szCs w:val="15"/>
                <w:color w:val="auto"/>
              </w:rPr>
              <w:t>Dec. 31, 2025</w:t>
            </w:r>
          </w:p>
        </w:tc>
      </w:tr>
      <w:tr>
        <w:trPr>
          <w:trHeight w:val="183"/>
        </w:trPr>
        <w:tc>
          <w:tcPr>
            <w:tcW w:w="1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Change in Assumption</w:t>
            </w:r>
          </w:p>
        </w:tc>
        <w:tc>
          <w:tcPr>
            <w:tcW w:w="30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7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Pretax Expense</w:t>
            </w:r>
          </w:p>
        </w:tc>
        <w:tc>
          <w:tcPr>
            <w:tcW w:w="18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Obligation</w:t>
            </w:r>
          </w:p>
        </w:tc>
      </w:tr>
      <w:tr>
        <w:trPr>
          <w:trHeight w:val="178"/>
        </w:trPr>
        <w:tc>
          <w:tcPr>
            <w:tcW w:w="4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25 basis point decrease in discount rate</w:t>
            </w:r>
          </w:p>
        </w:tc>
        <w:tc>
          <w:tcPr>
            <w:tcW w:w="46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+$333</w:t>
            </w:r>
          </w:p>
        </w:tc>
      </w:tr>
      <w:tr>
        <w:trPr>
          <w:trHeight w:val="178"/>
        </w:trPr>
        <w:tc>
          <w:tcPr>
            <w:tcW w:w="4720" w:type="dxa"/>
            <w:vAlign w:val="bottom"/>
            <w:gridSpan w:val="2"/>
          </w:tcPr>
          <w:p>
            <w:pPr>
              <w:spacing w:after="0"/>
              <w:rPr>
                <w:sz w:val="20"/>
                <w:szCs w:val="20"/>
                <w:color w:val="auto"/>
              </w:rPr>
            </w:pPr>
            <w:r>
              <w:rPr>
                <w:rFonts w:ascii="Arial" w:cs="Arial" w:eastAsia="Arial" w:hAnsi="Arial"/>
                <w:sz w:val="15"/>
                <w:szCs w:val="15"/>
                <w:color w:val="auto"/>
              </w:rPr>
              <w:t>25 basis point increase in discount rate</w:t>
            </w:r>
          </w:p>
        </w:tc>
        <w:tc>
          <w:tcPr>
            <w:tcW w:w="464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-$317</w:t>
            </w:r>
          </w:p>
        </w:tc>
      </w:tr>
      <w:tr>
        <w:trPr>
          <w:trHeight w:val="178"/>
        </w:trPr>
        <w:tc>
          <w:tcPr>
            <w:tcW w:w="47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25 basis point decrease in expected return on plan assets</w:t>
            </w:r>
          </w:p>
        </w:tc>
        <w:tc>
          <w:tcPr>
            <w:tcW w:w="46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720" w:type="dxa"/>
            <w:vAlign w:val="bottom"/>
            <w:gridSpan w:val="2"/>
          </w:tcPr>
          <w:p>
            <w:pPr>
              <w:spacing w:after="0"/>
              <w:rPr>
                <w:sz w:val="20"/>
                <w:szCs w:val="20"/>
                <w:color w:val="auto"/>
              </w:rPr>
            </w:pPr>
            <w:r>
              <w:rPr>
                <w:rFonts w:ascii="Arial" w:cs="Arial" w:eastAsia="Arial" w:hAnsi="Arial"/>
                <w:sz w:val="15"/>
                <w:szCs w:val="15"/>
                <w:color w:val="auto"/>
              </w:rPr>
              <w:t>25 basis point increase in expected return on plan assets</w:t>
            </w:r>
          </w:p>
        </w:tc>
        <w:tc>
          <w:tcPr>
            <w:tcW w:w="464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749"/>
        </w:trPr>
        <w:tc>
          <w:tcPr>
            <w:tcW w:w="1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40" w:type="dxa"/>
            <w:vAlign w:val="bottom"/>
          </w:tcPr>
          <w:p>
            <w:pPr>
              <w:jc w:val="right"/>
              <w:ind w:right="1884"/>
              <w:spacing w:after="0"/>
              <w:rPr>
                <w:sz w:val="20"/>
                <w:szCs w:val="20"/>
                <w:color w:val="auto"/>
              </w:rPr>
            </w:pPr>
            <w:r>
              <w:rPr>
                <w:rFonts w:ascii="Arial" w:cs="Arial" w:eastAsia="Arial" w:hAnsi="Arial"/>
                <w:sz w:val="15"/>
                <w:szCs w:val="15"/>
                <w:color w:val="auto"/>
              </w:rPr>
              <w:t>26</w:t>
            </w: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06"/>
        </w:trPr>
        <w:tc>
          <w:tcPr>
            <w:tcW w:w="16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The following illustrates the sensitivity to changes in certain assumptions, holding all other assumptions constant, for SLB’s United States postretirement medical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ind w:left="600"/>
              <w:spacing w:after="0"/>
              <w:rPr>
                <w:sz w:val="20"/>
                <w:szCs w:val="20"/>
                <w:color w:val="auto"/>
              </w:rPr>
            </w:pPr>
            <w:r>
              <w:rPr>
                <w:rFonts w:ascii="Arial" w:cs="Arial" w:eastAsia="Arial" w:hAnsi="Arial"/>
                <w:sz w:val="14"/>
                <w:szCs w:val="14"/>
                <w:i w:val="1"/>
                <w:iCs w:val="1"/>
                <w:color w:val="auto"/>
                <w:w w:val="95"/>
              </w:rPr>
              <w:t>(Stated in millions)</w:t>
            </w:r>
          </w:p>
        </w:tc>
      </w:tr>
      <w:tr>
        <w:trPr>
          <w:trHeight w:val="339"/>
        </w:trPr>
        <w:tc>
          <w:tcPr>
            <w:tcW w:w="1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5"/>
                <w:szCs w:val="15"/>
                <w:color w:val="auto"/>
              </w:rPr>
              <w:t>Effect on</w:t>
            </w:r>
          </w:p>
        </w:tc>
      </w:tr>
      <w:tr>
        <w:trPr>
          <w:trHeight w:val="178"/>
        </w:trPr>
        <w:tc>
          <w:tcPr>
            <w:tcW w:w="16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20" w:type="dxa"/>
            <w:vAlign w:val="bottom"/>
          </w:tcPr>
          <w:p>
            <w:pPr>
              <w:jc w:val="center"/>
              <w:ind w:left="204"/>
              <w:spacing w:after="0"/>
              <w:rPr>
                <w:sz w:val="20"/>
                <w:szCs w:val="20"/>
                <w:color w:val="auto"/>
              </w:rPr>
            </w:pPr>
            <w:r>
              <w:rPr>
                <w:rFonts w:ascii="Arial" w:cs="Arial" w:eastAsia="Arial" w:hAnsi="Arial"/>
                <w:sz w:val="15"/>
                <w:szCs w:val="15"/>
                <w:color w:val="auto"/>
              </w:rPr>
              <w:t>Effect on 2025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center"/>
              <w:spacing w:after="0"/>
              <w:rPr>
                <w:sz w:val="20"/>
                <w:szCs w:val="20"/>
                <w:color w:val="auto"/>
              </w:rPr>
            </w:pPr>
            <w:r>
              <w:rPr>
                <w:rFonts w:ascii="Arial" w:cs="Arial" w:eastAsia="Arial" w:hAnsi="Arial"/>
                <w:sz w:val="15"/>
                <w:szCs w:val="15"/>
                <w:color w:val="auto"/>
              </w:rPr>
              <w:t>Dec. 31, 2025</w:t>
            </w:r>
          </w:p>
        </w:tc>
      </w:tr>
      <w:tr>
        <w:trPr>
          <w:trHeight w:val="183"/>
        </w:trPr>
        <w:tc>
          <w:tcPr>
            <w:tcW w:w="1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Change in Assumption</w:t>
            </w:r>
          </w:p>
        </w:tc>
        <w:tc>
          <w:tcPr>
            <w:tcW w:w="24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20" w:type="dxa"/>
            <w:vAlign w:val="bottom"/>
            <w:tcBorders>
              <w:bottom w:val="single" w:sz="8" w:color="auto"/>
            </w:tcBorders>
          </w:tcPr>
          <w:p>
            <w:pPr>
              <w:jc w:val="center"/>
              <w:ind w:left="224"/>
              <w:spacing w:after="0"/>
              <w:rPr>
                <w:sz w:val="20"/>
                <w:szCs w:val="20"/>
                <w:color w:val="auto"/>
              </w:rPr>
            </w:pPr>
            <w:r>
              <w:rPr>
                <w:rFonts w:ascii="Arial" w:cs="Arial" w:eastAsia="Arial" w:hAnsi="Arial"/>
                <w:sz w:val="15"/>
                <w:szCs w:val="15"/>
                <w:color w:val="auto"/>
              </w:rPr>
              <w:t>Pretax Expense</w:t>
            </w: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Obligation</w:t>
            </w:r>
          </w:p>
        </w:tc>
        <w:tc>
          <w:tcPr>
            <w:tcW w:w="20" w:type="dxa"/>
            <w:vAlign w:val="bottom"/>
          </w:tcPr>
          <w:p>
            <w:pPr>
              <w:spacing w:after="0"/>
              <w:rPr>
                <w:sz w:val="15"/>
                <w:szCs w:val="15"/>
                <w:color w:val="auto"/>
              </w:rPr>
            </w:pPr>
          </w:p>
        </w:tc>
      </w:tr>
      <w:tr>
        <w:trPr>
          <w:trHeight w:val="178"/>
        </w:trPr>
        <w:tc>
          <w:tcPr>
            <w:tcW w:w="41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25 basis point decrease in discount rate</w:t>
            </w:r>
          </w:p>
        </w:tc>
        <w:tc>
          <w:tcPr>
            <w:tcW w:w="35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w:t>
            </w:r>
          </w:p>
        </w:tc>
        <w:tc>
          <w:tcPr>
            <w:tcW w:w="1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5"/>
                <w:szCs w:val="15"/>
                <w:color w:val="auto"/>
              </w:rPr>
            </w:pPr>
          </w:p>
        </w:tc>
      </w:tr>
      <w:tr>
        <w:trPr>
          <w:trHeight w:val="200"/>
        </w:trPr>
        <w:tc>
          <w:tcPr>
            <w:tcW w:w="4120" w:type="dxa"/>
            <w:vAlign w:val="bottom"/>
            <w:gridSpan w:val="2"/>
          </w:tcPr>
          <w:p>
            <w:pPr>
              <w:spacing w:after="0"/>
              <w:rPr>
                <w:sz w:val="20"/>
                <w:szCs w:val="20"/>
                <w:color w:val="auto"/>
              </w:rPr>
            </w:pPr>
            <w:r>
              <w:rPr>
                <w:rFonts w:ascii="Arial" w:cs="Arial" w:eastAsia="Arial" w:hAnsi="Arial"/>
                <w:sz w:val="15"/>
                <w:szCs w:val="15"/>
                <w:color w:val="auto"/>
              </w:rPr>
              <w:t>25 basis point increase in discount rate</w:t>
            </w:r>
          </w:p>
        </w:tc>
        <w:tc>
          <w:tcPr>
            <w:tcW w:w="3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7"/>
                <w:szCs w:val="17"/>
                <w:color w:val="auto"/>
              </w:rPr>
            </w:pPr>
          </w:p>
        </w:tc>
      </w:tr>
      <w:tr>
        <w:trPr>
          <w:trHeight w:val="572"/>
        </w:trPr>
        <w:tc>
          <w:tcPr>
            <w:tcW w:w="1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540" w:type="dxa"/>
            <w:vAlign w:val="bottom"/>
          </w:tcPr>
          <w:p>
            <w:pPr>
              <w:jc w:val="right"/>
              <w:ind w:right="1884"/>
              <w:spacing w:after="0"/>
              <w:rPr>
                <w:sz w:val="20"/>
                <w:szCs w:val="20"/>
                <w:color w:val="auto"/>
              </w:rPr>
            </w:pPr>
            <w:r>
              <w:rPr>
                <w:rFonts w:ascii="Arial" w:cs="Arial" w:eastAsia="Arial" w:hAnsi="Arial"/>
                <w:sz w:val="15"/>
                <w:szCs w:val="15"/>
                <w:color w:val="auto"/>
              </w:rPr>
              <w:t>27</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6"/>
        </w:trPr>
        <w:tc>
          <w:tcPr>
            <w:tcW w:w="16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u w:val="single" w:color="auto"/>
          <w:color w:val="auto"/>
        </w:rPr>
        <w:t>Item 7A. Quantitative and Qualitative Disclosures About Market Risk.</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SLB is subject to market risks primarily associated with changes in foreign currency exchange rates.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SLB’s functional currency is primarily the US dollar. Approximately 70% of SLB’s revenue in 2025 was denominated in US dollars. However, outside the United States, a significant portion of SLB’s expenses is incurred in foreign currencies. Therefore, when the US dollar weakens in relation to the foreign currencies of the countries in which SLB conducts business, the US dollar-reported expenses will increase.</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is exposed to risks on future cash flows relating to its fixed rate debt denominated in currencies other than the functional currency. SLB uses cross-currency interest rate swaps to provide a hedge against these cash flow risks and effectively convert the debt to US-dollar denominated fixed rate debt.</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maintains a foreign currency risk management strategy that uses derivative instruments to manage the impact of changes in foreign exchange rates on its earnings. SLB enters into foreign currency forward contracts to provide a hedge against currency fluctuations on certain monetary assets and liabilities, and certain expenses denominated in currencies other than the functional currency.</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 10% appreciation in the US dollar from the December 31, 2025 market rates would decrease the unrealized value of SLB’s forward contracts by $154 million. Conversely, a 10% depreciation in the US dollar from the December 31, 2025 market rates would increase the unrealized value of SLB’s forward contracts by $166 million. In either scenario, the gain or loss on the forward contract would be offset by the gain or loss on the underlying transaction, and therefore, would have no impact on future earnings.</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At December 31, 2025, forward contracts for the US dollar equivalent of $10.8 billion in various foreign currencies were outstanding, of which $4.5 billion related to hedges of debt balances denominated in currencies other than the functional currency.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Forward-Looking Statements</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Form 10-K,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10-K and other filings that we make with the SEC.</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10-K are made as of January 23, 2026, and SLB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u w:val="single" w:color="auto"/>
          <w:color w:val="auto"/>
        </w:rPr>
        <w:t>Item 8. Financial Statements and Supplementary Data.</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SLB LIMITED AND SUBSIDIARIES</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CONSOLIDATED STATEMENT OF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5"/>
          </w:tcPr>
          <w:p>
            <w:pPr>
              <w:ind w:left="40"/>
              <w:spacing w:after="0"/>
              <w:rPr>
                <w:sz w:val="20"/>
                <w:szCs w:val="20"/>
                <w:color w:val="auto"/>
              </w:rPr>
            </w:pPr>
            <w:r>
              <w:rPr>
                <w:rFonts w:ascii="Arial" w:cs="Arial" w:eastAsia="Arial" w:hAnsi="Arial"/>
                <w:sz w:val="14"/>
                <w:szCs w:val="14"/>
                <w:i w:val="1"/>
                <w:iCs w:val="1"/>
                <w:color w:val="auto"/>
                <w:w w:val="99"/>
              </w:rPr>
              <w:t>(Stated in millions, except per share amounts</w:t>
            </w:r>
            <w:r>
              <w:rPr>
                <w:rFonts w:ascii="Arial" w:cs="Arial" w:eastAsia="Arial" w:hAnsi="Arial"/>
                <w:sz w:val="14"/>
                <w:szCs w:val="14"/>
                <w:color w:val="auto"/>
                <w:w w:val="99"/>
              </w:rPr>
              <w:t>)</w:t>
            </w:r>
          </w:p>
        </w:tc>
      </w:tr>
      <w:tr>
        <w:trPr>
          <w:trHeight w:val="351"/>
        </w:trPr>
        <w:tc>
          <w:tcPr>
            <w:tcW w:w="6560" w:type="dxa"/>
            <w:vAlign w:val="bottom"/>
          </w:tcPr>
          <w:p>
            <w:pPr>
              <w:spacing w:after="0"/>
              <w:rPr>
                <w:sz w:val="20"/>
                <w:szCs w:val="20"/>
                <w:color w:val="auto"/>
              </w:rPr>
            </w:pPr>
            <w:r>
              <w:rPr>
                <w:rFonts w:ascii="Arial" w:cs="Arial" w:eastAsia="Arial" w:hAnsi="Arial"/>
                <w:sz w:val="15"/>
                <w:szCs w:val="15"/>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2025</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2024</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656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Revenue</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Services</w:t>
            </w: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21,200</w:t>
            </w: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23,297</w:t>
            </w:r>
          </w:p>
        </w:tc>
        <w:tc>
          <w:tcPr>
            <w:tcW w:w="5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22,439</w:t>
            </w:r>
          </w:p>
        </w:tc>
        <w:tc>
          <w:tcPr>
            <w:tcW w:w="100" w:type="dxa"/>
            <w:vAlign w:val="bottom"/>
          </w:tcPr>
          <w:p>
            <w:pPr>
              <w:spacing w:after="0"/>
              <w:rPr>
                <w:sz w:val="15"/>
                <w:szCs w:val="15"/>
                <w:color w:val="auto"/>
              </w:rPr>
            </w:pPr>
          </w:p>
        </w:tc>
      </w:tr>
      <w:tr>
        <w:trPr>
          <w:trHeight w:val="178"/>
        </w:trPr>
        <w:tc>
          <w:tcPr>
            <w:tcW w:w="6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5"/>
                <w:szCs w:val="15"/>
                <w:color w:val="auto"/>
              </w:rPr>
              <w:t>Product sales</w:t>
            </w: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14,508</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12,992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10,696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6560" w:type="dxa"/>
            <w:vAlign w:val="bottom"/>
          </w:tcPr>
          <w:p>
            <w:pPr>
              <w:spacing w:after="0" w:line="171" w:lineRule="exact"/>
              <w:rPr>
                <w:sz w:val="20"/>
                <w:szCs w:val="20"/>
                <w:color w:val="auto"/>
              </w:rPr>
            </w:pPr>
            <w:r>
              <w:rPr>
                <w:rFonts w:ascii="Arial" w:cs="Arial" w:eastAsia="Arial" w:hAnsi="Arial"/>
                <w:sz w:val="15"/>
                <w:szCs w:val="15"/>
                <w:i w:val="1"/>
                <w:iCs w:val="1"/>
                <w:color w:val="auto"/>
              </w:rPr>
              <w:t>Total Revenue</w:t>
            </w:r>
          </w:p>
        </w:tc>
        <w:tc>
          <w:tcPr>
            <w:tcW w:w="300" w:type="dxa"/>
            <w:vAlign w:val="bottom"/>
          </w:tcPr>
          <w:p>
            <w:pPr>
              <w:spacing w:after="0"/>
              <w:rPr>
                <w:sz w:val="14"/>
                <w:szCs w:val="14"/>
                <w:color w:val="auto"/>
              </w:rPr>
            </w:pPr>
          </w:p>
        </w:tc>
        <w:tc>
          <w:tcPr>
            <w:tcW w:w="106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35,708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71" w:lineRule="exact"/>
              <w:rPr>
                <w:sz w:val="20"/>
                <w:szCs w:val="20"/>
                <w:color w:val="auto"/>
              </w:rPr>
            </w:pPr>
            <w:r>
              <w:rPr>
                <w:rFonts w:ascii="Arial" w:cs="Arial" w:eastAsia="Arial" w:hAnsi="Arial"/>
                <w:sz w:val="15"/>
                <w:szCs w:val="15"/>
                <w:color w:val="auto"/>
              </w:rPr>
              <w:t>36,289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33,135</w:t>
            </w:r>
          </w:p>
        </w:tc>
        <w:tc>
          <w:tcPr>
            <w:tcW w:w="100" w:type="dxa"/>
            <w:vAlign w:val="bottom"/>
          </w:tcPr>
          <w:p>
            <w:pPr>
              <w:spacing w:after="0"/>
              <w:rPr>
                <w:sz w:val="14"/>
                <w:szCs w:val="14"/>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Interest &amp; other income</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481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i w:val="1"/>
                <w:iCs w:val="1"/>
                <w:color w:val="auto"/>
              </w:rPr>
              <w:t>Expenses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Cost of services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16,764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17,847</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17,231</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Cost of sales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12,437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10,982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9,341</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Research &amp; engineering</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709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749</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711</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General &amp; administrative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340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364</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Restructuring &amp; other</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457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237</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Impairments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331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Merger &amp; integration</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302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Interest</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558</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w:t>
            </w:r>
          </w:p>
        </w:tc>
        <w:tc>
          <w:tcPr>
            <w:tcW w:w="100" w:type="dxa"/>
            <w:vAlign w:val="bottom"/>
          </w:tcPr>
          <w:p>
            <w:pPr>
              <w:spacing w:after="0"/>
              <w:rPr>
                <w:sz w:val="15"/>
                <w:szCs w:val="15"/>
                <w:color w:val="auto"/>
              </w:rPr>
            </w:pPr>
          </w:p>
        </w:tc>
      </w:tr>
      <w:tr>
        <w:trPr>
          <w:trHeight w:val="170"/>
        </w:trPr>
        <w:tc>
          <w:tcPr>
            <w:tcW w:w="656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Income before taxes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4,291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5,672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5,282</w:t>
            </w:r>
          </w:p>
        </w:tc>
        <w:tc>
          <w:tcPr>
            <w:tcW w:w="100" w:type="dxa"/>
            <w:vAlign w:val="bottom"/>
            <w:shd w:val="clear" w:color="auto" w:fill="CFF0FC"/>
          </w:tcPr>
          <w:p>
            <w:pPr>
              <w:spacing w:after="0"/>
              <w:rPr>
                <w:sz w:val="14"/>
                <w:szCs w:val="14"/>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Tax expense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840</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1,093</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1,007</w:t>
            </w:r>
          </w:p>
        </w:tc>
        <w:tc>
          <w:tcPr>
            <w:tcW w:w="100" w:type="dxa"/>
            <w:vAlign w:val="bottom"/>
          </w:tcPr>
          <w:p>
            <w:pPr>
              <w:spacing w:after="0"/>
              <w:rPr>
                <w:sz w:val="15"/>
                <w:szCs w:val="15"/>
                <w:color w:val="auto"/>
              </w:rPr>
            </w:pPr>
          </w:p>
        </w:tc>
      </w:tr>
      <w:tr>
        <w:trPr>
          <w:trHeight w:val="170"/>
        </w:trPr>
        <w:tc>
          <w:tcPr>
            <w:tcW w:w="656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Net income</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3,451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4,579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4,275</w:t>
            </w:r>
          </w:p>
        </w:tc>
        <w:tc>
          <w:tcPr>
            <w:tcW w:w="100" w:type="dxa"/>
            <w:vAlign w:val="bottom"/>
            <w:shd w:val="clear" w:color="auto" w:fill="CFF0FC"/>
          </w:tcPr>
          <w:p>
            <w:pPr>
              <w:spacing w:after="0"/>
              <w:rPr>
                <w:sz w:val="14"/>
                <w:szCs w:val="14"/>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Net income attributable to noncontrolling interests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5"/>
                <w:szCs w:val="15"/>
                <w:color w:val="auto"/>
              </w:rPr>
            </w:pPr>
          </w:p>
        </w:tc>
      </w:tr>
      <w:tr>
        <w:trPr>
          <w:trHeight w:val="210"/>
        </w:trPr>
        <w:tc>
          <w:tcPr>
            <w:tcW w:w="6560" w:type="dxa"/>
            <w:vAlign w:val="bottom"/>
            <w:shd w:val="clear" w:color="auto" w:fill="CFF0FC"/>
          </w:tcPr>
          <w:p>
            <w:pPr>
              <w:spacing w:after="0" w:line="158" w:lineRule="exact"/>
              <w:rPr>
                <w:sz w:val="20"/>
                <w:szCs w:val="20"/>
                <w:color w:val="auto"/>
              </w:rPr>
            </w:pPr>
            <w:r>
              <w:rPr>
                <w:rFonts w:ascii="Arial" w:cs="Arial" w:eastAsia="Arial" w:hAnsi="Arial"/>
                <w:sz w:val="15"/>
                <w:szCs w:val="15"/>
                <w:i w:val="1"/>
                <w:iCs w:val="1"/>
                <w:color w:val="auto"/>
              </w:rPr>
              <w:t>Net income attributable to SLB</w:t>
            </w:r>
          </w:p>
        </w:tc>
        <w:tc>
          <w:tcPr>
            <w:tcW w:w="300" w:type="dxa"/>
            <w:vAlign w:val="bottom"/>
            <w:shd w:val="clear" w:color="auto" w:fill="CFF0FC"/>
          </w:tcPr>
          <w:p>
            <w:pPr>
              <w:jc w:val="right"/>
              <w:ind w:right="144"/>
              <w:spacing w:after="0" w:line="158" w:lineRule="exact"/>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b w:val="1"/>
                <w:bCs w:val="1"/>
                <w:color w:val="auto"/>
              </w:rPr>
              <w:t>3,374</w:t>
            </w:r>
          </w:p>
        </w:tc>
        <w:tc>
          <w:tcPr>
            <w:tcW w:w="4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4,461</w:t>
            </w:r>
          </w:p>
        </w:tc>
        <w:tc>
          <w:tcPr>
            <w:tcW w:w="54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4,203</w:t>
            </w:r>
          </w:p>
        </w:tc>
        <w:tc>
          <w:tcPr>
            <w:tcW w:w="100" w:type="dxa"/>
            <w:vAlign w:val="bottom"/>
            <w:shd w:val="clear" w:color="auto" w:fill="CFF0FC"/>
          </w:tcPr>
          <w:p>
            <w:pPr>
              <w:spacing w:after="0"/>
              <w:rPr>
                <w:sz w:val="18"/>
                <w:szCs w:val="18"/>
                <w:color w:val="auto"/>
              </w:rPr>
            </w:pPr>
          </w:p>
        </w:tc>
      </w:tr>
      <w:tr>
        <w:trPr>
          <w:trHeight w:val="156"/>
        </w:trPr>
        <w:tc>
          <w:tcPr>
            <w:tcW w:w="656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18"/>
        </w:trPr>
        <w:tc>
          <w:tcPr>
            <w:tcW w:w="6560" w:type="dxa"/>
            <w:vAlign w:val="bottom"/>
            <w:shd w:val="clear" w:color="auto" w:fill="CFF0FC"/>
          </w:tcPr>
          <w:p>
            <w:pPr>
              <w:spacing w:after="0" w:line="158" w:lineRule="exact"/>
              <w:rPr>
                <w:sz w:val="20"/>
                <w:szCs w:val="20"/>
                <w:color w:val="auto"/>
              </w:rPr>
            </w:pPr>
            <w:r>
              <w:rPr>
                <w:rFonts w:ascii="Arial" w:cs="Arial" w:eastAsia="Arial" w:hAnsi="Arial"/>
                <w:sz w:val="15"/>
                <w:szCs w:val="15"/>
                <w:b w:val="1"/>
                <w:bCs w:val="1"/>
                <w:color w:val="auto"/>
              </w:rPr>
              <w:t>Basic earnings per share of SLB</w:t>
            </w:r>
          </w:p>
        </w:tc>
        <w:tc>
          <w:tcPr>
            <w:tcW w:w="300" w:type="dxa"/>
            <w:vAlign w:val="bottom"/>
            <w:shd w:val="clear" w:color="auto" w:fill="CFF0FC"/>
          </w:tcPr>
          <w:p>
            <w:pPr>
              <w:jc w:val="right"/>
              <w:ind w:right="144"/>
              <w:spacing w:after="0" w:line="158" w:lineRule="exact"/>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b w:val="1"/>
                <w:bCs w:val="1"/>
                <w:color w:val="auto"/>
              </w:rPr>
              <w:t>2.38</w:t>
            </w:r>
          </w:p>
        </w:tc>
        <w:tc>
          <w:tcPr>
            <w:tcW w:w="4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3.14</w:t>
            </w:r>
          </w:p>
        </w:tc>
        <w:tc>
          <w:tcPr>
            <w:tcW w:w="54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2.95</w:t>
            </w:r>
          </w:p>
        </w:tc>
        <w:tc>
          <w:tcPr>
            <w:tcW w:w="100" w:type="dxa"/>
            <w:vAlign w:val="bottom"/>
            <w:shd w:val="clear" w:color="auto" w:fill="CFF0FC"/>
          </w:tcPr>
          <w:p>
            <w:pPr>
              <w:spacing w:after="0"/>
              <w:rPr>
                <w:sz w:val="18"/>
                <w:szCs w:val="18"/>
                <w:color w:val="auto"/>
              </w:rPr>
            </w:pPr>
          </w:p>
        </w:tc>
      </w:tr>
      <w:tr>
        <w:trPr>
          <w:trHeight w:val="156"/>
        </w:trPr>
        <w:tc>
          <w:tcPr>
            <w:tcW w:w="656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18"/>
        </w:trPr>
        <w:tc>
          <w:tcPr>
            <w:tcW w:w="6560" w:type="dxa"/>
            <w:vAlign w:val="bottom"/>
            <w:shd w:val="clear" w:color="auto" w:fill="CFF0FC"/>
          </w:tcPr>
          <w:p>
            <w:pPr>
              <w:spacing w:after="0" w:line="158" w:lineRule="exact"/>
              <w:rPr>
                <w:sz w:val="20"/>
                <w:szCs w:val="20"/>
                <w:color w:val="auto"/>
              </w:rPr>
            </w:pPr>
            <w:r>
              <w:rPr>
                <w:rFonts w:ascii="Arial" w:cs="Arial" w:eastAsia="Arial" w:hAnsi="Arial"/>
                <w:sz w:val="15"/>
                <w:szCs w:val="15"/>
                <w:b w:val="1"/>
                <w:bCs w:val="1"/>
                <w:color w:val="auto"/>
              </w:rPr>
              <w:t>Diluted earnings per share of SLB</w:t>
            </w:r>
          </w:p>
        </w:tc>
        <w:tc>
          <w:tcPr>
            <w:tcW w:w="300" w:type="dxa"/>
            <w:vAlign w:val="bottom"/>
            <w:shd w:val="clear" w:color="auto" w:fill="CFF0FC"/>
          </w:tcPr>
          <w:p>
            <w:pPr>
              <w:jc w:val="right"/>
              <w:ind w:right="144"/>
              <w:spacing w:after="0" w:line="158" w:lineRule="exact"/>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b w:val="1"/>
                <w:bCs w:val="1"/>
                <w:color w:val="auto"/>
              </w:rPr>
              <w:t>2.35</w:t>
            </w:r>
          </w:p>
        </w:tc>
        <w:tc>
          <w:tcPr>
            <w:tcW w:w="4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3.11</w:t>
            </w:r>
          </w:p>
        </w:tc>
        <w:tc>
          <w:tcPr>
            <w:tcW w:w="54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2.91</w:t>
            </w:r>
          </w:p>
        </w:tc>
        <w:tc>
          <w:tcPr>
            <w:tcW w:w="100" w:type="dxa"/>
            <w:vAlign w:val="bottom"/>
            <w:shd w:val="clear" w:color="auto" w:fill="CFF0FC"/>
          </w:tcPr>
          <w:p>
            <w:pPr>
              <w:spacing w:after="0"/>
              <w:rPr>
                <w:sz w:val="18"/>
                <w:szCs w:val="18"/>
                <w:color w:val="auto"/>
              </w:rPr>
            </w:pPr>
          </w:p>
        </w:tc>
      </w:tr>
      <w:tr>
        <w:trPr>
          <w:trHeight w:val="156"/>
        </w:trPr>
        <w:tc>
          <w:tcPr>
            <w:tcW w:w="656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Average shares outstanding:</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Basic</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1,421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1,421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1,425</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Assuming dilution</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1,437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1,436</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1,443</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-2811780</wp:posOffset>
            </wp:positionV>
            <wp:extent cx="723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-2811780</wp:posOffset>
            </wp:positionV>
            <wp:extent cx="647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-2811780</wp:posOffset>
            </wp:positionV>
            <wp:extent cx="647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-974725</wp:posOffset>
            </wp:positionV>
            <wp:extent cx="723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-958215</wp:posOffset>
            </wp:positionV>
            <wp:extent cx="723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-974725</wp:posOffset>
            </wp:positionV>
            <wp:extent cx="647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-958215</wp:posOffset>
            </wp:positionV>
            <wp:extent cx="647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-974725</wp:posOffset>
            </wp:positionV>
            <wp:extent cx="647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-958215</wp:posOffset>
            </wp:positionV>
            <wp:extent cx="647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-724535</wp:posOffset>
            </wp:positionV>
            <wp:extent cx="723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-708660</wp:posOffset>
            </wp:positionV>
            <wp:extent cx="723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-724535</wp:posOffset>
            </wp:positionV>
            <wp:extent cx="647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-708660</wp:posOffset>
            </wp:positionV>
            <wp:extent cx="647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-724535</wp:posOffset>
            </wp:positionV>
            <wp:extent cx="647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-708660</wp:posOffset>
            </wp:positionV>
            <wp:extent cx="647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-474980</wp:posOffset>
            </wp:positionV>
            <wp:extent cx="723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-458470</wp:posOffset>
            </wp:positionV>
            <wp:extent cx="723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-474980</wp:posOffset>
            </wp:positionV>
            <wp:extent cx="647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-458470</wp:posOffset>
            </wp:positionV>
            <wp:extent cx="647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-474980</wp:posOffset>
            </wp:positionV>
            <wp:extent cx="647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-458470</wp:posOffset>
            </wp:positionV>
            <wp:extent cx="647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the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5"/>
          <w:szCs w:val="15"/>
          <w:b w:val="1"/>
          <w:bCs w:val="1"/>
          <w:color w:val="auto"/>
        </w:rPr>
        <w:t>SLB LIMITED AND SUBSIDIARIES</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CONSOLIDATED STATEMENT OF COMPREHENSIVE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6560" w:type="dxa"/>
            <w:vAlign w:val="bottom"/>
          </w:tcPr>
          <w:p>
            <w:pPr>
              <w:spacing w:after="0"/>
              <w:rPr>
                <w:sz w:val="20"/>
                <w:szCs w:val="20"/>
                <w:color w:val="auto"/>
              </w:rPr>
            </w:pPr>
            <w:r>
              <w:rPr>
                <w:rFonts w:ascii="Arial" w:cs="Arial" w:eastAsia="Arial" w:hAnsi="Arial"/>
                <w:sz w:val="15"/>
                <w:szCs w:val="15"/>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656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Net income</w:t>
            </w:r>
          </w:p>
        </w:tc>
        <w:tc>
          <w:tcPr>
            <w:tcW w:w="300" w:type="dxa"/>
            <w:vAlign w:val="bottom"/>
            <w:shd w:val="clear" w:color="auto" w:fill="CFF0FC"/>
          </w:tcPr>
          <w:p>
            <w:pPr>
              <w:jc w:val="right"/>
              <w:ind w:right="144"/>
              <w:spacing w:after="0" w:line="171" w:lineRule="exact"/>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b w:val="1"/>
                <w:bCs w:val="1"/>
                <w:color w:val="auto"/>
              </w:rPr>
              <w:t>3,451</w:t>
            </w:r>
          </w:p>
        </w:tc>
        <w:tc>
          <w:tcPr>
            <w:tcW w:w="420" w:type="dxa"/>
            <w:vAlign w:val="bottom"/>
            <w:gridSpan w:val="2"/>
            <w:shd w:val="clear" w:color="auto" w:fill="CFF0FC"/>
          </w:tcPr>
          <w:p>
            <w:pPr>
              <w:jc w:val="right"/>
              <w:ind w:right="220"/>
              <w:spacing w:after="0" w:line="171"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color w:val="auto"/>
              </w:rPr>
              <w:t>4,579</w:t>
            </w:r>
          </w:p>
        </w:tc>
        <w:tc>
          <w:tcPr>
            <w:tcW w:w="24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4,275</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Currency translation adjustments: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Net change arising during the period</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299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(113)</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Cash flow hedges: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Net (loss) gain on cash flow hedges</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177</w:t>
            </w: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Reclassification to net income of net realized loss</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(74)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(19)</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Pension and other postretirement benefit plans: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Actuarial loss arising during the period</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(582)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(437)</w:t>
            </w: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Amortization to net income of net actuarial losses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(12)</w:t>
            </w: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Amortization to net income of net prior service credit</w:t>
            </w: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(23)</w:t>
            </w: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Income taxes on pension and other postretirement benefit plans</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58</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(30)</w:t>
            </w:r>
          </w:p>
        </w:tc>
      </w:tr>
      <w:tr>
        <w:trPr>
          <w:trHeight w:val="20"/>
        </w:trPr>
        <w:tc>
          <w:tcPr>
            <w:tcW w:w="6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5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Comprehensive income</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b w:val="1"/>
                <w:bCs w:val="1"/>
                <w:color w:val="auto"/>
              </w:rPr>
              <w:t>3,665</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color w:val="auto"/>
              </w:rPr>
              <w:t>3,883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3,876</w:t>
            </w: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Comprehensive income attributable to noncontrolling interests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77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72</w:t>
            </w:r>
          </w:p>
        </w:tc>
      </w:tr>
      <w:tr>
        <w:trPr>
          <w:trHeight w:val="20"/>
        </w:trPr>
        <w:tc>
          <w:tcPr>
            <w:tcW w:w="6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560" w:type="dxa"/>
            <w:vAlign w:val="bottom"/>
            <w:shd w:val="clear" w:color="auto" w:fill="CFF0FC"/>
          </w:tcPr>
          <w:p>
            <w:pPr>
              <w:spacing w:after="0" w:line="158" w:lineRule="exact"/>
              <w:rPr>
                <w:sz w:val="20"/>
                <w:szCs w:val="20"/>
                <w:color w:val="auto"/>
              </w:rPr>
            </w:pPr>
            <w:r>
              <w:rPr>
                <w:rFonts w:ascii="Arial" w:cs="Arial" w:eastAsia="Arial" w:hAnsi="Arial"/>
                <w:sz w:val="15"/>
                <w:szCs w:val="15"/>
                <w:i w:val="1"/>
                <w:iCs w:val="1"/>
                <w:color w:val="auto"/>
              </w:rPr>
              <w:t>Comprehensive income attributable to SLB</w:t>
            </w:r>
          </w:p>
        </w:tc>
        <w:tc>
          <w:tcPr>
            <w:tcW w:w="300" w:type="dxa"/>
            <w:vAlign w:val="bottom"/>
            <w:shd w:val="clear" w:color="auto" w:fill="CFF0FC"/>
          </w:tcPr>
          <w:p>
            <w:pPr>
              <w:jc w:val="right"/>
              <w:ind w:right="144"/>
              <w:spacing w:after="0" w:line="158" w:lineRule="exact"/>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5"/>
                <w:szCs w:val="15"/>
                <w:b w:val="1"/>
                <w:bCs w:val="1"/>
                <w:color w:val="auto"/>
              </w:rPr>
              <w:t>3,588</w:t>
            </w:r>
          </w:p>
        </w:tc>
        <w:tc>
          <w:tcPr>
            <w:tcW w:w="42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5"/>
                <w:szCs w:val="15"/>
                <w:color w:val="auto"/>
              </w:rPr>
              <w:t>3,765</w:t>
            </w:r>
          </w:p>
        </w:tc>
        <w:tc>
          <w:tcPr>
            <w:tcW w:w="24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5"/>
                <w:szCs w:val="15"/>
                <w:color w:val="auto"/>
              </w:rPr>
              <w:t>3,804</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-23495</wp:posOffset>
            </wp:positionV>
            <wp:extent cx="723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-7620</wp:posOffset>
            </wp:positionV>
            <wp:extent cx="723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-23495</wp:posOffset>
            </wp:positionV>
            <wp:extent cx="647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-7620</wp:posOffset>
            </wp:positionV>
            <wp:extent cx="647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the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0" w:name="page31"/>
    <w:bookmarkEnd w:id="30"/>
    <w:p>
      <w:pPr>
        <w:ind w:left="4380"/>
        <w:spacing w:after="0"/>
        <w:rPr>
          <w:sz w:val="20"/>
          <w:szCs w:val="20"/>
          <w:color w:val="auto"/>
        </w:rPr>
      </w:pPr>
      <w:r>
        <w:rPr>
          <w:rFonts w:ascii="Arial" w:cs="Arial" w:eastAsia="Arial" w:hAnsi="Arial"/>
          <w:sz w:val="15"/>
          <w:szCs w:val="15"/>
          <w:b w:val="1"/>
          <w:bCs w:val="1"/>
          <w:color w:val="auto"/>
        </w:rPr>
        <w:t>SLB LIMITED AND SUBSIDIARIES</w:t>
      </w:r>
    </w:p>
    <w:p>
      <w:pPr>
        <w:spacing w:after="0" w:line="107"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CONSOLIDATED BALANCE SHEET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6540" w:type="dxa"/>
            <w:vAlign w:val="bottom"/>
          </w:tcPr>
          <w:p>
            <w:pPr>
              <w:spacing w:after="0"/>
              <w:rPr>
                <w:sz w:val="20"/>
                <w:szCs w:val="20"/>
                <w:color w:val="auto"/>
              </w:rPr>
            </w:pPr>
            <w:r>
              <w:rPr>
                <w:rFonts w:ascii="Arial" w:cs="Arial" w:eastAsia="Arial" w:hAnsi="Arial"/>
                <w:sz w:val="15"/>
                <w:szCs w:val="15"/>
                <w:b w:val="1"/>
                <w:bCs w:val="1"/>
                <w:color w:val="auto"/>
              </w:rPr>
              <w:t>December 31,</w:t>
            </w:r>
          </w:p>
        </w:tc>
        <w:tc>
          <w:tcPr>
            <w:tcW w:w="1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r>
      <w:tr>
        <w:trPr>
          <w:trHeight w:val="170"/>
        </w:trPr>
        <w:tc>
          <w:tcPr>
            <w:tcW w:w="6540" w:type="dxa"/>
            <w:vAlign w:val="bottom"/>
            <w:shd w:val="clear" w:color="auto" w:fill="CFF0FC"/>
          </w:tcPr>
          <w:p>
            <w:pPr>
              <w:spacing w:after="0" w:line="171" w:lineRule="exact"/>
              <w:rPr>
                <w:sz w:val="20"/>
                <w:szCs w:val="20"/>
                <w:color w:val="auto"/>
              </w:rPr>
            </w:pPr>
            <w:r>
              <w:rPr>
                <w:rFonts w:ascii="Arial" w:cs="Arial" w:eastAsia="Arial" w:hAnsi="Arial"/>
                <w:sz w:val="15"/>
                <w:szCs w:val="15"/>
                <w:b w:val="1"/>
                <w:bCs w:val="1"/>
                <w:i w:val="1"/>
                <w:iCs w:val="1"/>
                <w:color w:val="auto"/>
              </w:rPr>
              <w:t>ASSETS</w:t>
            </w:r>
          </w:p>
        </w:tc>
        <w:tc>
          <w:tcPr>
            <w:tcW w:w="1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6540" w:type="dxa"/>
            <w:vAlign w:val="bottom"/>
          </w:tcPr>
          <w:p>
            <w:pPr>
              <w:spacing w:after="0"/>
              <w:rPr>
                <w:sz w:val="20"/>
                <w:szCs w:val="20"/>
                <w:color w:val="auto"/>
              </w:rPr>
            </w:pPr>
            <w:r>
              <w:rPr>
                <w:rFonts w:ascii="Arial" w:cs="Arial" w:eastAsia="Arial" w:hAnsi="Arial"/>
                <w:sz w:val="15"/>
                <w:szCs w:val="15"/>
                <w:i w:val="1"/>
                <w:iCs w:val="1"/>
                <w:color w:val="auto"/>
              </w:rPr>
              <w:t>Current Assets</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65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Cash</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3,036</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3,544</w:t>
            </w:r>
          </w:p>
        </w:tc>
      </w:tr>
      <w:tr>
        <w:trPr>
          <w:trHeight w:val="178"/>
        </w:trPr>
        <w:tc>
          <w:tcPr>
            <w:tcW w:w="6540" w:type="dxa"/>
            <w:vAlign w:val="bottom"/>
          </w:tcPr>
          <w:p>
            <w:pPr>
              <w:ind w:left="140"/>
              <w:spacing w:after="0"/>
              <w:rPr>
                <w:sz w:val="20"/>
                <w:szCs w:val="20"/>
                <w:color w:val="auto"/>
              </w:rPr>
            </w:pPr>
            <w:r>
              <w:rPr>
                <w:rFonts w:ascii="Arial" w:cs="Arial" w:eastAsia="Arial" w:hAnsi="Arial"/>
                <w:sz w:val="15"/>
                <w:szCs w:val="15"/>
                <w:color w:val="auto"/>
              </w:rPr>
              <w:t>Short-term investments</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1,176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1,125</w:t>
            </w:r>
          </w:p>
        </w:tc>
      </w:tr>
      <w:tr>
        <w:trPr>
          <w:trHeight w:val="178"/>
        </w:trPr>
        <w:tc>
          <w:tcPr>
            <w:tcW w:w="65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Receivables less allowance for doubtful accounts (2025 - $335; 2024 - $325)</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8,689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8,011</w:t>
            </w:r>
          </w:p>
        </w:tc>
      </w:tr>
      <w:tr>
        <w:trPr>
          <w:trHeight w:val="178"/>
        </w:trPr>
        <w:tc>
          <w:tcPr>
            <w:tcW w:w="6540" w:type="dxa"/>
            <w:vAlign w:val="bottom"/>
          </w:tcPr>
          <w:p>
            <w:pPr>
              <w:ind w:left="140"/>
              <w:spacing w:after="0"/>
              <w:rPr>
                <w:sz w:val="20"/>
                <w:szCs w:val="20"/>
                <w:color w:val="auto"/>
              </w:rPr>
            </w:pPr>
            <w:r>
              <w:rPr>
                <w:rFonts w:ascii="Arial" w:cs="Arial" w:eastAsia="Arial" w:hAnsi="Arial"/>
                <w:sz w:val="15"/>
                <w:szCs w:val="15"/>
                <w:color w:val="auto"/>
              </w:rPr>
              <w:t>Inventories</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5,032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4,375</w:t>
            </w:r>
          </w:p>
        </w:tc>
      </w:tr>
      <w:tr>
        <w:trPr>
          <w:trHeight w:val="178"/>
        </w:trPr>
        <w:tc>
          <w:tcPr>
            <w:tcW w:w="65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Other current assets</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1,580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1,515</w:t>
            </w:r>
          </w:p>
        </w:tc>
      </w:tr>
      <w:tr>
        <w:trPr>
          <w:trHeight w:val="170"/>
        </w:trPr>
        <w:tc>
          <w:tcPr>
            <w:tcW w:w="6540" w:type="dxa"/>
            <w:vAlign w:val="bottom"/>
            <w:tcBorders>
              <w:top w:val="single" w:sz="8" w:color="CFF0FC"/>
            </w:tcBorders>
          </w:tcPr>
          <w:p>
            <w:pPr>
              <w:spacing w:after="0"/>
              <w:rPr>
                <w:sz w:val="14"/>
                <w:szCs w:val="14"/>
                <w:color w:val="auto"/>
              </w:rPr>
            </w:pPr>
          </w:p>
        </w:tc>
        <w:tc>
          <w:tcPr>
            <w:tcW w:w="122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19,513</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18,570</w:t>
            </w:r>
          </w:p>
        </w:tc>
        <w:tc>
          <w:tcPr>
            <w:tcW w:w="100" w:type="dxa"/>
            <w:vAlign w:val="bottom"/>
            <w:tcBorders>
              <w:top w:val="single" w:sz="8" w:color="CFF0FC"/>
            </w:tcBorders>
          </w:tcPr>
          <w:p>
            <w:pPr>
              <w:spacing w:after="0"/>
              <w:rPr>
                <w:sz w:val="14"/>
                <w:szCs w:val="14"/>
                <w:color w:val="auto"/>
              </w:rPr>
            </w:pPr>
          </w:p>
        </w:tc>
      </w:tr>
      <w:tr>
        <w:trPr>
          <w:trHeight w:val="178"/>
        </w:trPr>
        <w:tc>
          <w:tcPr>
            <w:tcW w:w="654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Investments in Affiliated Companies</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1,783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1,635</w:t>
            </w:r>
          </w:p>
        </w:tc>
      </w:tr>
      <w:tr>
        <w:trPr>
          <w:trHeight w:val="178"/>
        </w:trPr>
        <w:tc>
          <w:tcPr>
            <w:tcW w:w="6540" w:type="dxa"/>
            <w:vAlign w:val="bottom"/>
          </w:tcPr>
          <w:p>
            <w:pPr>
              <w:spacing w:after="0"/>
              <w:rPr>
                <w:sz w:val="20"/>
                <w:szCs w:val="20"/>
                <w:color w:val="auto"/>
              </w:rPr>
            </w:pPr>
            <w:r>
              <w:rPr>
                <w:rFonts w:ascii="Arial" w:cs="Arial" w:eastAsia="Arial" w:hAnsi="Arial"/>
                <w:sz w:val="15"/>
                <w:szCs w:val="15"/>
                <w:i w:val="1"/>
                <w:iCs w:val="1"/>
                <w:color w:val="auto"/>
              </w:rPr>
              <w:t>Fixed Assets less accumulated depreciation</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7,894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7,359</w:t>
            </w:r>
          </w:p>
        </w:tc>
      </w:tr>
      <w:tr>
        <w:trPr>
          <w:trHeight w:val="178"/>
        </w:trPr>
        <w:tc>
          <w:tcPr>
            <w:tcW w:w="654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Goodwill</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16,794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14,593</w:t>
            </w:r>
          </w:p>
        </w:tc>
        <w:tc>
          <w:tcPr>
            <w:tcW w:w="100" w:type="dxa"/>
            <w:vAlign w:val="bottom"/>
            <w:shd w:val="clear" w:color="auto" w:fill="CFF0FC"/>
          </w:tcPr>
          <w:p>
            <w:pPr>
              <w:spacing w:after="0"/>
              <w:rPr>
                <w:sz w:val="15"/>
                <w:szCs w:val="15"/>
                <w:color w:val="auto"/>
              </w:rPr>
            </w:pPr>
          </w:p>
        </w:tc>
      </w:tr>
      <w:tr>
        <w:trPr>
          <w:trHeight w:val="178"/>
        </w:trPr>
        <w:tc>
          <w:tcPr>
            <w:tcW w:w="6540" w:type="dxa"/>
            <w:vAlign w:val="bottom"/>
          </w:tcPr>
          <w:p>
            <w:pPr>
              <w:spacing w:after="0"/>
              <w:rPr>
                <w:sz w:val="20"/>
                <w:szCs w:val="20"/>
                <w:color w:val="auto"/>
              </w:rPr>
            </w:pPr>
            <w:r>
              <w:rPr>
                <w:rFonts w:ascii="Arial" w:cs="Arial" w:eastAsia="Arial" w:hAnsi="Arial"/>
                <w:sz w:val="15"/>
                <w:szCs w:val="15"/>
                <w:i w:val="1"/>
                <w:iCs w:val="1"/>
                <w:color w:val="auto"/>
              </w:rPr>
              <w:t>Intangible Assets</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4,988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3,012</w:t>
            </w:r>
          </w:p>
        </w:tc>
      </w:tr>
      <w:tr>
        <w:trPr>
          <w:trHeight w:val="178"/>
        </w:trPr>
        <w:tc>
          <w:tcPr>
            <w:tcW w:w="654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Other Assets</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3,896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3,766</w:t>
            </w:r>
          </w:p>
        </w:tc>
      </w:tr>
      <w:tr>
        <w:trPr>
          <w:trHeight w:val="20"/>
        </w:trPr>
        <w:tc>
          <w:tcPr>
            <w:tcW w:w="65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6540" w:type="dxa"/>
            <w:vAlign w:val="bottom"/>
          </w:tcPr>
          <w:p>
            <w:pPr>
              <w:spacing w:after="0"/>
              <w:rPr>
                <w:sz w:val="14"/>
                <w:szCs w:val="14"/>
                <w:color w:val="auto"/>
              </w:rPr>
            </w:pPr>
          </w:p>
        </w:tc>
        <w:tc>
          <w:tcPr>
            <w:tcW w:w="1560" w:type="dxa"/>
            <w:vAlign w:val="bottom"/>
            <w:gridSpan w:val="2"/>
          </w:tcPr>
          <w:p>
            <w:pPr>
              <w:jc w:val="right"/>
              <w:ind w:right="260"/>
              <w:spacing w:after="0" w:line="171" w:lineRule="exact"/>
              <w:rPr>
                <w:sz w:val="20"/>
                <w:szCs w:val="20"/>
                <w:color w:val="auto"/>
              </w:rPr>
            </w:pPr>
            <w:r>
              <w:rPr>
                <w:rFonts w:ascii="Arial" w:cs="Arial" w:eastAsia="Arial" w:hAnsi="Arial"/>
                <w:sz w:val="15"/>
                <w:szCs w:val="15"/>
                <w:b w:val="1"/>
                <w:bCs w:val="1"/>
                <w:color w:val="auto"/>
              </w:rPr>
              <w:t>$</w:t>
            </w:r>
          </w:p>
        </w:tc>
        <w:tc>
          <w:tcPr>
            <w:tcW w:w="120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54,868</w:t>
            </w:r>
          </w:p>
        </w:tc>
        <w:tc>
          <w:tcPr>
            <w:tcW w:w="160" w:type="dxa"/>
            <w:vAlign w:val="bottom"/>
          </w:tcPr>
          <w:p>
            <w:pPr>
              <w:spacing w:after="0"/>
              <w:rPr>
                <w:sz w:val="14"/>
                <w:szCs w:val="14"/>
                <w:color w:val="auto"/>
              </w:rPr>
            </w:pPr>
          </w:p>
        </w:tc>
        <w:tc>
          <w:tcPr>
            <w:tcW w:w="40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w:t>
            </w:r>
          </w:p>
        </w:tc>
        <w:tc>
          <w:tcPr>
            <w:tcW w:w="1280" w:type="dxa"/>
            <w:vAlign w:val="bottom"/>
          </w:tcPr>
          <w:p>
            <w:pPr>
              <w:jc w:val="right"/>
              <w:spacing w:after="0" w:line="171" w:lineRule="exact"/>
              <w:rPr>
                <w:sz w:val="20"/>
                <w:szCs w:val="20"/>
                <w:color w:val="auto"/>
              </w:rPr>
            </w:pPr>
            <w:r>
              <w:rPr>
                <w:rFonts w:ascii="Arial" w:cs="Arial" w:eastAsia="Arial" w:hAnsi="Arial"/>
                <w:sz w:val="15"/>
                <w:szCs w:val="15"/>
                <w:color w:val="auto"/>
              </w:rPr>
              <w:t>48,935</w:t>
            </w:r>
          </w:p>
        </w:tc>
        <w:tc>
          <w:tcPr>
            <w:tcW w:w="100" w:type="dxa"/>
            <w:vAlign w:val="bottom"/>
          </w:tcPr>
          <w:p>
            <w:pPr>
              <w:spacing w:after="0"/>
              <w:rPr>
                <w:sz w:val="14"/>
                <w:szCs w:val="14"/>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54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i w:val="1"/>
                <w:iCs w:val="1"/>
                <w:color w:val="auto"/>
              </w:rPr>
              <w:t>LIABILITIES AND EQUITY</w:t>
            </w:r>
          </w:p>
        </w:tc>
        <w:tc>
          <w:tcPr>
            <w:tcW w:w="1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8"/>
        </w:trPr>
        <w:tc>
          <w:tcPr>
            <w:tcW w:w="6540" w:type="dxa"/>
            <w:vAlign w:val="bottom"/>
          </w:tcPr>
          <w:p>
            <w:pPr>
              <w:spacing w:after="0"/>
              <w:rPr>
                <w:sz w:val="20"/>
                <w:szCs w:val="20"/>
                <w:color w:val="auto"/>
              </w:rPr>
            </w:pPr>
            <w:r>
              <w:rPr>
                <w:rFonts w:ascii="Arial" w:cs="Arial" w:eastAsia="Arial" w:hAnsi="Arial"/>
                <w:sz w:val="15"/>
                <w:szCs w:val="15"/>
                <w:i w:val="1"/>
                <w:iCs w:val="1"/>
                <w:color w:val="auto"/>
              </w:rPr>
              <w:t>Current Liabilities</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65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Accounts payable and accrued liabilities</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11,490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10,375</w:t>
            </w:r>
          </w:p>
        </w:tc>
        <w:tc>
          <w:tcPr>
            <w:tcW w:w="100" w:type="dxa"/>
            <w:vAlign w:val="bottom"/>
            <w:shd w:val="clear" w:color="auto" w:fill="CFF0FC"/>
          </w:tcPr>
          <w:p>
            <w:pPr>
              <w:spacing w:after="0"/>
              <w:rPr>
                <w:sz w:val="15"/>
                <w:szCs w:val="15"/>
                <w:color w:val="auto"/>
              </w:rPr>
            </w:pPr>
          </w:p>
        </w:tc>
      </w:tr>
      <w:tr>
        <w:trPr>
          <w:trHeight w:val="178"/>
        </w:trPr>
        <w:tc>
          <w:tcPr>
            <w:tcW w:w="6540" w:type="dxa"/>
            <w:vAlign w:val="bottom"/>
          </w:tcPr>
          <w:p>
            <w:pPr>
              <w:ind w:left="140"/>
              <w:spacing w:after="0"/>
              <w:rPr>
                <w:sz w:val="20"/>
                <w:szCs w:val="20"/>
                <w:color w:val="auto"/>
              </w:rPr>
            </w:pPr>
            <w:r>
              <w:rPr>
                <w:rFonts w:ascii="Arial" w:cs="Arial" w:eastAsia="Arial" w:hAnsi="Arial"/>
                <w:sz w:val="15"/>
                <w:szCs w:val="15"/>
                <w:color w:val="auto"/>
              </w:rPr>
              <w:t>Estimated liability for taxes on income</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894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982</w:t>
            </w:r>
          </w:p>
        </w:tc>
      </w:tr>
      <w:tr>
        <w:trPr>
          <w:trHeight w:val="178"/>
        </w:trPr>
        <w:tc>
          <w:tcPr>
            <w:tcW w:w="65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Short-term borrowings and current portion of long-term debt</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1,894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1,051</w:t>
            </w:r>
          </w:p>
        </w:tc>
      </w:tr>
      <w:tr>
        <w:trPr>
          <w:trHeight w:val="178"/>
        </w:trPr>
        <w:tc>
          <w:tcPr>
            <w:tcW w:w="6540" w:type="dxa"/>
            <w:vAlign w:val="bottom"/>
          </w:tcPr>
          <w:p>
            <w:pPr>
              <w:ind w:left="140"/>
              <w:spacing w:after="0"/>
              <w:rPr>
                <w:sz w:val="20"/>
                <w:szCs w:val="20"/>
                <w:color w:val="auto"/>
              </w:rPr>
            </w:pPr>
            <w:r>
              <w:rPr>
                <w:rFonts w:ascii="Arial" w:cs="Arial" w:eastAsia="Arial" w:hAnsi="Arial"/>
                <w:sz w:val="15"/>
                <w:szCs w:val="15"/>
                <w:color w:val="auto"/>
              </w:rPr>
              <w:t>Dividends payable</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443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403</w:t>
            </w:r>
          </w:p>
        </w:tc>
      </w:tr>
      <w:tr>
        <w:trPr>
          <w:trHeight w:val="170"/>
        </w:trPr>
        <w:tc>
          <w:tcPr>
            <w:tcW w:w="65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14,721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12,811</w:t>
            </w:r>
          </w:p>
        </w:tc>
        <w:tc>
          <w:tcPr>
            <w:tcW w:w="100" w:type="dxa"/>
            <w:vAlign w:val="bottom"/>
            <w:shd w:val="clear" w:color="auto" w:fill="CFF0FC"/>
          </w:tcPr>
          <w:p>
            <w:pPr>
              <w:spacing w:after="0"/>
              <w:rPr>
                <w:sz w:val="14"/>
                <w:szCs w:val="14"/>
                <w:color w:val="auto"/>
              </w:rPr>
            </w:pPr>
          </w:p>
        </w:tc>
      </w:tr>
      <w:tr>
        <w:trPr>
          <w:trHeight w:val="178"/>
        </w:trPr>
        <w:tc>
          <w:tcPr>
            <w:tcW w:w="6540" w:type="dxa"/>
            <w:vAlign w:val="bottom"/>
          </w:tcPr>
          <w:p>
            <w:pPr>
              <w:spacing w:after="0"/>
              <w:rPr>
                <w:sz w:val="20"/>
                <w:szCs w:val="20"/>
                <w:color w:val="auto"/>
              </w:rPr>
            </w:pPr>
            <w:r>
              <w:rPr>
                <w:rFonts w:ascii="Arial" w:cs="Arial" w:eastAsia="Arial" w:hAnsi="Arial"/>
                <w:sz w:val="15"/>
                <w:szCs w:val="15"/>
                <w:i w:val="1"/>
                <w:iCs w:val="1"/>
                <w:color w:val="auto"/>
              </w:rPr>
              <w:t>Long-term Debt</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9,742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11,023</w:t>
            </w:r>
          </w:p>
        </w:tc>
        <w:tc>
          <w:tcPr>
            <w:tcW w:w="100" w:type="dxa"/>
            <w:vAlign w:val="bottom"/>
          </w:tcPr>
          <w:p>
            <w:pPr>
              <w:spacing w:after="0"/>
              <w:rPr>
                <w:sz w:val="15"/>
                <w:szCs w:val="15"/>
                <w:color w:val="auto"/>
              </w:rPr>
            </w:pPr>
          </w:p>
        </w:tc>
      </w:tr>
      <w:tr>
        <w:trPr>
          <w:trHeight w:val="178"/>
        </w:trPr>
        <w:tc>
          <w:tcPr>
            <w:tcW w:w="654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Postretirement Benefits</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479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512</w:t>
            </w:r>
          </w:p>
        </w:tc>
      </w:tr>
      <w:tr>
        <w:trPr>
          <w:trHeight w:val="178"/>
        </w:trPr>
        <w:tc>
          <w:tcPr>
            <w:tcW w:w="6540" w:type="dxa"/>
            <w:vAlign w:val="bottom"/>
          </w:tcPr>
          <w:p>
            <w:pPr>
              <w:spacing w:after="0"/>
              <w:rPr>
                <w:sz w:val="20"/>
                <w:szCs w:val="20"/>
                <w:color w:val="auto"/>
              </w:rPr>
            </w:pPr>
            <w:r>
              <w:rPr>
                <w:rFonts w:ascii="Arial" w:cs="Arial" w:eastAsia="Arial" w:hAnsi="Arial"/>
                <w:sz w:val="15"/>
                <w:szCs w:val="15"/>
                <w:i w:val="1"/>
                <w:iCs w:val="1"/>
                <w:color w:val="auto"/>
              </w:rPr>
              <w:t>Deferred Taxes</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644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67</w:t>
            </w:r>
          </w:p>
        </w:tc>
      </w:tr>
      <w:tr>
        <w:trPr>
          <w:trHeight w:val="178"/>
        </w:trPr>
        <w:tc>
          <w:tcPr>
            <w:tcW w:w="654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Other Liabilities</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1,991</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2,172</w:t>
            </w:r>
          </w:p>
        </w:tc>
      </w:tr>
      <w:tr>
        <w:trPr>
          <w:trHeight w:val="170"/>
        </w:trPr>
        <w:tc>
          <w:tcPr>
            <w:tcW w:w="6540" w:type="dxa"/>
            <w:vAlign w:val="bottom"/>
            <w:tcBorders>
              <w:top w:val="single" w:sz="8" w:color="CFF0FC"/>
            </w:tcBorders>
          </w:tcPr>
          <w:p>
            <w:pPr>
              <w:spacing w:after="0"/>
              <w:rPr>
                <w:sz w:val="14"/>
                <w:szCs w:val="14"/>
                <w:color w:val="auto"/>
              </w:rPr>
            </w:pPr>
          </w:p>
        </w:tc>
        <w:tc>
          <w:tcPr>
            <w:tcW w:w="122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27,577</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26,585</w:t>
            </w:r>
          </w:p>
        </w:tc>
        <w:tc>
          <w:tcPr>
            <w:tcW w:w="100" w:type="dxa"/>
            <w:vAlign w:val="bottom"/>
            <w:tcBorders>
              <w:top w:val="single" w:sz="8" w:color="CFF0FC"/>
            </w:tcBorders>
          </w:tcPr>
          <w:p>
            <w:pPr>
              <w:spacing w:after="0"/>
              <w:rPr>
                <w:sz w:val="14"/>
                <w:szCs w:val="14"/>
                <w:color w:val="auto"/>
              </w:rPr>
            </w:pPr>
          </w:p>
        </w:tc>
      </w:tr>
      <w:tr>
        <w:trPr>
          <w:trHeight w:val="170"/>
        </w:trPr>
        <w:tc>
          <w:tcPr>
            <w:tcW w:w="654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Equity</w:t>
            </w:r>
          </w:p>
        </w:tc>
        <w:tc>
          <w:tcPr>
            <w:tcW w:w="1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6540" w:type="dxa"/>
            <w:vAlign w:val="bottom"/>
          </w:tcPr>
          <w:p>
            <w:pPr>
              <w:ind w:left="140"/>
              <w:spacing w:after="0"/>
              <w:rPr>
                <w:sz w:val="20"/>
                <w:szCs w:val="20"/>
                <w:color w:val="auto"/>
              </w:rPr>
            </w:pPr>
            <w:r>
              <w:rPr>
                <w:rFonts w:ascii="Arial" w:cs="Arial" w:eastAsia="Arial" w:hAnsi="Arial"/>
                <w:sz w:val="15"/>
                <w:szCs w:val="15"/>
                <w:color w:val="auto"/>
              </w:rPr>
              <w:t>Common stock</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16,354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11,458</w:t>
            </w:r>
          </w:p>
        </w:tc>
        <w:tc>
          <w:tcPr>
            <w:tcW w:w="100" w:type="dxa"/>
            <w:vAlign w:val="bottom"/>
          </w:tcPr>
          <w:p>
            <w:pPr>
              <w:spacing w:after="0"/>
              <w:rPr>
                <w:sz w:val="15"/>
                <w:szCs w:val="15"/>
                <w:color w:val="auto"/>
              </w:rPr>
            </w:pPr>
          </w:p>
        </w:tc>
      </w:tr>
      <w:tr>
        <w:trPr>
          <w:trHeight w:val="178"/>
        </w:trPr>
        <w:tc>
          <w:tcPr>
            <w:tcW w:w="65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Treasury stock</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(3,576)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(1,773)</w:t>
            </w:r>
          </w:p>
        </w:tc>
      </w:tr>
      <w:tr>
        <w:trPr>
          <w:trHeight w:val="178"/>
        </w:trPr>
        <w:tc>
          <w:tcPr>
            <w:tcW w:w="6540" w:type="dxa"/>
            <w:vAlign w:val="bottom"/>
          </w:tcPr>
          <w:p>
            <w:pPr>
              <w:ind w:left="140"/>
              <w:spacing w:after="0"/>
              <w:rPr>
                <w:sz w:val="20"/>
                <w:szCs w:val="20"/>
                <w:color w:val="auto"/>
              </w:rPr>
            </w:pPr>
            <w:r>
              <w:rPr>
                <w:rFonts w:ascii="Arial" w:cs="Arial" w:eastAsia="Arial" w:hAnsi="Arial"/>
                <w:sz w:val="15"/>
                <w:szCs w:val="15"/>
                <w:color w:val="auto"/>
              </w:rPr>
              <w:t>Retained earnings</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18,067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16,395</w:t>
            </w:r>
          </w:p>
        </w:tc>
        <w:tc>
          <w:tcPr>
            <w:tcW w:w="100" w:type="dxa"/>
            <w:vAlign w:val="bottom"/>
          </w:tcPr>
          <w:p>
            <w:pPr>
              <w:spacing w:after="0"/>
              <w:rPr>
                <w:sz w:val="15"/>
                <w:szCs w:val="15"/>
                <w:color w:val="auto"/>
              </w:rPr>
            </w:pPr>
          </w:p>
        </w:tc>
      </w:tr>
      <w:tr>
        <w:trPr>
          <w:trHeight w:val="178"/>
        </w:trPr>
        <w:tc>
          <w:tcPr>
            <w:tcW w:w="65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Accumulated other comprehensive loss</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(4,736)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(4,950)</w:t>
            </w:r>
          </w:p>
        </w:tc>
      </w:tr>
      <w:tr>
        <w:trPr>
          <w:trHeight w:val="170"/>
        </w:trPr>
        <w:tc>
          <w:tcPr>
            <w:tcW w:w="6540" w:type="dxa"/>
            <w:vAlign w:val="bottom"/>
            <w:tcBorders>
              <w:top w:val="single" w:sz="8" w:color="CFF0FC"/>
            </w:tcBorders>
          </w:tcPr>
          <w:p>
            <w:pPr>
              <w:ind w:left="140"/>
              <w:spacing w:after="0" w:line="171" w:lineRule="exact"/>
              <w:rPr>
                <w:sz w:val="20"/>
                <w:szCs w:val="20"/>
                <w:color w:val="auto"/>
              </w:rPr>
            </w:pPr>
            <w:r>
              <w:rPr>
                <w:rFonts w:ascii="Arial" w:cs="Arial" w:eastAsia="Arial" w:hAnsi="Arial"/>
                <w:sz w:val="15"/>
                <w:szCs w:val="15"/>
                <w:color w:val="auto"/>
              </w:rPr>
              <w:t>SLB stockholders' equity</w:t>
            </w:r>
          </w:p>
        </w:tc>
        <w:tc>
          <w:tcPr>
            <w:tcW w:w="122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26,109</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21,130</w:t>
            </w:r>
          </w:p>
        </w:tc>
        <w:tc>
          <w:tcPr>
            <w:tcW w:w="100" w:type="dxa"/>
            <w:vAlign w:val="bottom"/>
            <w:tcBorders>
              <w:top w:val="single" w:sz="8" w:color="CFF0FC"/>
            </w:tcBorders>
          </w:tcPr>
          <w:p>
            <w:pPr>
              <w:spacing w:after="0"/>
              <w:rPr>
                <w:sz w:val="14"/>
                <w:szCs w:val="14"/>
                <w:color w:val="auto"/>
              </w:rPr>
            </w:pPr>
          </w:p>
        </w:tc>
      </w:tr>
      <w:tr>
        <w:trPr>
          <w:trHeight w:val="178"/>
        </w:trPr>
        <w:tc>
          <w:tcPr>
            <w:tcW w:w="6540" w:type="dxa"/>
            <w:vAlign w:val="bottom"/>
            <w:shd w:val="clear" w:color="auto" w:fill="CFF0FC"/>
          </w:tcPr>
          <w:p>
            <w:pPr>
              <w:ind w:left="140"/>
              <w:spacing w:after="0"/>
              <w:rPr>
                <w:sz w:val="20"/>
                <w:szCs w:val="20"/>
                <w:color w:val="auto"/>
              </w:rPr>
            </w:pPr>
            <w:r>
              <w:rPr>
                <w:rFonts w:ascii="Arial" w:cs="Arial" w:eastAsia="Arial" w:hAnsi="Arial"/>
                <w:sz w:val="15"/>
                <w:szCs w:val="15"/>
                <w:color w:val="auto"/>
              </w:rPr>
              <w:t>Noncontrolling interests</w:t>
            </w: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1,182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1,220</w:t>
            </w:r>
          </w:p>
        </w:tc>
      </w:tr>
      <w:tr>
        <w:trPr>
          <w:trHeight w:val="170"/>
        </w:trPr>
        <w:tc>
          <w:tcPr>
            <w:tcW w:w="6540" w:type="dxa"/>
            <w:vAlign w:val="bottom"/>
            <w:tcBorders>
              <w:top w:val="single" w:sz="8" w:color="CFF0FC"/>
            </w:tcBorders>
          </w:tcPr>
          <w:p>
            <w:pPr>
              <w:spacing w:after="0"/>
              <w:rPr>
                <w:sz w:val="14"/>
                <w:szCs w:val="14"/>
                <w:color w:val="auto"/>
              </w:rPr>
            </w:pPr>
          </w:p>
        </w:tc>
        <w:tc>
          <w:tcPr>
            <w:tcW w:w="122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27,291</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22,350</w:t>
            </w:r>
          </w:p>
        </w:tc>
        <w:tc>
          <w:tcPr>
            <w:tcW w:w="100" w:type="dxa"/>
            <w:vAlign w:val="bottom"/>
            <w:tcBorders>
              <w:top w:val="single" w:sz="8" w:color="CFF0FC"/>
            </w:tcBorders>
          </w:tcPr>
          <w:p>
            <w:pPr>
              <w:spacing w:after="0"/>
              <w:rPr>
                <w:sz w:val="14"/>
                <w:szCs w:val="14"/>
                <w:color w:val="auto"/>
              </w:rPr>
            </w:pPr>
          </w:p>
        </w:tc>
      </w:tr>
      <w:tr>
        <w:trPr>
          <w:trHeight w:val="190"/>
        </w:trPr>
        <w:tc>
          <w:tcPr>
            <w:tcW w:w="65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260"/>
              <w:spacing w:after="0" w:line="171" w:lineRule="exact"/>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54,868</w:t>
            </w:r>
          </w:p>
        </w:tc>
        <w:tc>
          <w:tcPr>
            <w:tcW w:w="1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00"/>
              <w:spacing w:after="0" w:line="171"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48,935</w:t>
            </w:r>
          </w:p>
        </w:tc>
        <w:tc>
          <w:tcPr>
            <w:tcW w:w="100" w:type="dxa"/>
            <w:vAlign w:val="bottom"/>
            <w:shd w:val="clear" w:color="auto" w:fill="CFF0FC"/>
          </w:tcPr>
          <w:p>
            <w:pPr>
              <w:spacing w:after="0"/>
              <w:rPr>
                <w:sz w:val="16"/>
                <w:szCs w:val="16"/>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5908675</wp:posOffset>
            </wp:positionH>
            <wp:positionV relativeFrom="paragraph">
              <wp:posOffset>-3271520</wp:posOffset>
            </wp:positionV>
            <wp:extent cx="647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-3271520</wp:posOffset>
            </wp:positionV>
            <wp:extent cx="647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-2586355</wp:posOffset>
            </wp:positionV>
            <wp:extent cx="647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-2586355</wp:posOffset>
            </wp:positionV>
            <wp:extent cx="647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-1191895</wp:posOffset>
            </wp:positionV>
            <wp:extent cx="647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-1191895</wp:posOffset>
            </wp:positionV>
            <wp:extent cx="647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-499110</wp:posOffset>
            </wp:positionV>
            <wp:extent cx="647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-499110</wp:posOffset>
            </wp:positionV>
            <wp:extent cx="647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-265430</wp:posOffset>
            </wp:positionV>
            <wp:extent cx="647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-265430</wp:posOffset>
            </wp:positionV>
            <wp:extent cx="647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-23495</wp:posOffset>
            </wp:positionV>
            <wp:extent cx="647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-7620</wp:posOffset>
            </wp:positionV>
            <wp:extent cx="647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the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5"/>
          <w:szCs w:val="15"/>
          <w:b w:val="1"/>
          <w:bCs w:val="1"/>
          <w:color w:val="auto"/>
        </w:rPr>
        <w:t>SLB LIMITED AND SUBSIDIARIES</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CONSOLIDATED STATEMENT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r>
      <w:tr>
        <w:trPr>
          <w:trHeight w:val="288"/>
        </w:trPr>
        <w:tc>
          <w:tcPr>
            <w:tcW w:w="69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2024</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4"/>
                <w:szCs w:val="24"/>
                <w:color w:val="auto"/>
              </w:rPr>
            </w:pPr>
          </w:p>
        </w:tc>
      </w:tr>
      <w:tr>
        <w:trPr>
          <w:trHeight w:val="145"/>
        </w:trPr>
        <w:tc>
          <w:tcPr>
            <w:tcW w:w="690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2"/>
        </w:trPr>
        <w:tc>
          <w:tcPr>
            <w:tcW w:w="6900" w:type="dxa"/>
            <w:vAlign w:val="bottom"/>
          </w:tcPr>
          <w:p>
            <w:pPr>
              <w:ind w:left="120"/>
              <w:spacing w:after="0" w:line="153" w:lineRule="exact"/>
              <w:rPr>
                <w:sz w:val="20"/>
                <w:szCs w:val="20"/>
                <w:color w:val="auto"/>
              </w:rPr>
            </w:pPr>
            <w:r>
              <w:rPr>
                <w:rFonts w:ascii="Arial" w:cs="Arial" w:eastAsia="Arial" w:hAnsi="Arial"/>
                <w:sz w:val="14"/>
                <w:szCs w:val="14"/>
                <w:color w:val="auto"/>
              </w:rPr>
              <w:t>Net income</w:t>
            </w:r>
          </w:p>
        </w:tc>
        <w:tc>
          <w:tcPr>
            <w:tcW w:w="28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3,451</w:t>
            </w:r>
          </w:p>
        </w:tc>
        <w:tc>
          <w:tcPr>
            <w:tcW w:w="280" w:type="dxa"/>
            <w:vAlign w:val="bottom"/>
          </w:tcPr>
          <w:p>
            <w:pPr>
              <w:spacing w:after="0"/>
              <w:rPr>
                <w:sz w:val="13"/>
                <w:szCs w:val="13"/>
                <w:color w:val="auto"/>
              </w:rPr>
            </w:pPr>
          </w:p>
        </w:tc>
        <w:tc>
          <w:tcPr>
            <w:tcW w:w="260" w:type="dxa"/>
            <w:vAlign w:val="bottom"/>
          </w:tcPr>
          <w:p>
            <w:pPr>
              <w:jc w:val="right"/>
              <w:ind w:right="112"/>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4,579</w:t>
            </w:r>
          </w:p>
        </w:tc>
        <w:tc>
          <w:tcPr>
            <w:tcW w:w="260" w:type="dxa"/>
            <w:vAlign w:val="bottom"/>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4,275</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2"/>
        </w:trPr>
        <w:tc>
          <w:tcPr>
            <w:tcW w:w="6900" w:type="dxa"/>
            <w:vAlign w:val="bottom"/>
          </w:tcPr>
          <w:p>
            <w:pPr>
              <w:ind w:left="320"/>
              <w:spacing w:after="0" w:line="152"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17"/>
                <w:szCs w:val="17"/>
                <w:color w:val="auto"/>
                <w:vertAlign w:val="superscript"/>
              </w:rPr>
              <w:t>(1)</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2,643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2,519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2,312</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320"/>
              <w:spacing w:after="0" w:line="153" w:lineRule="exact"/>
              <w:rPr>
                <w:sz w:val="20"/>
                <w:szCs w:val="20"/>
                <w:color w:val="auto"/>
              </w:rPr>
            </w:pPr>
            <w:r>
              <w:rPr>
                <w:rFonts w:ascii="Arial" w:cs="Arial" w:eastAsia="Arial" w:hAnsi="Arial"/>
                <w:sz w:val="14"/>
                <w:szCs w:val="14"/>
                <w:color w:val="auto"/>
              </w:rPr>
              <w:t>Impairments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331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162</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r>
      <w:tr>
        <w:trPr>
          <w:trHeight w:val="152"/>
        </w:trPr>
        <w:tc>
          <w:tcPr>
            <w:tcW w:w="6900" w:type="dxa"/>
            <w:vAlign w:val="bottom"/>
          </w:tcPr>
          <w:p>
            <w:pPr>
              <w:ind w:left="320"/>
              <w:spacing w:after="0" w:line="153" w:lineRule="exact"/>
              <w:rPr>
                <w:sz w:val="20"/>
                <w:szCs w:val="20"/>
                <w:color w:val="auto"/>
              </w:rPr>
            </w:pPr>
            <w:r>
              <w:rPr>
                <w:rFonts w:ascii="Arial" w:cs="Arial" w:eastAsia="Arial" w:hAnsi="Arial"/>
                <w:sz w:val="14"/>
                <w:szCs w:val="14"/>
                <w:color w:val="auto"/>
              </w:rPr>
              <w:t>Amortization of inventory purchase accounting adjustment</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166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320"/>
              <w:spacing w:after="0" w:line="153" w:lineRule="exact"/>
              <w:rPr>
                <w:sz w:val="20"/>
                <w:szCs w:val="20"/>
                <w:color w:val="auto"/>
              </w:rPr>
            </w:pPr>
            <w:r>
              <w:rPr>
                <w:rFonts w:ascii="Arial" w:cs="Arial" w:eastAsia="Arial" w:hAnsi="Arial"/>
                <w:sz w:val="14"/>
                <w:szCs w:val="14"/>
                <w:color w:val="auto"/>
              </w:rPr>
              <w:t>Gains on sales of investments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(36)</w:t>
            </w:r>
          </w:p>
        </w:tc>
      </w:tr>
      <w:tr>
        <w:trPr>
          <w:trHeight w:val="152"/>
        </w:trPr>
        <w:tc>
          <w:tcPr>
            <w:tcW w:w="6900" w:type="dxa"/>
            <w:vAlign w:val="bottom"/>
          </w:tcPr>
          <w:p>
            <w:pPr>
              <w:ind w:left="320"/>
              <w:spacing w:after="0" w:line="153" w:lineRule="exact"/>
              <w:rPr>
                <w:sz w:val="20"/>
                <w:szCs w:val="20"/>
                <w:color w:val="auto"/>
              </w:rPr>
            </w:pPr>
            <w:r>
              <w:rPr>
                <w:rFonts w:ascii="Arial" w:cs="Arial" w:eastAsia="Arial" w:hAnsi="Arial"/>
                <w:sz w:val="14"/>
                <w:szCs w:val="14"/>
                <w:color w:val="auto"/>
              </w:rPr>
              <w:t>Gain on sale of APS project</w:t>
            </w:r>
          </w:p>
        </w:tc>
        <w:tc>
          <w:tcPr>
            <w:tcW w:w="28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(149)</w:t>
            </w: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320"/>
              <w:spacing w:after="0" w:line="153" w:lineRule="exact"/>
              <w:rPr>
                <w:sz w:val="20"/>
                <w:szCs w:val="20"/>
                <w:color w:val="auto"/>
              </w:rPr>
            </w:pPr>
            <w:r>
              <w:rPr>
                <w:rFonts w:ascii="Arial" w:cs="Arial" w:eastAsia="Arial" w:hAnsi="Arial"/>
                <w:sz w:val="14"/>
                <w:szCs w:val="14"/>
                <w:color w:val="auto"/>
              </w:rPr>
              <w:t>Deferred taxes</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(279)</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3"/>
                <w:szCs w:val="13"/>
                <w:color w:val="auto"/>
              </w:rPr>
            </w:pPr>
          </w:p>
        </w:tc>
      </w:tr>
      <w:tr>
        <w:trPr>
          <w:trHeight w:val="152"/>
        </w:trPr>
        <w:tc>
          <w:tcPr>
            <w:tcW w:w="6900" w:type="dxa"/>
            <w:vAlign w:val="bottom"/>
          </w:tcPr>
          <w:p>
            <w:pPr>
              <w:ind w:left="320"/>
              <w:spacing w:after="0" w:line="153" w:lineRule="exact"/>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332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316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293</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320"/>
              <w:spacing w:after="0" w:line="153" w:lineRule="exact"/>
              <w:rPr>
                <w:sz w:val="20"/>
                <w:szCs w:val="20"/>
                <w:color w:val="auto"/>
              </w:rPr>
            </w:pPr>
            <w:r>
              <w:rPr>
                <w:rFonts w:ascii="Arial" w:cs="Arial" w:eastAsia="Arial" w:hAnsi="Arial"/>
                <w:sz w:val="14"/>
                <w:szCs w:val="14"/>
                <w:color w:val="auto"/>
              </w:rPr>
              <w:t>Earnings of equity method investments, less dividends received</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(59)</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(132)</w:t>
            </w:r>
          </w:p>
        </w:tc>
      </w:tr>
      <w:tr>
        <w:trPr>
          <w:trHeight w:val="152"/>
        </w:trPr>
        <w:tc>
          <w:tcPr>
            <w:tcW w:w="6900" w:type="dxa"/>
            <w:vAlign w:val="bottom"/>
          </w:tcPr>
          <w:p>
            <w:pPr>
              <w:ind w:left="120"/>
              <w:spacing w:after="0" w:line="152" w:lineRule="exact"/>
              <w:rPr>
                <w:sz w:val="20"/>
                <w:szCs w:val="20"/>
                <w:color w:val="auto"/>
              </w:rPr>
            </w:pPr>
            <w:r>
              <w:rPr>
                <w:rFonts w:ascii="Arial" w:cs="Arial" w:eastAsia="Arial" w:hAnsi="Arial"/>
                <w:sz w:val="13"/>
                <w:szCs w:val="13"/>
                <w:color w:val="auto"/>
              </w:rPr>
              <w:t xml:space="preserve">Change in assets and liabilities: </w:t>
            </w:r>
            <w:r>
              <w:rPr>
                <w:rFonts w:ascii="Arial" w:cs="Arial" w:eastAsia="Arial" w:hAnsi="Arial"/>
                <w:sz w:val="17"/>
                <w:szCs w:val="17"/>
                <w:color w:val="auto"/>
                <w:vertAlign w:val="superscript"/>
              </w:rPr>
              <w:t>(2)</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320"/>
              <w:spacing w:after="0" w:line="153" w:lineRule="exact"/>
              <w:rPr>
                <w:sz w:val="20"/>
                <w:szCs w:val="20"/>
                <w:color w:val="auto"/>
              </w:rPr>
            </w:pPr>
            <w:r>
              <w:rPr>
                <w:rFonts w:ascii="Arial" w:cs="Arial" w:eastAsia="Arial" w:hAnsi="Arial"/>
                <w:sz w:val="14"/>
                <w:szCs w:val="14"/>
                <w:color w:val="auto"/>
              </w:rPr>
              <w:t>Increase in receivables</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(75)</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(236)</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(659)</w:t>
            </w:r>
          </w:p>
        </w:tc>
      </w:tr>
      <w:tr>
        <w:trPr>
          <w:trHeight w:val="152"/>
        </w:trPr>
        <w:tc>
          <w:tcPr>
            <w:tcW w:w="6900" w:type="dxa"/>
            <w:vAlign w:val="bottom"/>
          </w:tcPr>
          <w:p>
            <w:pPr>
              <w:ind w:left="320"/>
              <w:spacing w:after="0" w:line="153" w:lineRule="exact"/>
              <w:rPr>
                <w:sz w:val="20"/>
                <w:szCs w:val="20"/>
                <w:color w:val="auto"/>
              </w:rPr>
            </w:pPr>
            <w:r>
              <w:rPr>
                <w:rFonts w:ascii="Arial" w:cs="Arial" w:eastAsia="Arial" w:hAnsi="Arial"/>
                <w:sz w:val="14"/>
                <w:szCs w:val="14"/>
                <w:color w:val="auto"/>
              </w:rPr>
              <w:t>Increase in inventories</w:t>
            </w:r>
          </w:p>
        </w:tc>
        <w:tc>
          <w:tcPr>
            <w:tcW w:w="28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(72)</w:t>
            </w: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3"/>
                <w:szCs w:val="13"/>
                <w:color w:val="auto"/>
              </w:rPr>
            </w:pPr>
          </w:p>
        </w:tc>
        <w:tc>
          <w:tcPr>
            <w:tcW w:w="12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(254)</w:t>
            </w:r>
          </w:p>
        </w:tc>
      </w:tr>
      <w:tr>
        <w:trPr>
          <w:trHeight w:val="152"/>
        </w:trPr>
        <w:tc>
          <w:tcPr>
            <w:tcW w:w="6900" w:type="dxa"/>
            <w:vAlign w:val="bottom"/>
            <w:shd w:val="clear" w:color="auto" w:fill="CFF0FC"/>
          </w:tcPr>
          <w:p>
            <w:pPr>
              <w:ind w:left="320"/>
              <w:spacing w:after="0" w:line="153" w:lineRule="exact"/>
              <w:rPr>
                <w:sz w:val="20"/>
                <w:szCs w:val="20"/>
                <w:color w:val="auto"/>
              </w:rPr>
            </w:pPr>
            <w:r>
              <w:rPr>
                <w:rFonts w:ascii="Arial" w:cs="Arial" w:eastAsia="Arial" w:hAnsi="Arial"/>
                <w:sz w:val="14"/>
                <w:szCs w:val="14"/>
                <w:color w:val="auto"/>
              </w:rPr>
              <w:t>Decrease in other current assets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10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121</w:t>
            </w:r>
          </w:p>
        </w:tc>
        <w:tc>
          <w:tcPr>
            <w:tcW w:w="100" w:type="dxa"/>
            <w:vAlign w:val="bottom"/>
            <w:shd w:val="clear" w:color="auto" w:fill="CFF0FC"/>
          </w:tcPr>
          <w:p>
            <w:pPr>
              <w:spacing w:after="0"/>
              <w:rPr>
                <w:sz w:val="13"/>
                <w:szCs w:val="13"/>
                <w:color w:val="auto"/>
              </w:rPr>
            </w:pPr>
          </w:p>
        </w:tc>
      </w:tr>
      <w:tr>
        <w:trPr>
          <w:trHeight w:val="152"/>
        </w:trPr>
        <w:tc>
          <w:tcPr>
            <w:tcW w:w="6900" w:type="dxa"/>
            <w:vAlign w:val="bottom"/>
          </w:tcPr>
          <w:p>
            <w:pPr>
              <w:ind w:left="320"/>
              <w:spacing w:after="0" w:line="153" w:lineRule="exact"/>
              <w:rPr>
                <w:sz w:val="20"/>
                <w:szCs w:val="20"/>
                <w:color w:val="auto"/>
              </w:rPr>
            </w:pPr>
            <w:r>
              <w:rPr>
                <w:rFonts w:ascii="Arial" w:cs="Arial" w:eastAsia="Arial" w:hAnsi="Arial"/>
                <w:sz w:val="14"/>
                <w:szCs w:val="14"/>
                <w:color w:val="auto"/>
              </w:rPr>
              <w:t>Decrease (increase) in other assets</w:t>
            </w:r>
          </w:p>
        </w:tc>
        <w:tc>
          <w:tcPr>
            <w:tcW w:w="28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(22)</w:t>
            </w: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(10)</w:t>
            </w:r>
          </w:p>
        </w:tc>
      </w:tr>
      <w:tr>
        <w:trPr>
          <w:trHeight w:val="152"/>
        </w:trPr>
        <w:tc>
          <w:tcPr>
            <w:tcW w:w="6900" w:type="dxa"/>
            <w:vAlign w:val="bottom"/>
            <w:shd w:val="clear" w:color="auto" w:fill="CFF0FC"/>
          </w:tcPr>
          <w:p>
            <w:pPr>
              <w:ind w:left="320"/>
              <w:spacing w:after="0" w:line="153" w:lineRule="exact"/>
              <w:rPr>
                <w:sz w:val="20"/>
                <w:szCs w:val="20"/>
                <w:color w:val="auto"/>
              </w:rPr>
            </w:pPr>
            <w:r>
              <w:rPr>
                <w:rFonts w:ascii="Arial" w:cs="Arial" w:eastAsia="Arial" w:hAnsi="Arial"/>
                <w:sz w:val="14"/>
                <w:szCs w:val="14"/>
                <w:color w:val="auto"/>
              </w:rPr>
              <w:t>Increase (decrease) in accounts payable and accrued liabilities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218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(635)</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780</w:t>
            </w:r>
          </w:p>
        </w:tc>
        <w:tc>
          <w:tcPr>
            <w:tcW w:w="100" w:type="dxa"/>
            <w:vAlign w:val="bottom"/>
            <w:shd w:val="clear" w:color="auto" w:fill="CFF0FC"/>
          </w:tcPr>
          <w:p>
            <w:pPr>
              <w:spacing w:after="0"/>
              <w:rPr>
                <w:sz w:val="13"/>
                <w:szCs w:val="13"/>
                <w:color w:val="auto"/>
              </w:rPr>
            </w:pPr>
          </w:p>
        </w:tc>
      </w:tr>
      <w:tr>
        <w:trPr>
          <w:trHeight w:val="152"/>
        </w:trPr>
        <w:tc>
          <w:tcPr>
            <w:tcW w:w="6900" w:type="dxa"/>
            <w:vAlign w:val="bottom"/>
          </w:tcPr>
          <w:p>
            <w:pPr>
              <w:ind w:left="320"/>
              <w:spacing w:after="0" w:line="153" w:lineRule="exact"/>
              <w:rPr>
                <w:sz w:val="20"/>
                <w:szCs w:val="20"/>
                <w:color w:val="auto"/>
              </w:rPr>
            </w:pPr>
            <w:r>
              <w:rPr>
                <w:rFonts w:ascii="Arial" w:cs="Arial" w:eastAsia="Arial" w:hAnsi="Arial"/>
                <w:sz w:val="14"/>
                <w:szCs w:val="14"/>
                <w:color w:val="auto"/>
              </w:rPr>
              <w:t>Decrease in estimated liability for taxes on income</w:t>
            </w:r>
          </w:p>
        </w:tc>
        <w:tc>
          <w:tcPr>
            <w:tcW w:w="28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(141)</w:t>
            </w: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3"/>
                <w:szCs w:val="13"/>
                <w:color w:val="auto"/>
              </w:rPr>
            </w:pPr>
          </w:p>
        </w:tc>
        <w:tc>
          <w:tcPr>
            <w:tcW w:w="12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(62)</w:t>
            </w:r>
          </w:p>
        </w:tc>
      </w:tr>
      <w:tr>
        <w:trPr>
          <w:trHeight w:val="152"/>
        </w:trPr>
        <w:tc>
          <w:tcPr>
            <w:tcW w:w="6900" w:type="dxa"/>
            <w:vAlign w:val="bottom"/>
            <w:shd w:val="clear" w:color="auto" w:fill="CFF0FC"/>
          </w:tcPr>
          <w:p>
            <w:pPr>
              <w:ind w:left="320"/>
              <w:spacing w:after="0" w:line="153" w:lineRule="exact"/>
              <w:rPr>
                <w:sz w:val="20"/>
                <w:szCs w:val="20"/>
                <w:color w:val="auto"/>
              </w:rPr>
            </w:pPr>
            <w:r>
              <w:rPr>
                <w:rFonts w:ascii="Arial" w:cs="Arial" w:eastAsia="Arial" w:hAnsi="Arial"/>
                <w:sz w:val="14"/>
                <w:szCs w:val="14"/>
                <w:color w:val="auto"/>
              </w:rPr>
              <w:t>Increase (decrease) in other liabilities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38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34</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(76)</w:t>
            </w:r>
          </w:p>
        </w:tc>
      </w:tr>
      <w:tr>
        <w:trPr>
          <w:trHeight w:val="152"/>
        </w:trPr>
        <w:tc>
          <w:tcPr>
            <w:tcW w:w="6900" w:type="dxa"/>
            <w:vAlign w:val="bottom"/>
          </w:tcPr>
          <w:p>
            <w:pPr>
              <w:ind w:left="320"/>
              <w:spacing w:after="0" w:line="153" w:lineRule="exact"/>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97</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3"/>
                <w:szCs w:val="13"/>
                <w:color w:val="auto"/>
              </w:rPr>
            </w:pPr>
          </w:p>
        </w:tc>
      </w:tr>
      <w:tr>
        <w:trPr>
          <w:trHeight w:val="145"/>
        </w:trPr>
        <w:tc>
          <w:tcPr>
            <w:tcW w:w="6900" w:type="dxa"/>
            <w:vAlign w:val="bottom"/>
            <w:tcBorders>
              <w:bottom w:val="single" w:sz="8" w:color="CFF0FC"/>
            </w:tcBorders>
            <w:shd w:val="clear" w:color="auto" w:fill="CFF0FC"/>
          </w:tcPr>
          <w:p>
            <w:pPr>
              <w:spacing w:after="0" w:line="145" w:lineRule="exact"/>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b w:val="1"/>
                <w:bCs w:val="1"/>
                <w:color w:val="auto"/>
              </w:rPr>
              <w:t>6,489</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color w:val="auto"/>
              </w:rPr>
              <w:t>6,602</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5" w:lineRule="exact"/>
              <w:rPr>
                <w:sz w:val="20"/>
                <w:szCs w:val="20"/>
                <w:color w:val="auto"/>
              </w:rPr>
            </w:pPr>
            <w:r>
              <w:rPr>
                <w:rFonts w:ascii="Arial" w:cs="Arial" w:eastAsia="Arial" w:hAnsi="Arial"/>
                <w:sz w:val="14"/>
                <w:szCs w:val="14"/>
                <w:color w:val="auto"/>
              </w:rPr>
              <w:t>6,637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5"/>
        </w:trPr>
        <w:tc>
          <w:tcPr>
            <w:tcW w:w="6900" w:type="dxa"/>
            <w:vAlign w:val="bottom"/>
          </w:tcPr>
          <w:p>
            <w:pPr>
              <w:spacing w:after="0" w:line="145" w:lineRule="exact"/>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(1,694)</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(1,931)</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(1,939)</w:t>
            </w: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APS investments</w:t>
            </w:r>
          </w:p>
        </w:tc>
        <w:tc>
          <w:tcPr>
            <w:tcW w:w="28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(428)</w:t>
            </w: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(483)</w:t>
            </w:r>
          </w:p>
        </w:tc>
        <w:tc>
          <w:tcPr>
            <w:tcW w:w="100" w:type="dxa"/>
            <w:vAlign w:val="bottom"/>
          </w:tcPr>
          <w:p>
            <w:pPr>
              <w:spacing w:after="0"/>
              <w:rPr>
                <w:sz w:val="13"/>
                <w:szCs w:val="13"/>
                <w:color w:val="auto"/>
              </w:rPr>
            </w:pPr>
          </w:p>
        </w:tc>
        <w:tc>
          <w:tcPr>
            <w:tcW w:w="12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(507)</w:t>
            </w: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Exploration data capitalized</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(252)</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(198)</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(153)</w:t>
            </w: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Cash acquired in ChampionX Corporation acquisition</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479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Proceeds from sale of APS project</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338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Proceeds from sale of ChampionX Drilling Technologies business</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286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Other business acquisitions and investments, net of cash acquired</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(187)</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(553)</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(242)</w:t>
            </w: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(Purchase) sale of short-term investments, net</w:t>
            </w:r>
          </w:p>
        </w:tc>
        <w:tc>
          <w:tcPr>
            <w:tcW w:w="28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(33)</w:t>
            </w: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117</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Purchases of Blue Chip Swap securities</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(224)</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(207)</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(185)</w:t>
            </w: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Proceeds from sales of Blue Chip Swap securities</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194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152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Proceeds from sale of Liberty shares</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137</w:t>
            </w:r>
          </w:p>
        </w:tc>
        <w:tc>
          <w:tcPr>
            <w:tcW w:w="100" w:type="dxa"/>
            <w:vAlign w:val="bottom"/>
            <w:shd w:val="clear" w:color="auto" w:fill="CFF0FC"/>
          </w:tcPr>
          <w:p>
            <w:pPr>
              <w:spacing w:after="0"/>
              <w:rPr>
                <w:sz w:val="13"/>
                <w:szCs w:val="13"/>
                <w:color w:val="auto"/>
              </w:rPr>
            </w:pP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Other</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109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107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(108)</w:t>
            </w:r>
          </w:p>
        </w:tc>
      </w:tr>
      <w:tr>
        <w:trPr>
          <w:trHeight w:val="20"/>
        </w:trPr>
        <w:tc>
          <w:tcPr>
            <w:tcW w:w="6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690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NET CASH USED IN INVESTING ACTIVITIES</w:t>
            </w:r>
          </w:p>
        </w:tc>
        <w:tc>
          <w:tcPr>
            <w:tcW w:w="2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4"/>
                <w:szCs w:val="14"/>
                <w:b w:val="1"/>
                <w:bCs w:val="1"/>
                <w:color w:val="auto"/>
              </w:rPr>
              <w:t>(1,412)</w:t>
            </w:r>
          </w:p>
        </w:tc>
        <w:tc>
          <w:tcPr>
            <w:tcW w:w="2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4"/>
                <w:szCs w:val="14"/>
                <w:color w:val="auto"/>
              </w:rPr>
              <w:t>(3,145)</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line="145" w:lineRule="exact"/>
              <w:rPr>
                <w:sz w:val="20"/>
                <w:szCs w:val="20"/>
                <w:color w:val="auto"/>
              </w:rPr>
            </w:pPr>
            <w:r>
              <w:rPr>
                <w:rFonts w:ascii="Arial" w:cs="Arial" w:eastAsia="Arial" w:hAnsi="Arial"/>
                <w:sz w:val="14"/>
                <w:szCs w:val="14"/>
                <w:color w:val="auto"/>
              </w:rPr>
              <w:t>(2,783)</w:t>
            </w:r>
          </w:p>
        </w:tc>
      </w:tr>
      <w:tr>
        <w:trPr>
          <w:trHeight w:val="145"/>
        </w:trPr>
        <w:tc>
          <w:tcPr>
            <w:tcW w:w="6900" w:type="dxa"/>
            <w:vAlign w:val="bottom"/>
            <w:tcBorders>
              <w:top w:val="single" w:sz="8" w:color="CFF0FC"/>
            </w:tcBorders>
          </w:tcPr>
          <w:p>
            <w:pPr>
              <w:spacing w:after="0" w:line="145" w:lineRule="exact"/>
              <w:rPr>
                <w:sz w:val="20"/>
                <w:szCs w:val="20"/>
                <w:color w:val="auto"/>
              </w:rPr>
            </w:pPr>
            <w:r>
              <w:rPr>
                <w:rFonts w:ascii="Arial" w:cs="Arial" w:eastAsia="Arial" w:hAnsi="Arial"/>
                <w:sz w:val="14"/>
                <w:szCs w:val="14"/>
                <w:color w:val="auto"/>
              </w:rPr>
              <w:t>Cash flows from financing activities: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Dividends paid</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(1,602)</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(1,533)</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(1,317)</w:t>
            </w: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Stock repurchase program</w:t>
            </w:r>
          </w:p>
        </w:tc>
        <w:tc>
          <w:tcPr>
            <w:tcW w:w="28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(2,414)</w:t>
            </w: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(1,737)</w:t>
            </w:r>
          </w:p>
        </w:tc>
        <w:tc>
          <w:tcPr>
            <w:tcW w:w="100" w:type="dxa"/>
            <w:vAlign w:val="bottom"/>
          </w:tcPr>
          <w:p>
            <w:pPr>
              <w:spacing w:after="0"/>
              <w:rPr>
                <w:sz w:val="13"/>
                <w:szCs w:val="13"/>
                <w:color w:val="auto"/>
              </w:rPr>
            </w:pPr>
          </w:p>
        </w:tc>
        <w:tc>
          <w:tcPr>
            <w:tcW w:w="12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(694)</w:t>
            </w: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Proceeds from employee stock purchase plan</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222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219</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191</w:t>
            </w:r>
          </w:p>
        </w:tc>
        <w:tc>
          <w:tcPr>
            <w:tcW w:w="100" w:type="dxa"/>
            <w:vAlign w:val="bottom"/>
            <w:shd w:val="clear" w:color="auto" w:fill="CFF0FC"/>
          </w:tcPr>
          <w:p>
            <w:pPr>
              <w:spacing w:after="0"/>
              <w:rPr>
                <w:sz w:val="13"/>
                <w:szCs w:val="13"/>
                <w:color w:val="auto"/>
              </w:rPr>
            </w:pP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29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Taxes paid on net-settled stock-based compensation awards</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(61)</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(90)</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(169)</w:t>
            </w: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Proceeds from issuance of long-term debt</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1,475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994</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Repayment of long-term debt</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(1,597)</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(955)</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(1,578)</w:t>
            </w:r>
          </w:p>
        </w:tc>
      </w:tr>
      <w:tr>
        <w:trPr>
          <w:trHeight w:val="152"/>
        </w:trPr>
        <w:tc>
          <w:tcPr>
            <w:tcW w:w="6900" w:type="dxa"/>
            <w:vAlign w:val="bottom"/>
          </w:tcPr>
          <w:p>
            <w:pPr>
              <w:ind w:left="200"/>
              <w:spacing w:after="0" w:line="153" w:lineRule="exact"/>
              <w:rPr>
                <w:sz w:val="20"/>
                <w:szCs w:val="20"/>
                <w:color w:val="auto"/>
              </w:rPr>
            </w:pPr>
            <w:r>
              <w:rPr>
                <w:rFonts w:ascii="Arial" w:cs="Arial" w:eastAsia="Arial" w:hAnsi="Arial"/>
                <w:sz w:val="14"/>
                <w:szCs w:val="14"/>
                <w:color w:val="auto"/>
              </w:rPr>
              <w:t>Net (decrease) increase in short-term borrowings</w:t>
            </w:r>
          </w:p>
        </w:tc>
        <w:tc>
          <w:tcPr>
            <w:tcW w:w="28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r>
      <w:tr>
        <w:trPr>
          <w:trHeight w:val="152"/>
        </w:trPr>
        <w:tc>
          <w:tcPr>
            <w:tcW w:w="69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Other</w:t>
            </w: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b w:val="1"/>
                <w:bCs w:val="1"/>
                <w:color w:val="auto"/>
              </w:rPr>
              <w:t>(178)</w:t>
            </w:r>
          </w:p>
        </w:tc>
        <w:tc>
          <w:tcPr>
            <w:tcW w:w="2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(65)</w:t>
            </w: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(31)</w:t>
            </w:r>
          </w:p>
        </w:tc>
      </w:tr>
      <w:tr>
        <w:trPr>
          <w:trHeight w:val="20"/>
        </w:trPr>
        <w:tc>
          <w:tcPr>
            <w:tcW w:w="6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5"/>
        </w:trPr>
        <w:tc>
          <w:tcPr>
            <w:tcW w:w="6900" w:type="dxa"/>
            <w:vAlign w:val="bottom"/>
          </w:tcPr>
          <w:p>
            <w:pPr>
              <w:spacing w:after="0" w:line="145" w:lineRule="exact"/>
              <w:rPr>
                <w:sz w:val="20"/>
                <w:szCs w:val="20"/>
                <w:color w:val="auto"/>
              </w:rPr>
            </w:pPr>
            <w:r>
              <w:rPr>
                <w:rFonts w:ascii="Arial" w:cs="Arial" w:eastAsia="Arial" w:hAnsi="Arial"/>
                <w:sz w:val="14"/>
                <w:szCs w:val="14"/>
                <w:color w:val="auto"/>
              </w:rPr>
              <w:t>NET CASH USED IN FINANCING ACTIVITIES</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(5,642)</w:t>
            </w:r>
          </w:p>
        </w:tc>
        <w:tc>
          <w:tcPr>
            <w:tcW w:w="260" w:type="dxa"/>
            <w:vAlign w:val="bottom"/>
          </w:tcPr>
          <w:p>
            <w:pPr>
              <w:spacing w:after="0"/>
              <w:rPr>
                <w:sz w:val="12"/>
                <w:szCs w:val="12"/>
                <w:color w:val="auto"/>
              </w:rPr>
            </w:pPr>
          </w:p>
        </w:tc>
        <w:tc>
          <w:tcPr>
            <w:tcW w:w="12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(2,772)</w:t>
            </w:r>
          </w:p>
        </w:tc>
        <w:tc>
          <w:tcPr>
            <w:tcW w:w="100" w:type="dxa"/>
            <w:vAlign w:val="bottom"/>
          </w:tcPr>
          <w:p>
            <w:pPr>
              <w:spacing w:after="0"/>
              <w:rPr>
                <w:sz w:val="12"/>
                <w:szCs w:val="12"/>
                <w:color w:val="auto"/>
              </w:rPr>
            </w:pPr>
          </w:p>
        </w:tc>
        <w:tc>
          <w:tcPr>
            <w:tcW w:w="12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(2,512)</w:t>
            </w:r>
          </w:p>
        </w:tc>
      </w:tr>
      <w:tr>
        <w:trPr>
          <w:trHeight w:val="20"/>
        </w:trPr>
        <w:tc>
          <w:tcPr>
            <w:tcW w:w="6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690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Net (decrease) increase in cash before translation effect</w:t>
            </w:r>
          </w:p>
        </w:tc>
        <w:tc>
          <w:tcPr>
            <w:tcW w:w="2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20"/>
              <w:spacing w:after="0" w:line="145" w:lineRule="exact"/>
              <w:rPr>
                <w:sz w:val="20"/>
                <w:szCs w:val="20"/>
                <w:color w:val="auto"/>
              </w:rPr>
            </w:pPr>
            <w:r>
              <w:rPr>
                <w:rFonts w:ascii="Arial" w:cs="Arial" w:eastAsia="Arial" w:hAnsi="Arial"/>
                <w:sz w:val="14"/>
                <w:szCs w:val="14"/>
                <w:b w:val="1"/>
                <w:bCs w:val="1"/>
                <w:color w:val="auto"/>
              </w:rPr>
              <w:t>(565)</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5" w:lineRule="exact"/>
              <w:rPr>
                <w:sz w:val="20"/>
                <w:szCs w:val="20"/>
                <w:color w:val="auto"/>
              </w:rPr>
            </w:pPr>
            <w:r>
              <w:rPr>
                <w:rFonts w:ascii="Arial" w:cs="Arial" w:eastAsia="Arial" w:hAnsi="Arial"/>
                <w:sz w:val="14"/>
                <w:szCs w:val="14"/>
                <w:color w:val="auto"/>
              </w:rPr>
              <w:t>685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5" w:lineRule="exact"/>
              <w:rPr>
                <w:sz w:val="20"/>
                <w:szCs w:val="20"/>
                <w:color w:val="auto"/>
              </w:rPr>
            </w:pPr>
            <w:r>
              <w:rPr>
                <w:rFonts w:ascii="Arial" w:cs="Arial" w:eastAsia="Arial" w:hAnsi="Arial"/>
                <w:sz w:val="14"/>
                <w:szCs w:val="14"/>
                <w:color w:val="auto"/>
              </w:rPr>
              <w:t>1,342</w:t>
            </w:r>
          </w:p>
        </w:tc>
        <w:tc>
          <w:tcPr>
            <w:tcW w:w="100" w:type="dxa"/>
            <w:vAlign w:val="bottom"/>
            <w:shd w:val="clear" w:color="auto" w:fill="CFF0FC"/>
          </w:tcPr>
          <w:p>
            <w:pPr>
              <w:spacing w:after="0"/>
              <w:rPr>
                <w:sz w:val="12"/>
                <w:szCs w:val="12"/>
                <w:color w:val="auto"/>
              </w:rPr>
            </w:pPr>
          </w:p>
        </w:tc>
      </w:tr>
      <w:tr>
        <w:trPr>
          <w:trHeight w:val="152"/>
        </w:trPr>
        <w:tc>
          <w:tcPr>
            <w:tcW w:w="6900" w:type="dxa"/>
            <w:vAlign w:val="bottom"/>
          </w:tcPr>
          <w:p>
            <w:pPr>
              <w:spacing w:after="0" w:line="153" w:lineRule="exact"/>
              <w:rPr>
                <w:sz w:val="20"/>
                <w:szCs w:val="20"/>
                <w:color w:val="auto"/>
              </w:rPr>
            </w:pPr>
            <w:r>
              <w:rPr>
                <w:rFonts w:ascii="Arial" w:cs="Arial" w:eastAsia="Arial" w:hAnsi="Arial"/>
                <w:sz w:val="14"/>
                <w:szCs w:val="14"/>
                <w:color w:val="auto"/>
              </w:rPr>
              <w:t>Impact of changes in exchange rates on cash</w:t>
            </w:r>
          </w:p>
        </w:tc>
        <w:tc>
          <w:tcPr>
            <w:tcW w:w="2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57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3"/>
                <w:szCs w:val="13"/>
                <w:color w:val="auto"/>
              </w:rPr>
            </w:pPr>
          </w:p>
        </w:tc>
        <w:tc>
          <w:tcPr>
            <w:tcW w:w="12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(97)</w:t>
            </w:r>
          </w:p>
        </w:tc>
      </w:tr>
      <w:tr>
        <w:trPr>
          <w:trHeight w:val="152"/>
        </w:trPr>
        <w:tc>
          <w:tcPr>
            <w:tcW w:w="6900" w:type="dxa"/>
            <w:vAlign w:val="bottom"/>
            <w:tcBorders>
              <w:bottom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Cash, beginning of period</w:t>
            </w: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3,544</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2,900</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1,655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45"/>
        </w:trPr>
        <w:tc>
          <w:tcPr>
            <w:tcW w:w="6900" w:type="dxa"/>
            <w:vAlign w:val="bottom"/>
          </w:tcPr>
          <w:p>
            <w:pPr>
              <w:spacing w:after="0" w:line="145" w:lineRule="exact"/>
              <w:rPr>
                <w:sz w:val="20"/>
                <w:szCs w:val="20"/>
                <w:color w:val="auto"/>
              </w:rPr>
            </w:pPr>
            <w:r>
              <w:rPr>
                <w:rFonts w:ascii="Arial" w:cs="Arial" w:eastAsia="Arial" w:hAnsi="Arial"/>
                <w:sz w:val="14"/>
                <w:szCs w:val="14"/>
                <w:color w:val="auto"/>
              </w:rPr>
              <w:t>Cash, end of period</w:t>
            </w:r>
          </w:p>
        </w:tc>
        <w:tc>
          <w:tcPr>
            <w:tcW w:w="280" w:type="dxa"/>
            <w:vAlign w:val="bottom"/>
            <w:tcBorders>
              <w:bottom w:val="single" w:sz="8" w:color="auto"/>
            </w:tcBorders>
          </w:tcPr>
          <w:p>
            <w:pPr>
              <w:jc w:val="right"/>
              <w:ind w:right="132"/>
              <w:spacing w:after="0" w:line="133"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3,036</w:t>
            </w:r>
          </w:p>
        </w:tc>
        <w:tc>
          <w:tcPr>
            <w:tcW w:w="280" w:type="dxa"/>
            <w:vAlign w:val="bottom"/>
          </w:tcPr>
          <w:p>
            <w:pPr>
              <w:spacing w:after="0"/>
              <w:rPr>
                <w:sz w:val="12"/>
                <w:szCs w:val="12"/>
                <w:color w:val="auto"/>
              </w:rPr>
            </w:pPr>
          </w:p>
        </w:tc>
        <w:tc>
          <w:tcPr>
            <w:tcW w:w="260" w:type="dxa"/>
            <w:vAlign w:val="bottom"/>
            <w:tcBorders>
              <w:bottom w:val="single" w:sz="8" w:color="auto"/>
            </w:tcBorders>
          </w:tcPr>
          <w:p>
            <w:pPr>
              <w:jc w:val="right"/>
              <w:ind w:right="112"/>
              <w:spacing w:after="0" w:line="13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3,544</w:t>
            </w:r>
          </w:p>
        </w:tc>
        <w:tc>
          <w:tcPr>
            <w:tcW w:w="2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color w:val="auto"/>
              </w:rPr>
              <w:t>2,900</w:t>
            </w:r>
          </w:p>
        </w:tc>
        <w:tc>
          <w:tcPr>
            <w:tcW w:w="100" w:type="dxa"/>
            <w:vAlign w:val="bottom"/>
          </w:tcPr>
          <w:p>
            <w:pPr>
              <w:spacing w:after="0"/>
              <w:rPr>
                <w:sz w:val="12"/>
                <w:szCs w:val="12"/>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-2876550</wp:posOffset>
            </wp:positionV>
            <wp:extent cx="723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-2876550</wp:posOffset>
            </wp:positionV>
            <wp:extent cx="723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-2876550</wp:posOffset>
            </wp:positionV>
            <wp:extent cx="647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-1506220</wp:posOffset>
            </wp:positionV>
            <wp:extent cx="723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-1506220</wp:posOffset>
            </wp:positionV>
            <wp:extent cx="723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-1506220</wp:posOffset>
            </wp:positionV>
            <wp:extent cx="647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-531495</wp:posOffset>
            </wp:positionV>
            <wp:extent cx="723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-531495</wp:posOffset>
            </wp:positionV>
            <wp:extent cx="723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-531495</wp:posOffset>
            </wp:positionV>
            <wp:extent cx="647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-128270</wp:posOffset>
            </wp:positionV>
            <wp:extent cx="723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-128270</wp:posOffset>
            </wp:positionV>
            <wp:extent cx="723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-128270</wp:posOffset>
            </wp:positionV>
            <wp:extent cx="647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20" w:lineRule="exact"/>
        <w:rPr>
          <w:sz w:val="20"/>
          <w:szCs w:val="20"/>
          <w:color w:val="auto"/>
        </w:rPr>
      </w:pPr>
    </w:p>
    <w:p>
      <w:pPr>
        <w:ind w:left="380" w:hanging="378"/>
        <w:spacing w:after="0"/>
        <w:tabs>
          <w:tab w:leader="none" w:pos="38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67" w:lineRule="exact"/>
        <w:rPr>
          <w:rFonts w:ascii="Arial" w:cs="Arial" w:eastAsia="Arial" w:hAnsi="Arial"/>
          <w:sz w:val="18"/>
          <w:szCs w:val="18"/>
          <w:color w:val="auto"/>
          <w:vertAlign w:val="superscript"/>
        </w:rPr>
      </w:pPr>
    </w:p>
    <w:p>
      <w:pPr>
        <w:ind w:left="380" w:hanging="378"/>
        <w:spacing w:after="0" w:line="231" w:lineRule="auto"/>
        <w:tabs>
          <w:tab w:leader="none" w:pos="38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Net of the effect of business acquisitions and divestitures.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the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15"/>
          <w:szCs w:val="15"/>
          <w:b w:val="1"/>
          <w:bCs w:val="1"/>
          <w:color w:val="auto"/>
        </w:rPr>
        <w:t>SLB LIMITED AND SUBSIDIARIES</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CONSOLIDATED STATEMENT OF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2"/>
                <w:szCs w:val="12"/>
                <w:i w:val="1"/>
                <w:iCs w:val="1"/>
                <w:color w:val="auto"/>
              </w:rPr>
              <w:t>(Stated in millions)</w:t>
            </w:r>
          </w:p>
        </w:tc>
        <w:tc>
          <w:tcPr>
            <w:tcW w:w="0" w:type="dxa"/>
            <w:vAlign w:val="bottom"/>
          </w:tcPr>
          <w:p>
            <w:pPr>
              <w:spacing w:after="0"/>
              <w:rPr>
                <w:sz w:val="1"/>
                <w:szCs w:val="1"/>
                <w:color w:val="auto"/>
              </w:rPr>
            </w:pPr>
          </w:p>
        </w:tc>
      </w:tr>
      <w:tr>
        <w:trPr>
          <w:trHeight w:val="97"/>
        </w:trPr>
        <w:tc>
          <w:tcPr>
            <w:tcW w:w="4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6"/>
            <w:vMerge w:val="restart"/>
          </w:tcPr>
          <w:p>
            <w:pPr>
              <w:jc w:val="right"/>
              <w:ind w:right="7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320"/>
              <w:spacing w:after="0" w:line="132"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1"/>
                <w:szCs w:val="11"/>
                <w:color w:val="auto"/>
              </w:rPr>
            </w:pPr>
          </w:p>
        </w:tc>
        <w:tc>
          <w:tcPr>
            <w:tcW w:w="102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99"/>
              </w:rPr>
              <w:t>Comprehensive</w:t>
            </w:r>
          </w:p>
        </w:tc>
        <w:tc>
          <w:tcPr>
            <w:tcW w:w="80" w:type="dxa"/>
            <w:vAlign w:val="bottom"/>
          </w:tcPr>
          <w:p>
            <w:pPr>
              <w:spacing w:after="0"/>
              <w:rPr>
                <w:sz w:val="11"/>
                <w:szCs w:val="11"/>
                <w:color w:val="auto"/>
              </w:rPr>
            </w:pPr>
          </w:p>
        </w:tc>
        <w:tc>
          <w:tcPr>
            <w:tcW w:w="1020" w:type="dxa"/>
            <w:vAlign w:val="bottom"/>
            <w:gridSpan w:val="3"/>
          </w:tcPr>
          <w:p>
            <w:pPr>
              <w:jc w:val="right"/>
              <w:ind w:right="140"/>
              <w:spacing w:after="0" w:line="132"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7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01"/>
              <w:spacing w:after="0" w:line="120" w:lineRule="exact"/>
              <w:rPr>
                <w:sz w:val="20"/>
                <w:szCs w:val="20"/>
                <w:color w:val="auto"/>
              </w:rPr>
            </w:pPr>
            <w:r>
              <w:rPr>
                <w:rFonts w:ascii="Arial" w:cs="Arial" w:eastAsia="Arial" w:hAnsi="Arial"/>
                <w:sz w:val="12"/>
                <w:szCs w:val="12"/>
                <w:b w:val="1"/>
                <w:bCs w:val="1"/>
                <w:color w:val="auto"/>
              </w:rPr>
              <w:t>Issued</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81"/>
              <w:spacing w:after="0" w:line="120" w:lineRule="exact"/>
              <w:rPr>
                <w:sz w:val="20"/>
                <w:szCs w:val="20"/>
                <w:color w:val="auto"/>
              </w:rPr>
            </w:pPr>
            <w:r>
              <w:rPr>
                <w:rFonts w:ascii="Arial" w:cs="Arial" w:eastAsia="Arial" w:hAnsi="Arial"/>
                <w:sz w:val="12"/>
                <w:szCs w:val="12"/>
                <w:b w:val="1"/>
                <w:bCs w:val="1"/>
                <w:color w:val="auto"/>
                <w:w w:val="98"/>
              </w:rPr>
              <w:t>In Treasury</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41"/>
              <w:spacing w:after="0" w:line="120" w:lineRule="exact"/>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21"/>
              <w:spacing w:after="0" w:line="120" w:lineRule="exact"/>
              <w:rPr>
                <w:sz w:val="20"/>
                <w:szCs w:val="20"/>
                <w:color w:val="auto"/>
              </w:rPr>
            </w:pPr>
            <w:r>
              <w:rPr>
                <w:rFonts w:ascii="Arial" w:cs="Arial" w:eastAsia="Arial" w:hAnsi="Arial"/>
                <w:sz w:val="12"/>
                <w:szCs w:val="12"/>
                <w:b w:val="1"/>
                <w:bCs w:val="1"/>
                <w:color w:val="auto"/>
                <w:w w:val="92"/>
              </w:rPr>
              <w:t>Loss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41"/>
              <w:spacing w:after="0" w:line="120" w:lineRule="exact"/>
              <w:rPr>
                <w:sz w:val="20"/>
                <w:szCs w:val="20"/>
                <w:color w:val="auto"/>
              </w:rPr>
            </w:pPr>
            <w:r>
              <w:rPr>
                <w:rFonts w:ascii="Arial" w:cs="Arial" w:eastAsia="Arial" w:hAnsi="Arial"/>
                <w:sz w:val="12"/>
                <w:szCs w:val="12"/>
                <w:b w:val="1"/>
                <w:bCs w:val="1"/>
                <w:color w:val="auto"/>
              </w:rPr>
              <w:t>Interests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1"/>
              <w:spacing w:after="0" w:line="120"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720" w:type="dxa"/>
            <w:vAlign w:val="bottom"/>
            <w:shd w:val="clear" w:color="auto" w:fill="CFF0FC"/>
          </w:tcPr>
          <w:p>
            <w:pPr>
              <w:spacing w:after="0" w:line="120" w:lineRule="exact"/>
              <w:rPr>
                <w:sz w:val="20"/>
                <w:szCs w:val="20"/>
                <w:color w:val="auto"/>
              </w:rPr>
            </w:pPr>
            <w:r>
              <w:rPr>
                <w:rFonts w:ascii="Arial" w:cs="Arial" w:eastAsia="Arial" w:hAnsi="Arial"/>
                <w:sz w:val="12"/>
                <w:szCs w:val="12"/>
                <w:color w:val="auto"/>
              </w:rPr>
              <w:t>Balance, January 1, 2023</w:t>
            </w: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line="120" w:lineRule="exact"/>
              <w:rPr>
                <w:sz w:val="20"/>
                <w:szCs w:val="20"/>
                <w:color w:val="auto"/>
              </w:rPr>
            </w:pPr>
            <w:r>
              <w:rPr>
                <w:rFonts w:ascii="Arial" w:cs="Arial" w:eastAsia="Arial" w:hAnsi="Arial"/>
                <w:sz w:val="12"/>
                <w:szCs w:val="12"/>
                <w:color w:val="auto"/>
              </w:rPr>
              <w:t>11,837</w:t>
            </w: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80"/>
              <w:spacing w:after="0" w:line="120" w:lineRule="exact"/>
              <w:rPr>
                <w:sz w:val="20"/>
                <w:szCs w:val="20"/>
                <w:color w:val="auto"/>
              </w:rPr>
            </w:pPr>
            <w:r>
              <w:rPr>
                <w:rFonts w:ascii="Arial" w:cs="Arial" w:eastAsia="Arial" w:hAnsi="Arial"/>
                <w:sz w:val="12"/>
                <w:szCs w:val="12"/>
                <w:color w:val="auto"/>
              </w:rPr>
              <w:t>(1,016)</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FF0FC"/>
          </w:tcPr>
          <w:p>
            <w:pPr>
              <w:jc w:val="right"/>
              <w:spacing w:after="0" w:line="120" w:lineRule="exact"/>
              <w:rPr>
                <w:sz w:val="20"/>
                <w:szCs w:val="20"/>
                <w:color w:val="auto"/>
              </w:rPr>
            </w:pPr>
            <w:r>
              <w:rPr>
                <w:rFonts w:ascii="Arial" w:cs="Arial" w:eastAsia="Arial" w:hAnsi="Arial"/>
                <w:sz w:val="12"/>
                <w:szCs w:val="12"/>
                <w:color w:val="auto"/>
              </w:rPr>
              <w:t>10,719</w:t>
            </w:r>
          </w:p>
        </w:tc>
        <w:tc>
          <w:tcPr>
            <w:tcW w:w="120" w:type="dxa"/>
            <w:vAlign w:val="bottom"/>
            <w:shd w:val="clear" w:color="auto" w:fill="CFF0FC"/>
          </w:tcPr>
          <w:p>
            <w:pPr>
              <w:spacing w:after="0"/>
              <w:rPr>
                <w:sz w:val="10"/>
                <w:szCs w:val="10"/>
                <w:color w:val="auto"/>
              </w:rPr>
            </w:pPr>
          </w:p>
        </w:tc>
        <w:tc>
          <w:tcPr>
            <w:tcW w:w="160" w:type="dxa"/>
            <w:vAlign w:val="bottom"/>
            <w:gridSpan w:val="2"/>
            <w:shd w:val="clear" w:color="auto" w:fill="CFF0FC"/>
          </w:tcPr>
          <w:p>
            <w:pPr>
              <w:jc w:val="right"/>
              <w:spacing w:after="0" w:line="120"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80"/>
              <w:spacing w:after="0" w:line="120" w:lineRule="exact"/>
              <w:rPr>
                <w:sz w:val="20"/>
                <w:szCs w:val="20"/>
                <w:color w:val="auto"/>
              </w:rPr>
            </w:pPr>
            <w:r>
              <w:rPr>
                <w:rFonts w:ascii="Arial" w:cs="Arial" w:eastAsia="Arial" w:hAnsi="Arial"/>
                <w:sz w:val="12"/>
                <w:szCs w:val="12"/>
                <w:color w:val="auto"/>
              </w:rPr>
              <w:t>(3,855)</w:t>
            </w:r>
          </w:p>
        </w:tc>
        <w:tc>
          <w:tcPr>
            <w:tcW w:w="220" w:type="dxa"/>
            <w:vAlign w:val="bottom"/>
            <w:gridSpan w:val="2"/>
            <w:shd w:val="clear" w:color="auto" w:fill="CFF0FC"/>
          </w:tcPr>
          <w:p>
            <w:pPr>
              <w:jc w:val="right"/>
              <w:ind w:right="1"/>
              <w:spacing w:after="0" w:line="120" w:lineRule="exact"/>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line="120" w:lineRule="exact"/>
              <w:rPr>
                <w:sz w:val="20"/>
                <w:szCs w:val="20"/>
                <w:color w:val="auto"/>
              </w:rPr>
            </w:pPr>
            <w:r>
              <w:rPr>
                <w:rFonts w:ascii="Arial" w:cs="Arial" w:eastAsia="Arial" w:hAnsi="Arial"/>
                <w:sz w:val="12"/>
                <w:szCs w:val="12"/>
                <w:color w:val="auto"/>
              </w:rPr>
              <w:t>304</w:t>
            </w:r>
          </w:p>
        </w:tc>
        <w:tc>
          <w:tcPr>
            <w:tcW w:w="120" w:type="dxa"/>
            <w:vAlign w:val="bottom"/>
            <w:shd w:val="clear" w:color="auto" w:fill="CFF0FC"/>
          </w:tcPr>
          <w:p>
            <w:pPr>
              <w:spacing w:after="0"/>
              <w:rPr>
                <w:sz w:val="10"/>
                <w:szCs w:val="10"/>
                <w:color w:val="auto"/>
              </w:rPr>
            </w:pPr>
          </w:p>
        </w:tc>
        <w:tc>
          <w:tcPr>
            <w:tcW w:w="300" w:type="dxa"/>
            <w:vAlign w:val="bottom"/>
            <w:gridSpan w:val="2"/>
            <w:shd w:val="clear" w:color="auto" w:fill="CFF0FC"/>
          </w:tcPr>
          <w:p>
            <w:pPr>
              <w:jc w:val="right"/>
              <w:ind w:right="93"/>
              <w:spacing w:after="0" w:line="120" w:lineRule="exact"/>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line="120" w:lineRule="exact"/>
              <w:rPr>
                <w:sz w:val="20"/>
                <w:szCs w:val="20"/>
                <w:color w:val="auto"/>
              </w:rPr>
            </w:pPr>
            <w:r>
              <w:rPr>
                <w:rFonts w:ascii="Arial" w:cs="Arial" w:eastAsia="Arial" w:hAnsi="Arial"/>
                <w:sz w:val="12"/>
                <w:szCs w:val="12"/>
                <w:color w:val="auto"/>
              </w:rPr>
              <w:t>17,989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Net income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Arial" w:cs="Arial" w:eastAsia="Arial" w:hAnsi="Arial"/>
                <w:sz w:val="12"/>
                <w:szCs w:val="12"/>
                <w:color w:val="auto"/>
              </w:rPr>
              <w:t>4,203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Arial" w:cs="Arial" w:eastAsia="Arial" w:hAnsi="Arial"/>
                <w:sz w:val="12"/>
                <w:szCs w:val="12"/>
                <w:color w:val="auto"/>
              </w:rPr>
              <w:t>72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4,275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Currency translation adjustments</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(113)</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Changes in fair value of cash flow hedges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7" w:lineRule="exact"/>
              <w:rPr>
                <w:sz w:val="20"/>
                <w:szCs w:val="20"/>
                <w:color w:val="auto"/>
              </w:rPr>
            </w:pPr>
            <w:r>
              <w:rPr>
                <w:rFonts w:ascii="Arial" w:cs="Arial" w:eastAsia="Arial" w:hAnsi="Arial"/>
                <w:sz w:val="12"/>
                <w:szCs w:val="12"/>
                <w:color w:val="auto"/>
              </w:rPr>
              <w:t>158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158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Pension and other postretirement benefit plans</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(414)</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Vesting of restricted stock, net of taxes withheld</w:t>
            </w: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(702)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Arial" w:cs="Arial" w:eastAsia="Arial" w:hAnsi="Arial"/>
                <w:sz w:val="12"/>
                <w:szCs w:val="12"/>
                <w:color w:val="auto"/>
              </w:rPr>
              <w:t>533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Employee stock purchase plan</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(162)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353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191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Stock repurchase program</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80"/>
              <w:spacing w:after="0" w:line="127" w:lineRule="exact"/>
              <w:rPr>
                <w:sz w:val="20"/>
                <w:szCs w:val="20"/>
                <w:color w:val="auto"/>
              </w:rPr>
            </w:pPr>
            <w:r>
              <w:rPr>
                <w:rFonts w:ascii="Arial" w:cs="Arial" w:eastAsia="Arial" w:hAnsi="Arial"/>
                <w:sz w:val="12"/>
                <w:szCs w:val="12"/>
                <w:color w:val="auto"/>
              </w:rPr>
              <w:t>(694)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293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293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Shares sold to optionees, less shares exchanged</w:t>
            </w: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Arial" w:cs="Arial" w:eastAsia="Arial" w:hAnsi="Arial"/>
                <w:sz w:val="12"/>
                <w:szCs w:val="12"/>
                <w:color w:val="auto"/>
              </w:rPr>
              <w:t>143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Dividends declared ($1.00 per share)</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(1,425)</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(1,425)</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Acquisition of Aker Subsea</w:t>
            </w:r>
          </w:p>
        </w:tc>
        <w:tc>
          <w:tcPr>
            <w:tcW w:w="14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413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Arial" w:cs="Arial" w:eastAsia="Arial" w:hAnsi="Arial"/>
                <w:sz w:val="12"/>
                <w:szCs w:val="12"/>
                <w:color w:val="auto"/>
              </w:rPr>
              <w:t>841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1,254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Other</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(30)</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(47)</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20" w:type="dxa"/>
            <w:vAlign w:val="bottom"/>
          </w:tcPr>
          <w:p>
            <w:pPr>
              <w:spacing w:after="0" w:line="120" w:lineRule="exact"/>
              <w:rPr>
                <w:sz w:val="20"/>
                <w:szCs w:val="20"/>
                <w:color w:val="auto"/>
              </w:rPr>
            </w:pPr>
            <w:r>
              <w:rPr>
                <w:rFonts w:ascii="Arial" w:cs="Arial" w:eastAsia="Arial" w:hAnsi="Arial"/>
                <w:sz w:val="12"/>
                <w:szCs w:val="12"/>
                <w:color w:val="auto"/>
              </w:rPr>
              <w:t>Balance, December 31, 2023</w:t>
            </w:r>
          </w:p>
        </w:tc>
        <w:tc>
          <w:tcPr>
            <w:tcW w:w="14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11,624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80"/>
              <w:spacing w:after="0" w:line="120" w:lineRule="exact"/>
              <w:rPr>
                <w:sz w:val="20"/>
                <w:szCs w:val="20"/>
                <w:color w:val="auto"/>
              </w:rPr>
            </w:pPr>
            <w:r>
              <w:rPr>
                <w:rFonts w:ascii="Arial" w:cs="Arial" w:eastAsia="Arial" w:hAnsi="Arial"/>
                <w:sz w:val="12"/>
                <w:szCs w:val="12"/>
                <w:color w:val="auto"/>
              </w:rPr>
              <w:t>(678)</w:t>
            </w:r>
          </w:p>
        </w:tc>
        <w:tc>
          <w:tcPr>
            <w:tcW w:w="120" w:type="dxa"/>
            <w:vAlign w:val="bottom"/>
          </w:tcPr>
          <w:p>
            <w:pPr>
              <w:spacing w:after="0"/>
              <w:rPr>
                <w:sz w:val="10"/>
                <w:szCs w:val="10"/>
                <w:color w:val="auto"/>
              </w:rPr>
            </w:pPr>
          </w:p>
        </w:tc>
        <w:tc>
          <w:tcPr>
            <w:tcW w:w="760" w:type="dxa"/>
            <w:vAlign w:val="bottom"/>
          </w:tcPr>
          <w:p>
            <w:pPr>
              <w:jc w:val="right"/>
              <w:spacing w:after="0" w:line="120" w:lineRule="exact"/>
              <w:rPr>
                <w:sz w:val="20"/>
                <w:szCs w:val="20"/>
                <w:color w:val="auto"/>
              </w:rPr>
            </w:pPr>
            <w:r>
              <w:rPr>
                <w:rFonts w:ascii="Arial" w:cs="Arial" w:eastAsia="Arial" w:hAnsi="Arial"/>
                <w:sz w:val="12"/>
                <w:szCs w:val="12"/>
                <w:color w:val="auto"/>
              </w:rPr>
              <w:t>13,497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(4,254)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0" w:lineRule="exact"/>
              <w:rPr>
                <w:sz w:val="20"/>
                <w:szCs w:val="20"/>
                <w:color w:val="auto"/>
              </w:rPr>
            </w:pPr>
            <w:r>
              <w:rPr>
                <w:rFonts w:ascii="Arial" w:cs="Arial" w:eastAsia="Arial" w:hAnsi="Arial"/>
                <w:sz w:val="12"/>
                <w:szCs w:val="12"/>
                <w:color w:val="auto"/>
              </w:rPr>
              <w:t>1,170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21,359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Net income</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4,461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118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4,579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Currency translation adjustments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(138)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Changes in fair value of cash flow hedges</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Pension and other postretirement benefit plans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(566)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(566)</w:t>
            </w: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Vesting of restricted stock, net of taxes withheld</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(407)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317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Employee stock purchase plan</w:t>
            </w: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Arial" w:cs="Arial" w:eastAsia="Arial" w:hAnsi="Arial"/>
                <w:sz w:val="12"/>
                <w:szCs w:val="12"/>
                <w:color w:val="auto"/>
              </w:rPr>
              <w:t>284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219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Stock repurchase program</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80"/>
              <w:spacing w:after="0" w:line="127" w:lineRule="exact"/>
              <w:rPr>
                <w:sz w:val="20"/>
                <w:szCs w:val="20"/>
                <w:color w:val="auto"/>
              </w:rPr>
            </w:pPr>
            <w:r>
              <w:rPr>
                <w:rFonts w:ascii="Arial" w:cs="Arial" w:eastAsia="Arial" w:hAnsi="Arial"/>
                <w:sz w:val="12"/>
                <w:szCs w:val="12"/>
                <w:color w:val="auto"/>
              </w:rPr>
              <w:t>(1,737)</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(1,737)</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316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316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Shares sold to optionees, less shares exchanged</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(10)</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39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Dividends declared ($1.10 per share)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(1,563)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(1,563)</w:t>
            </w: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Other</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2</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(68)</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20" w:type="dxa"/>
            <w:vAlign w:val="bottom"/>
          </w:tcPr>
          <w:p>
            <w:pPr>
              <w:spacing w:after="0" w:line="120" w:lineRule="exact"/>
              <w:rPr>
                <w:sz w:val="20"/>
                <w:szCs w:val="20"/>
                <w:color w:val="auto"/>
              </w:rPr>
            </w:pPr>
            <w:r>
              <w:rPr>
                <w:rFonts w:ascii="Arial" w:cs="Arial" w:eastAsia="Arial" w:hAnsi="Arial"/>
                <w:sz w:val="12"/>
                <w:szCs w:val="12"/>
                <w:color w:val="auto"/>
              </w:rPr>
              <w:t>Balance, December 31, 2024</w:t>
            </w:r>
          </w:p>
        </w:tc>
        <w:tc>
          <w:tcPr>
            <w:tcW w:w="14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11,458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80"/>
              <w:spacing w:after="0" w:line="120" w:lineRule="exact"/>
              <w:rPr>
                <w:sz w:val="20"/>
                <w:szCs w:val="20"/>
                <w:color w:val="auto"/>
              </w:rPr>
            </w:pPr>
            <w:r>
              <w:rPr>
                <w:rFonts w:ascii="Arial" w:cs="Arial" w:eastAsia="Arial" w:hAnsi="Arial"/>
                <w:sz w:val="12"/>
                <w:szCs w:val="12"/>
                <w:color w:val="auto"/>
              </w:rPr>
              <w:t>(1,773)</w:t>
            </w:r>
          </w:p>
        </w:tc>
        <w:tc>
          <w:tcPr>
            <w:tcW w:w="120" w:type="dxa"/>
            <w:vAlign w:val="bottom"/>
          </w:tcPr>
          <w:p>
            <w:pPr>
              <w:spacing w:after="0"/>
              <w:rPr>
                <w:sz w:val="10"/>
                <w:szCs w:val="10"/>
                <w:color w:val="auto"/>
              </w:rPr>
            </w:pPr>
          </w:p>
        </w:tc>
        <w:tc>
          <w:tcPr>
            <w:tcW w:w="760" w:type="dxa"/>
            <w:vAlign w:val="bottom"/>
          </w:tcPr>
          <w:p>
            <w:pPr>
              <w:jc w:val="right"/>
              <w:spacing w:after="0" w:line="120" w:lineRule="exact"/>
              <w:rPr>
                <w:sz w:val="20"/>
                <w:szCs w:val="20"/>
                <w:color w:val="auto"/>
              </w:rPr>
            </w:pPr>
            <w:r>
              <w:rPr>
                <w:rFonts w:ascii="Arial" w:cs="Arial" w:eastAsia="Arial" w:hAnsi="Arial"/>
                <w:sz w:val="12"/>
                <w:szCs w:val="12"/>
                <w:color w:val="auto"/>
              </w:rPr>
              <w:t>16,395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(4,950)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0" w:lineRule="exact"/>
              <w:rPr>
                <w:sz w:val="20"/>
                <w:szCs w:val="20"/>
                <w:color w:val="auto"/>
              </w:rPr>
            </w:pPr>
            <w:r>
              <w:rPr>
                <w:rFonts w:ascii="Arial" w:cs="Arial" w:eastAsia="Arial" w:hAnsi="Arial"/>
                <w:sz w:val="12"/>
                <w:szCs w:val="12"/>
                <w:color w:val="auto"/>
              </w:rPr>
              <w:t>1,220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22,350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Net income</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3,374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77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3,451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Currency translation adjustments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7" w:lineRule="exact"/>
              <w:rPr>
                <w:sz w:val="20"/>
                <w:szCs w:val="20"/>
                <w:color w:val="auto"/>
              </w:rPr>
            </w:pPr>
            <w:r>
              <w:rPr>
                <w:rFonts w:ascii="Arial" w:cs="Arial" w:eastAsia="Arial" w:hAnsi="Arial"/>
                <w:sz w:val="12"/>
                <w:szCs w:val="12"/>
                <w:color w:val="auto"/>
              </w:rPr>
              <w:t>299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299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Changes in fair value of cash flow hedges</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(89)</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Pension and other postretirement benefit plans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Vesting of restricted stock, net of taxes withheld</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(294)</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233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Employee stock purchase plan</w:t>
            </w: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Arial" w:cs="Arial" w:eastAsia="Arial" w:hAnsi="Arial"/>
                <w:sz w:val="12"/>
                <w:szCs w:val="12"/>
                <w:color w:val="auto"/>
              </w:rPr>
              <w:t>321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222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Stock repurchase program</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80"/>
              <w:spacing w:after="0" w:line="127" w:lineRule="exact"/>
              <w:rPr>
                <w:sz w:val="20"/>
                <w:szCs w:val="20"/>
                <w:color w:val="auto"/>
              </w:rPr>
            </w:pPr>
            <w:r>
              <w:rPr>
                <w:rFonts w:ascii="Arial" w:cs="Arial" w:eastAsia="Arial" w:hAnsi="Arial"/>
                <w:sz w:val="12"/>
                <w:szCs w:val="12"/>
                <w:color w:val="auto"/>
              </w:rPr>
              <w:t>(2,414)</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(2,414)</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Stock-based compensation expense</w:t>
            </w:r>
          </w:p>
        </w:tc>
        <w:tc>
          <w:tcPr>
            <w:tcW w:w="14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332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332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Shares sold to optionees, less shares exchanged</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(42)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49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Dividends declared ($1.14 per share)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(1,625)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(1,625)</w:t>
            </w: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Dividends paid to noncontrolling interest</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(207)</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27" w:lineRule="exact"/>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27"/>
        </w:trPr>
        <w:tc>
          <w:tcPr>
            <w:tcW w:w="4720" w:type="dxa"/>
            <w:vAlign w:val="bottom"/>
          </w:tcPr>
          <w:p>
            <w:pPr>
              <w:ind w:left="80"/>
              <w:spacing w:after="0" w:line="127" w:lineRule="exact"/>
              <w:rPr>
                <w:sz w:val="20"/>
                <w:szCs w:val="20"/>
                <w:color w:val="auto"/>
              </w:rPr>
            </w:pPr>
            <w:r>
              <w:rPr>
                <w:rFonts w:ascii="Arial" w:cs="Arial" w:eastAsia="Arial" w:hAnsi="Arial"/>
                <w:sz w:val="12"/>
                <w:szCs w:val="12"/>
                <w:color w:val="auto"/>
              </w:rPr>
              <w:t>Acquisition of ChampionX Corporation</w:t>
            </w:r>
          </w:p>
        </w:tc>
        <w:tc>
          <w:tcPr>
            <w:tcW w:w="14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5,005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Arial" w:cs="Arial" w:eastAsia="Arial" w:hAnsi="Arial"/>
                <w:sz w:val="12"/>
                <w:szCs w:val="12"/>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5,022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720" w:type="dxa"/>
            <w:vAlign w:val="bottom"/>
            <w:shd w:val="clear" w:color="auto" w:fill="CFF0FC"/>
          </w:tcPr>
          <w:p>
            <w:pPr>
              <w:ind w:left="80"/>
              <w:spacing w:after="0" w:line="127" w:lineRule="exact"/>
              <w:rPr>
                <w:sz w:val="20"/>
                <w:szCs w:val="20"/>
                <w:color w:val="auto"/>
              </w:rPr>
            </w:pPr>
            <w:r>
              <w:rPr>
                <w:rFonts w:ascii="Arial" w:cs="Arial" w:eastAsia="Arial" w:hAnsi="Arial"/>
                <w:sz w:val="12"/>
                <w:szCs w:val="12"/>
                <w:color w:val="auto"/>
              </w:rPr>
              <w:t>Other</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(6)</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8</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27" w:lineRule="exact"/>
              <w:rPr>
                <w:sz w:val="20"/>
                <w:szCs w:val="20"/>
                <w:color w:val="auto"/>
              </w:rPr>
            </w:pPr>
            <w:r>
              <w:rPr>
                <w:rFonts w:ascii="Arial" w:cs="Arial" w:eastAsia="Arial" w:hAnsi="Arial"/>
                <w:sz w:val="12"/>
                <w:szCs w:val="12"/>
                <w:color w:val="auto"/>
              </w:rPr>
              <w:t>(77)</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14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73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7" w:lineRule="exact"/>
              <w:rPr>
                <w:sz w:val="20"/>
                <w:szCs w:val="20"/>
                <w:color w:val="auto"/>
              </w:rPr>
            </w:pPr>
            <w:r>
              <w:rPr>
                <w:rFonts w:ascii="Arial" w:cs="Arial" w:eastAsia="Arial" w:hAnsi="Arial"/>
                <w:sz w:val="12"/>
                <w:szCs w:val="12"/>
                <w:color w:val="auto"/>
              </w:rPr>
              <w:t>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720" w:type="dxa"/>
            <w:vAlign w:val="bottom"/>
            <w:tcBorders>
              <w:top w:val="single" w:sz="8" w:color="CFF0FC"/>
              <w:bottom w:val="single" w:sz="8" w:color="CFF0FC"/>
            </w:tcBorders>
          </w:tcPr>
          <w:p>
            <w:pPr>
              <w:spacing w:after="0" w:line="120" w:lineRule="exact"/>
              <w:rPr>
                <w:sz w:val="20"/>
                <w:szCs w:val="20"/>
                <w:color w:val="auto"/>
              </w:rPr>
            </w:pPr>
            <w:r>
              <w:rPr>
                <w:rFonts w:ascii="Arial" w:cs="Arial" w:eastAsia="Arial" w:hAnsi="Arial"/>
                <w:sz w:val="12"/>
                <w:szCs w:val="12"/>
                <w:color w:val="auto"/>
              </w:rPr>
              <w:t>Balance, December 31, 2025</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2"/>
                <w:szCs w:val="12"/>
                <w:color w:val="auto"/>
              </w:rPr>
              <w:t>16,354</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bottom w:val="single" w:sz="8" w:color="CFF0FC"/>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2"/>
                <w:szCs w:val="12"/>
                <w:color w:val="auto"/>
              </w:rPr>
              <w:t>(3,576)</w:t>
            </w:r>
          </w:p>
        </w:tc>
        <w:tc>
          <w:tcPr>
            <w:tcW w:w="200" w:type="dxa"/>
            <w:vAlign w:val="bottom"/>
            <w:tcBorders>
              <w:top w:val="single" w:sz="8" w:color="CFF0FC"/>
              <w:bottom w:val="single" w:sz="8" w:color="CFF0FC"/>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2"/>
                <w:szCs w:val="12"/>
                <w:color w:val="auto"/>
              </w:rPr>
              <w:t>18,067</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bottom w:val="single" w:sz="8" w:color="CFF0FC"/>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2"/>
                <w:szCs w:val="12"/>
                <w:color w:val="auto"/>
              </w:rPr>
              <w:t>(4,736)</w:t>
            </w:r>
          </w:p>
        </w:tc>
        <w:tc>
          <w:tcPr>
            <w:tcW w:w="120" w:type="dxa"/>
            <w:vAlign w:val="bottom"/>
            <w:tcBorders>
              <w:top w:val="single" w:sz="8" w:color="CFF0FC"/>
              <w:bottom w:val="single" w:sz="8" w:color="CFF0FC"/>
            </w:tcBorders>
          </w:tcPr>
          <w:p>
            <w:pPr>
              <w:spacing w:after="0"/>
              <w:rPr>
                <w:sz w:val="10"/>
                <w:szCs w:val="10"/>
                <w:color w:val="auto"/>
              </w:rPr>
            </w:pPr>
          </w:p>
        </w:tc>
        <w:tc>
          <w:tcPr>
            <w:tcW w:w="80" w:type="dxa"/>
            <w:vAlign w:val="bottom"/>
            <w:tcBorders>
              <w:top w:val="single" w:sz="8" w:color="CFF0FC"/>
              <w:bottom w:val="single" w:sz="8" w:color="CFF0FC"/>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1"/>
              <w:spacing w:after="0" w:line="107"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2"/>
                <w:szCs w:val="12"/>
                <w:color w:val="auto"/>
              </w:rPr>
              <w:t>1,182</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bottom w:val="single" w:sz="8" w:color="CFF0FC"/>
            </w:tcBorders>
          </w:tcPr>
          <w:p>
            <w:pPr>
              <w:spacing w:after="0"/>
              <w:rPr>
                <w:sz w:val="10"/>
                <w:szCs w:val="10"/>
                <w:color w:val="auto"/>
              </w:rPr>
            </w:pPr>
          </w:p>
        </w:tc>
        <w:tc>
          <w:tcPr>
            <w:tcW w:w="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2"/>
                <w:szCs w:val="12"/>
                <w:color w:val="auto"/>
              </w:rPr>
              <w:t>27,291</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-2223770</wp:posOffset>
            </wp:positionV>
            <wp:extent cx="647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-2223770</wp:posOffset>
            </wp:positionV>
            <wp:extent cx="647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-2223770</wp:posOffset>
            </wp:positionV>
            <wp:extent cx="647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-2223770</wp:posOffset>
            </wp:positionV>
            <wp:extent cx="647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-2223770</wp:posOffset>
            </wp:positionV>
            <wp:extent cx="647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-2223770</wp:posOffset>
            </wp:positionV>
            <wp:extent cx="647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-1248410</wp:posOffset>
            </wp:positionV>
            <wp:extent cx="647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-1248410</wp:posOffset>
            </wp:positionV>
            <wp:extent cx="647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-1248410</wp:posOffset>
            </wp:positionV>
            <wp:extent cx="647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-1248410</wp:posOffset>
            </wp:positionV>
            <wp:extent cx="647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-1248410</wp:posOffset>
            </wp:positionV>
            <wp:extent cx="647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-1248410</wp:posOffset>
            </wp:positionV>
            <wp:extent cx="647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-112395</wp:posOffset>
            </wp:positionV>
            <wp:extent cx="647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-112395</wp:posOffset>
            </wp:positionV>
            <wp:extent cx="647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-112395</wp:posOffset>
            </wp:positionV>
            <wp:extent cx="647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-112395</wp:posOffset>
            </wp:positionV>
            <wp:extent cx="647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-112395</wp:posOffset>
            </wp:positionV>
            <wp:extent cx="647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-112395</wp:posOffset>
            </wp:positionV>
            <wp:extent cx="647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the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5"/>
          <w:szCs w:val="15"/>
          <w:b w:val="1"/>
          <w:bCs w:val="1"/>
          <w:color w:val="auto"/>
        </w:rPr>
        <w:t>SLB LIMITED AND SUBSIDIARIES</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SHARES OF COMMON STOCK</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01"/>
        </w:trPr>
        <w:tc>
          <w:tcPr>
            <w:tcW w:w="6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Shares</w:t>
            </w:r>
          </w:p>
        </w:tc>
      </w:tr>
      <w:tr>
        <w:trPr>
          <w:trHeight w:val="190"/>
        </w:trPr>
        <w:tc>
          <w:tcPr>
            <w:tcW w:w="6560" w:type="dxa"/>
            <w:vAlign w:val="bottom"/>
          </w:tcPr>
          <w:p>
            <w:pPr>
              <w:spacing w:after="0"/>
              <w:rPr>
                <w:sz w:val="16"/>
                <w:szCs w:val="16"/>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Issued</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In Treasury</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Outstanding</w:t>
            </w:r>
          </w:p>
        </w:tc>
        <w:tc>
          <w:tcPr>
            <w:tcW w:w="100" w:type="dxa"/>
            <w:vAlign w:val="bottom"/>
          </w:tcPr>
          <w:p>
            <w:pPr>
              <w:spacing w:after="0"/>
              <w:rPr>
                <w:sz w:val="16"/>
                <w:szCs w:val="16"/>
                <w:color w:val="auto"/>
              </w:rPr>
            </w:pPr>
          </w:p>
        </w:tc>
      </w:tr>
      <w:tr>
        <w:trPr>
          <w:trHeight w:val="170"/>
        </w:trPr>
        <w:tc>
          <w:tcPr>
            <w:tcW w:w="752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color w:val="auto"/>
              </w:rPr>
              <w:t>Balance, January 1, 2023</w:t>
            </w:r>
          </w:p>
        </w:tc>
        <w:tc>
          <w:tcPr>
            <w:tcW w:w="4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1,434</w:t>
            </w: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color w:val="auto"/>
              </w:rPr>
              <w:t>(14)</w:t>
            </w:r>
          </w:p>
        </w:tc>
        <w:tc>
          <w:tcPr>
            <w:tcW w:w="14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1,420</w:t>
            </w:r>
          </w:p>
        </w:tc>
        <w:tc>
          <w:tcPr>
            <w:tcW w:w="100" w:type="dxa"/>
            <w:vAlign w:val="bottom"/>
            <w:shd w:val="clear" w:color="auto" w:fill="CFF0FC"/>
          </w:tcPr>
          <w:p>
            <w:pPr>
              <w:spacing w:after="0"/>
              <w:rPr>
                <w:sz w:val="14"/>
                <w:szCs w:val="14"/>
                <w:color w:val="auto"/>
              </w:rPr>
            </w:pPr>
          </w:p>
        </w:tc>
      </w:tr>
      <w:tr>
        <w:trPr>
          <w:trHeight w:val="178"/>
        </w:trPr>
        <w:tc>
          <w:tcPr>
            <w:tcW w:w="7520" w:type="dxa"/>
            <w:vAlign w:val="bottom"/>
            <w:gridSpan w:val="2"/>
          </w:tcPr>
          <w:p>
            <w:pPr>
              <w:ind w:left="120"/>
              <w:spacing w:after="0"/>
              <w:rPr>
                <w:sz w:val="20"/>
                <w:szCs w:val="20"/>
                <w:color w:val="auto"/>
              </w:rPr>
            </w:pPr>
            <w:r>
              <w:rPr>
                <w:rFonts w:ascii="Arial" w:cs="Arial" w:eastAsia="Arial" w:hAnsi="Arial"/>
                <w:sz w:val="15"/>
                <w:szCs w:val="15"/>
                <w:color w:val="auto"/>
              </w:rPr>
              <w:t>Employee stock purchase plan</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5"/>
                <w:szCs w:val="15"/>
                <w:color w:val="auto"/>
              </w:rPr>
            </w:pPr>
          </w:p>
        </w:tc>
      </w:tr>
      <w:tr>
        <w:trPr>
          <w:trHeight w:val="178"/>
        </w:trPr>
        <w:tc>
          <w:tcPr>
            <w:tcW w:w="752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Vesting of restricted stock, net of taxes withheld</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FF0FC"/>
          </w:tcPr>
          <w:p>
            <w:pPr>
              <w:spacing w:after="0"/>
              <w:rPr>
                <w:sz w:val="15"/>
                <w:szCs w:val="15"/>
                <w:color w:val="auto"/>
              </w:rPr>
            </w:pPr>
          </w:p>
        </w:tc>
      </w:tr>
      <w:tr>
        <w:trPr>
          <w:trHeight w:val="178"/>
        </w:trPr>
        <w:tc>
          <w:tcPr>
            <w:tcW w:w="7520" w:type="dxa"/>
            <w:vAlign w:val="bottom"/>
            <w:gridSpan w:val="2"/>
          </w:tcPr>
          <w:p>
            <w:pPr>
              <w:ind w:left="120"/>
              <w:spacing w:after="0"/>
              <w:rPr>
                <w:sz w:val="20"/>
                <w:szCs w:val="20"/>
                <w:color w:val="auto"/>
              </w:rPr>
            </w:pPr>
            <w:r>
              <w:rPr>
                <w:rFonts w:ascii="Arial" w:cs="Arial" w:eastAsia="Arial" w:hAnsi="Arial"/>
                <w:sz w:val="15"/>
                <w:szCs w:val="15"/>
                <w:color w:val="auto"/>
              </w:rPr>
              <w:t>Shares sold to optionees, less shares exchanged</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r>
      <w:tr>
        <w:trPr>
          <w:trHeight w:val="178"/>
        </w:trPr>
        <w:tc>
          <w:tcPr>
            <w:tcW w:w="752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Stock repurchase program</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(13)</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w:t>
            </w:r>
          </w:p>
        </w:tc>
      </w:tr>
      <w:tr>
        <w:trPr>
          <w:trHeight w:val="178"/>
        </w:trPr>
        <w:tc>
          <w:tcPr>
            <w:tcW w:w="6560" w:type="dxa"/>
            <w:vAlign w:val="bottom"/>
          </w:tcPr>
          <w:p>
            <w:pPr>
              <w:ind w:left="120"/>
              <w:spacing w:after="0"/>
              <w:rPr>
                <w:sz w:val="20"/>
                <w:szCs w:val="20"/>
                <w:color w:val="auto"/>
              </w:rPr>
            </w:pPr>
            <w:r>
              <w:rPr>
                <w:rFonts w:ascii="Arial" w:cs="Arial" w:eastAsia="Arial" w:hAnsi="Arial"/>
                <w:sz w:val="15"/>
                <w:szCs w:val="15"/>
                <w:color w:val="auto"/>
              </w:rPr>
              <w:t>Acquisition of Aker Subsea</w:t>
            </w: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5"/>
                <w:szCs w:val="15"/>
                <w:color w:val="auto"/>
              </w:rPr>
            </w:pPr>
          </w:p>
        </w:tc>
      </w:tr>
      <w:tr>
        <w:trPr>
          <w:trHeight w:val="170"/>
        </w:trPr>
        <w:tc>
          <w:tcPr>
            <w:tcW w:w="752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color w:val="auto"/>
              </w:rPr>
              <w:t>Balance, December 31, 2023</w:t>
            </w:r>
          </w:p>
        </w:tc>
        <w:tc>
          <w:tcPr>
            <w:tcW w:w="4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1,439</w:t>
            </w: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color w:val="auto"/>
              </w:rPr>
              <w:t>(12)</w:t>
            </w:r>
          </w:p>
        </w:tc>
        <w:tc>
          <w:tcPr>
            <w:tcW w:w="14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1,427</w:t>
            </w:r>
          </w:p>
        </w:tc>
        <w:tc>
          <w:tcPr>
            <w:tcW w:w="100" w:type="dxa"/>
            <w:vAlign w:val="bottom"/>
            <w:shd w:val="clear" w:color="auto" w:fill="CFF0FC"/>
          </w:tcPr>
          <w:p>
            <w:pPr>
              <w:spacing w:after="0"/>
              <w:rPr>
                <w:sz w:val="14"/>
                <w:szCs w:val="14"/>
                <w:color w:val="auto"/>
              </w:rPr>
            </w:pPr>
          </w:p>
        </w:tc>
      </w:tr>
      <w:tr>
        <w:trPr>
          <w:trHeight w:val="178"/>
        </w:trPr>
        <w:tc>
          <w:tcPr>
            <w:tcW w:w="7520" w:type="dxa"/>
            <w:vAlign w:val="bottom"/>
            <w:gridSpan w:val="2"/>
          </w:tcPr>
          <w:p>
            <w:pPr>
              <w:ind w:left="120"/>
              <w:spacing w:after="0"/>
              <w:rPr>
                <w:sz w:val="20"/>
                <w:szCs w:val="20"/>
                <w:color w:val="auto"/>
              </w:rPr>
            </w:pPr>
            <w:r>
              <w:rPr>
                <w:rFonts w:ascii="Arial" w:cs="Arial" w:eastAsia="Arial" w:hAnsi="Arial"/>
                <w:sz w:val="15"/>
                <w:szCs w:val="15"/>
                <w:color w:val="auto"/>
              </w:rPr>
              <w:t>Employee stock purchase plan</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5"/>
                <w:szCs w:val="15"/>
                <w:color w:val="auto"/>
              </w:rPr>
            </w:pPr>
          </w:p>
        </w:tc>
      </w:tr>
      <w:tr>
        <w:trPr>
          <w:trHeight w:val="178"/>
        </w:trPr>
        <w:tc>
          <w:tcPr>
            <w:tcW w:w="752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Vesting of restricted stock, net of taxes withheld</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FF0FC"/>
          </w:tcPr>
          <w:p>
            <w:pPr>
              <w:spacing w:after="0"/>
              <w:rPr>
                <w:sz w:val="15"/>
                <w:szCs w:val="15"/>
                <w:color w:val="auto"/>
              </w:rPr>
            </w:pPr>
          </w:p>
        </w:tc>
      </w:tr>
      <w:tr>
        <w:trPr>
          <w:trHeight w:val="178"/>
        </w:trPr>
        <w:tc>
          <w:tcPr>
            <w:tcW w:w="7520" w:type="dxa"/>
            <w:vAlign w:val="bottom"/>
            <w:gridSpan w:val="2"/>
          </w:tcPr>
          <w:p>
            <w:pPr>
              <w:ind w:left="120"/>
              <w:spacing w:after="0"/>
              <w:rPr>
                <w:sz w:val="20"/>
                <w:szCs w:val="20"/>
                <w:color w:val="auto"/>
              </w:rPr>
            </w:pPr>
            <w:r>
              <w:rPr>
                <w:rFonts w:ascii="Arial" w:cs="Arial" w:eastAsia="Arial" w:hAnsi="Arial"/>
                <w:sz w:val="15"/>
                <w:szCs w:val="15"/>
                <w:color w:val="auto"/>
              </w:rPr>
              <w:t>Shares sold to optionees, less shares exchanged</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repurchase program</w:t>
            </w:r>
          </w:p>
        </w:tc>
        <w:tc>
          <w:tcPr>
            <w:tcW w:w="9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(38)</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(38)</w:t>
            </w:r>
          </w:p>
        </w:tc>
      </w:tr>
      <w:tr>
        <w:trPr>
          <w:trHeight w:val="20"/>
        </w:trPr>
        <w:tc>
          <w:tcPr>
            <w:tcW w:w="65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6560" w:type="dxa"/>
            <w:vAlign w:val="bottom"/>
          </w:tcPr>
          <w:p>
            <w:pPr>
              <w:spacing w:after="0" w:line="171" w:lineRule="exact"/>
              <w:rPr>
                <w:sz w:val="20"/>
                <w:szCs w:val="20"/>
                <w:color w:val="auto"/>
              </w:rPr>
            </w:pPr>
            <w:r>
              <w:rPr>
                <w:rFonts w:ascii="Arial" w:cs="Arial" w:eastAsia="Arial" w:hAnsi="Arial"/>
                <w:sz w:val="15"/>
                <w:szCs w:val="15"/>
                <w:color w:val="auto"/>
              </w:rPr>
              <w:t>Balance, December 31, 2024</w:t>
            </w:r>
          </w:p>
        </w:tc>
        <w:tc>
          <w:tcPr>
            <w:tcW w:w="960" w:type="dxa"/>
            <w:vAlign w:val="bottom"/>
          </w:tcPr>
          <w:p>
            <w:pPr>
              <w:spacing w:after="0"/>
              <w:rPr>
                <w:sz w:val="14"/>
                <w:szCs w:val="14"/>
                <w:color w:val="auto"/>
              </w:rPr>
            </w:pPr>
          </w:p>
        </w:tc>
        <w:tc>
          <w:tcPr>
            <w:tcW w:w="420" w:type="dxa"/>
            <w:vAlign w:val="bottom"/>
          </w:tcPr>
          <w:p>
            <w:pPr>
              <w:jc w:val="right"/>
              <w:spacing w:after="0" w:line="171" w:lineRule="exact"/>
              <w:rPr>
                <w:sz w:val="20"/>
                <w:szCs w:val="20"/>
                <w:color w:val="auto"/>
              </w:rPr>
            </w:pPr>
            <w:r>
              <w:rPr>
                <w:rFonts w:ascii="Arial" w:cs="Arial" w:eastAsia="Arial" w:hAnsi="Arial"/>
                <w:sz w:val="15"/>
                <w:szCs w:val="15"/>
                <w:color w:val="auto"/>
              </w:rPr>
              <w:t>1,439</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(38)</w:t>
            </w:r>
          </w:p>
        </w:tc>
        <w:tc>
          <w:tcPr>
            <w:tcW w:w="1400" w:type="dxa"/>
            <w:vAlign w:val="bottom"/>
          </w:tcPr>
          <w:p>
            <w:pPr>
              <w:jc w:val="right"/>
              <w:spacing w:after="0" w:line="171" w:lineRule="exact"/>
              <w:rPr>
                <w:sz w:val="20"/>
                <w:szCs w:val="20"/>
                <w:color w:val="auto"/>
              </w:rPr>
            </w:pPr>
            <w:r>
              <w:rPr>
                <w:rFonts w:ascii="Arial" w:cs="Arial" w:eastAsia="Arial" w:hAnsi="Arial"/>
                <w:sz w:val="15"/>
                <w:szCs w:val="15"/>
                <w:color w:val="auto"/>
              </w:rPr>
              <w:t>1,401</w:t>
            </w:r>
          </w:p>
        </w:tc>
        <w:tc>
          <w:tcPr>
            <w:tcW w:w="100" w:type="dxa"/>
            <w:vAlign w:val="bottom"/>
          </w:tcPr>
          <w:p>
            <w:pPr>
              <w:spacing w:after="0"/>
              <w:rPr>
                <w:sz w:val="14"/>
                <w:szCs w:val="14"/>
                <w:color w:val="auto"/>
              </w:rPr>
            </w:pPr>
          </w:p>
        </w:tc>
      </w:tr>
      <w:tr>
        <w:trPr>
          <w:trHeight w:val="178"/>
        </w:trPr>
        <w:tc>
          <w:tcPr>
            <w:tcW w:w="752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Vesting of restricted stock, net of taxes withheld</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FF0FC"/>
          </w:tcPr>
          <w:p>
            <w:pPr>
              <w:spacing w:after="0"/>
              <w:rPr>
                <w:sz w:val="15"/>
                <w:szCs w:val="15"/>
                <w:color w:val="auto"/>
              </w:rPr>
            </w:pPr>
          </w:p>
        </w:tc>
      </w:tr>
      <w:tr>
        <w:trPr>
          <w:trHeight w:val="178"/>
        </w:trPr>
        <w:tc>
          <w:tcPr>
            <w:tcW w:w="7520" w:type="dxa"/>
            <w:vAlign w:val="bottom"/>
            <w:gridSpan w:val="2"/>
          </w:tcPr>
          <w:p>
            <w:pPr>
              <w:ind w:left="120"/>
              <w:spacing w:after="0"/>
              <w:rPr>
                <w:sz w:val="20"/>
                <w:szCs w:val="20"/>
                <w:color w:val="auto"/>
              </w:rPr>
            </w:pPr>
            <w:r>
              <w:rPr>
                <w:rFonts w:ascii="Arial" w:cs="Arial" w:eastAsia="Arial" w:hAnsi="Arial"/>
                <w:sz w:val="15"/>
                <w:szCs w:val="15"/>
                <w:color w:val="auto"/>
              </w:rPr>
              <w:t>Share issued under employee stock purchase plan</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5"/>
                <w:szCs w:val="15"/>
                <w:color w:val="auto"/>
              </w:rPr>
            </w:pPr>
          </w:p>
        </w:tc>
      </w:tr>
      <w:tr>
        <w:trPr>
          <w:trHeight w:val="178"/>
        </w:trPr>
        <w:tc>
          <w:tcPr>
            <w:tcW w:w="752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rPr>
              <w:t>Shares sold to optionees, less shares exchanged</w:t>
            </w: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5"/>
                <w:szCs w:val="15"/>
                <w:color w:val="auto"/>
              </w:rPr>
            </w:pPr>
          </w:p>
        </w:tc>
      </w:tr>
      <w:tr>
        <w:trPr>
          <w:trHeight w:val="178"/>
        </w:trPr>
        <w:tc>
          <w:tcPr>
            <w:tcW w:w="7520" w:type="dxa"/>
            <w:vAlign w:val="bottom"/>
            <w:gridSpan w:val="2"/>
          </w:tcPr>
          <w:p>
            <w:pPr>
              <w:ind w:left="120"/>
              <w:spacing w:after="0"/>
              <w:rPr>
                <w:sz w:val="20"/>
                <w:szCs w:val="20"/>
                <w:color w:val="auto"/>
              </w:rPr>
            </w:pPr>
            <w:r>
              <w:rPr>
                <w:rFonts w:ascii="Arial" w:cs="Arial" w:eastAsia="Arial" w:hAnsi="Arial"/>
                <w:sz w:val="15"/>
                <w:szCs w:val="15"/>
                <w:color w:val="auto"/>
              </w:rPr>
              <w:t>Stock repurchase program</w:t>
            </w: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(60)</w:t>
            </w:r>
          </w:p>
        </w:tc>
        <w:tc>
          <w:tcPr>
            <w:tcW w:w="1500" w:type="dxa"/>
            <w:vAlign w:val="bottom"/>
            <w:gridSpan w:val="2"/>
          </w:tcPr>
          <w:p>
            <w:pPr>
              <w:jc w:val="right"/>
              <w:ind w:right="60"/>
              <w:spacing w:after="0"/>
              <w:rPr>
                <w:sz w:val="20"/>
                <w:szCs w:val="20"/>
                <w:color w:val="auto"/>
              </w:rPr>
            </w:pPr>
            <w:r>
              <w:rPr>
                <w:rFonts w:ascii="Arial" w:cs="Arial" w:eastAsia="Arial" w:hAnsi="Arial"/>
                <w:sz w:val="15"/>
                <w:szCs w:val="15"/>
                <w:color w:val="auto"/>
              </w:rPr>
              <w:t>(60)</w:t>
            </w:r>
          </w:p>
        </w:tc>
      </w:tr>
      <w:tr>
        <w:trPr>
          <w:trHeight w:val="178"/>
        </w:trPr>
        <w:tc>
          <w:tcPr>
            <w:tcW w:w="6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5"/>
                <w:szCs w:val="15"/>
                <w:color w:val="auto"/>
              </w:rPr>
              <w:t>Acquisition of ChampionX Corporation</w:t>
            </w:r>
          </w:p>
        </w:tc>
        <w:tc>
          <w:tcPr>
            <w:tcW w:w="96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w:t>
            </w:r>
          </w:p>
        </w:tc>
        <w:tc>
          <w:tcPr>
            <w:tcW w:w="20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7520" w:type="dxa"/>
            <w:vAlign w:val="bottom"/>
            <w:gridSpan w:val="2"/>
          </w:tcPr>
          <w:p>
            <w:pPr>
              <w:spacing w:after="0" w:line="158" w:lineRule="exact"/>
              <w:rPr>
                <w:sz w:val="20"/>
                <w:szCs w:val="20"/>
                <w:color w:val="auto"/>
              </w:rPr>
            </w:pPr>
            <w:r>
              <w:rPr>
                <w:rFonts w:ascii="Arial" w:cs="Arial" w:eastAsia="Arial" w:hAnsi="Arial"/>
                <w:sz w:val="15"/>
                <w:szCs w:val="15"/>
                <w:color w:val="auto"/>
              </w:rPr>
              <w:t>Balance, December 31, 2025</w:t>
            </w:r>
          </w:p>
        </w:tc>
        <w:tc>
          <w:tcPr>
            <w:tcW w:w="420" w:type="dxa"/>
            <w:vAlign w:val="bottom"/>
          </w:tcPr>
          <w:p>
            <w:pPr>
              <w:jc w:val="right"/>
              <w:spacing w:after="0" w:line="158" w:lineRule="exact"/>
              <w:rPr>
                <w:sz w:val="20"/>
                <w:szCs w:val="20"/>
                <w:color w:val="auto"/>
              </w:rPr>
            </w:pPr>
            <w:r>
              <w:rPr>
                <w:rFonts w:ascii="Arial" w:cs="Arial" w:eastAsia="Arial" w:hAnsi="Arial"/>
                <w:sz w:val="15"/>
                <w:szCs w:val="15"/>
                <w:color w:val="auto"/>
              </w:rPr>
              <w:t>1,580</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5"/>
                <w:szCs w:val="15"/>
                <w:color w:val="auto"/>
              </w:rPr>
              <w:t>(85)</w:t>
            </w:r>
          </w:p>
        </w:tc>
        <w:tc>
          <w:tcPr>
            <w:tcW w:w="1400" w:type="dxa"/>
            <w:vAlign w:val="bottom"/>
          </w:tcPr>
          <w:p>
            <w:pPr>
              <w:jc w:val="right"/>
              <w:spacing w:after="0" w:line="158" w:lineRule="exact"/>
              <w:rPr>
                <w:sz w:val="20"/>
                <w:szCs w:val="20"/>
                <w:color w:val="auto"/>
              </w:rPr>
            </w:pPr>
            <w:r>
              <w:rPr>
                <w:rFonts w:ascii="Arial" w:cs="Arial" w:eastAsia="Arial" w:hAnsi="Arial"/>
                <w:sz w:val="15"/>
                <w:szCs w:val="15"/>
                <w:color w:val="auto"/>
              </w:rPr>
              <w:t>1,495</w:t>
            </w:r>
          </w:p>
        </w:tc>
        <w:tc>
          <w:tcPr>
            <w:tcW w:w="100" w:type="dxa"/>
            <w:vAlign w:val="bottom"/>
          </w:tcPr>
          <w:p>
            <w:pPr>
              <w:spacing w:after="0"/>
              <w:rPr>
                <w:sz w:val="14"/>
                <w:szCs w:val="14"/>
                <w:color w:val="auto"/>
              </w:rPr>
            </w:pPr>
          </w:p>
        </w:tc>
      </w:tr>
      <w:tr>
        <w:trPr>
          <w:trHeight w:val="20"/>
        </w:trPr>
        <w:tc>
          <w:tcPr>
            <w:tcW w:w="6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-829310</wp:posOffset>
            </wp:positionV>
            <wp:extent cx="647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-829310</wp:posOffset>
            </wp:positionV>
            <wp:extent cx="647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-829310</wp:posOffset>
            </wp:positionV>
            <wp:extent cx="723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-144145</wp:posOffset>
            </wp:positionV>
            <wp:extent cx="647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-144145</wp:posOffset>
            </wp:positionV>
            <wp:extent cx="647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-144145</wp:posOffset>
            </wp:positionV>
            <wp:extent cx="723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the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83" w:lineRule="exact"/>
        <w:rPr>
          <w:sz w:val="20"/>
          <w:szCs w:val="20"/>
          <w:color w:val="auto"/>
        </w:rPr>
      </w:pPr>
    </w:p>
    <w:p>
      <w:pPr>
        <w:ind w:left="220" w:hanging="218"/>
        <w:spacing w:after="0"/>
        <w:tabs>
          <w:tab w:leader="none" w:pos="22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Business Description</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SLB Limited (SLB N.V., incorporated in Curaçao) and its consolidated subsidiaries (collectively, “SLB”) form a global technology company that drives energy innovation for a balanced planet. With a global footprint in more than 100 countries and employees representing almost twice as many nationalities, SLB works each day on innovating energy technology, delivering digital at scale, decarbonizing industries, and developing and scaling new energy systems that accelerate the energy transition.</w:t>
      </w:r>
    </w:p>
    <w:p>
      <w:pPr>
        <w:spacing w:after="0" w:line="349" w:lineRule="exact"/>
        <w:rPr>
          <w:sz w:val="20"/>
          <w:szCs w:val="20"/>
          <w:color w:val="auto"/>
        </w:rPr>
      </w:pPr>
    </w:p>
    <w:p>
      <w:pPr>
        <w:ind w:left="220" w:hanging="218"/>
        <w:spacing w:after="0"/>
        <w:tabs>
          <w:tab w:leader="none" w:pos="22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Summary of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xml:space="preserve"> of SLB have been prepared in accordance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SLB evaluates its estimates, including those related to collectibility of accounts receivable; revenue recognized for certain long-term construction-type contracts over time; recoverability of fixed assets, goodwill, intangible assets, Asset Performance Solutions investments, and investments in affiliates; income taxes; exploration data; contingencies and actuarial assumptions for employee benefit plans. SLB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recognizes revenue upon the transfer of control of promised products or services to customers at an amount that reflects the consideration it expects to receive in exchange for these products or services. The vast majority of SLB’s services and product offerings are short-term in nature. The time between invoicing and when payment is due under these arrangements is generally between 30 to 60 days.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Total backlog was $5.6 billion at December 31, 2025, of which approximately 65% is expected to be recognized as revenue during 2026.</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Short-term Investments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i w:val="1"/>
          <w:iCs w:val="1"/>
          <w:color w:val="auto"/>
        </w:rPr>
        <w:t xml:space="preserve">Short-term investments </w:t>
      </w:r>
      <w:r>
        <w:rPr>
          <w:rFonts w:ascii="Arial" w:cs="Arial" w:eastAsia="Arial" w:hAnsi="Arial"/>
          <w:sz w:val="15"/>
          <w:szCs w:val="15"/>
          <w:color w:val="auto"/>
        </w:rPr>
        <w:t>are comprised primarily of money market funds, time deposits, certificates of deposit, commercial paper, bonds, and notes, substantially all of</w:t>
      </w:r>
      <w:r>
        <w:rPr>
          <w:rFonts w:ascii="Arial" w:cs="Arial" w:eastAsia="Arial" w:hAnsi="Arial"/>
          <w:sz w:val="15"/>
          <w:szCs w:val="15"/>
          <w:i w:val="1"/>
          <w:iCs w:val="1"/>
          <w:color w:val="auto"/>
        </w:rPr>
        <w:t xml:space="preserve"> </w:t>
      </w:r>
      <w:r>
        <w:rPr>
          <w:rFonts w:ascii="Arial" w:cs="Arial" w:eastAsia="Arial" w:hAnsi="Arial"/>
          <w:sz w:val="15"/>
          <w:szCs w:val="15"/>
          <w:color w:val="auto"/>
        </w:rPr>
        <w:t>which are denominated in US dollars and are stated at cost plus accrued interest, which approximates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 purposes of the </w:t>
      </w:r>
      <w:r>
        <w:rPr>
          <w:rFonts w:ascii="Arial" w:cs="Arial" w:eastAsia="Arial" w:hAnsi="Arial"/>
          <w:sz w:val="15"/>
          <w:szCs w:val="15"/>
          <w:i w:val="1"/>
          <w:iCs w:val="1"/>
          <w:color w:val="auto"/>
        </w:rPr>
        <w:t>Consolidated Statement of Cash Flows</w:t>
      </w:r>
      <w:r>
        <w:rPr>
          <w:rFonts w:ascii="Arial" w:cs="Arial" w:eastAsia="Arial" w:hAnsi="Arial"/>
          <w:sz w:val="15"/>
          <w:szCs w:val="15"/>
          <w:color w:val="auto"/>
        </w:rPr>
        <w:t xml:space="preserve">, SLB does not consider </w:t>
      </w:r>
      <w:r>
        <w:rPr>
          <w:rFonts w:ascii="Arial" w:cs="Arial" w:eastAsia="Arial" w:hAnsi="Arial"/>
          <w:sz w:val="15"/>
          <w:szCs w:val="15"/>
          <w:i w:val="1"/>
          <w:iCs w:val="1"/>
          <w:color w:val="auto"/>
        </w:rPr>
        <w:t>Short-term investments</w:t>
      </w:r>
      <w:r>
        <w:rPr>
          <w:rFonts w:ascii="Arial" w:cs="Arial" w:eastAsia="Arial" w:hAnsi="Arial"/>
          <w:sz w:val="15"/>
          <w:szCs w:val="15"/>
          <w:color w:val="auto"/>
        </w:rPr>
        <w:t xml:space="preserve"> to be cash equivalents.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Investments in Affiliated Companies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Investments in companies in which SLB does not have a controlling financial interest, but over which it has significant influence, are accounted for using the equity method. SLB’s share of the after-tax earnings of equity method investees is included in </w:t>
      </w:r>
      <w:r>
        <w:rPr>
          <w:rFonts w:ascii="Arial" w:cs="Arial" w:eastAsia="Arial" w:hAnsi="Arial"/>
          <w:sz w:val="15"/>
          <w:szCs w:val="15"/>
          <w:i w:val="1"/>
          <w:iCs w:val="1"/>
          <w:color w:val="auto"/>
        </w:rPr>
        <w:t>Interest &amp; other income</w:t>
      </w:r>
      <w:r>
        <w:rPr>
          <w:rFonts w:ascii="Arial" w:cs="Arial" w:eastAsia="Arial" w:hAnsi="Arial"/>
          <w:sz w:val="15"/>
          <w:szCs w:val="15"/>
          <w:color w:val="auto"/>
        </w:rPr>
        <w:t xml:space="preserve">. Investments in privately held companies in which SLB does not have the ability to exercise significant influence are accounted for using the cost method. Investments in publicly traded companies in which SLB does not have the ability to exercise significant influence are reported at fair value, with unrealized gains and losses reported as a component of </w:t>
      </w:r>
      <w:r>
        <w:rPr>
          <w:rFonts w:ascii="Arial" w:cs="Arial" w:eastAsia="Arial" w:hAnsi="Arial"/>
          <w:sz w:val="15"/>
          <w:szCs w:val="15"/>
          <w:i w:val="1"/>
          <w:iCs w:val="1"/>
          <w:color w:val="auto"/>
        </w:rPr>
        <w:t>Interest &amp; other income</w:t>
      </w:r>
      <w:r>
        <w:rPr>
          <w:rFonts w:ascii="Arial" w:cs="Arial" w:eastAsia="Arial" w:hAnsi="Arial"/>
          <w:sz w:val="15"/>
          <w:szCs w:val="15"/>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Exploration Data</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SLB’s exploration data library consists of completed and in-process seismic surveys that are licensed on a nonexclusive basis. SLB capitalizes costs directly incurred in acquiring and processing the exploration data. Such costs are charged to </w:t>
      </w:r>
      <w:r>
        <w:rPr>
          <w:rFonts w:ascii="Arial" w:cs="Arial" w:eastAsia="Arial" w:hAnsi="Arial"/>
          <w:sz w:val="15"/>
          <w:szCs w:val="15"/>
          <w:i w:val="1"/>
          <w:iCs w:val="1"/>
          <w:color w:val="auto"/>
        </w:rPr>
        <w:t>Cost of services</w:t>
      </w:r>
      <w:r>
        <w:rPr>
          <w:rFonts w:ascii="Arial" w:cs="Arial" w:eastAsia="Arial" w:hAnsi="Arial"/>
          <w:sz w:val="15"/>
          <w:szCs w:val="15"/>
          <w:color w:val="auto"/>
        </w:rPr>
        <w:t xml:space="preserve"> based on the percentage of the total costs to the estimated total revenue that SLB expects to receive from the sales of such data. However, an individual survey generally will not carry a net book value greater than a 4-year, straight-line amortized value.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5"/>
          <w:szCs w:val="15"/>
          <w:color w:val="auto"/>
        </w:rPr>
        <w:t>The carrying value of the exploration data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SLB, would not be sufficient to recover the carrying value of the surveys. Significant adverse changes in SLB’s estimated future cash flows could result in impairment charges in a future period.</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Asset Performance Solutions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Asset Performance Solutions (“APS”) projects are generally focused on developing and co-managing production of customers’ assets under long-term agreements. SLB invests its own services and products into the field development activities and operations and is compensated on a fee-per-barrel basis or based on cash flow generated. This includes certain arrangements whereby SLB is only compensated based on incremental production that it helps deliver above a mutually agreed baseline.</w:t>
      </w: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SLB capitalizes its investments in a project including the direct costs associated with providing its services or products. These capitalized investments are amortized to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SLB is exposed to concentrations of credit risk primarily relating to cash, short-term investments, receivables from clients, and derivative financial instruments. SLB places its cash and short-term investments with financial institutions and corporations and limits the amount of credit exposure with any one of them. SLB regularly evaluates the creditworthiness of the issuers in which it invests. By using derivative financial instruments to hedge certain exposures, SLB exposes itself to some credit risk. SLB minimizes this credit risk by entering into transactions with high-quality counterparties, limiting the exposure to each counterparty and monitoring the financial condition of its counterparties.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As a large multinational company, SLB’s accounts receivable are spread over many countries and customers. The United States represented 13% of SLB’s net accounts receivable balance at December 31, 2025. No other country accounted for greater than 10% of SLB’s accounts receivable balance. SLB maintains an allowance for uncollectible accounts receivable based on expected collectibility and performs ongoing credit evaluations of its customers’ financial condition. If the financial condition of SLB’s customers were to deteriorate resulting in an impairment of their ability to make payments, adjustments to the allowance may be required.</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Earnings per Share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reconciliation from basic to diluted earnings per share of SLB:</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39"/>
        </w:trPr>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400"/>
              <w:spacing w:after="0"/>
              <w:rPr>
                <w:sz w:val="20"/>
                <w:szCs w:val="20"/>
                <w:color w:val="auto"/>
              </w:rPr>
            </w:pPr>
            <w:r>
              <w:rPr>
                <w:rFonts w:ascii="Arial" w:cs="Arial" w:eastAsia="Arial" w:hAnsi="Arial"/>
                <w:sz w:val="15"/>
                <w:szCs w:val="15"/>
                <w:color w:val="auto"/>
              </w:rPr>
              <w:t>Average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Net Income</w:t>
            </w:r>
          </w:p>
        </w:tc>
        <w:tc>
          <w:tcPr>
            <w:tcW w:w="1520" w:type="dxa"/>
            <w:vAlign w:val="bottom"/>
            <w:gridSpan w:val="2"/>
          </w:tcPr>
          <w:p>
            <w:pPr>
              <w:jc w:val="center"/>
              <w:ind w:right="120"/>
              <w:spacing w:after="0"/>
              <w:rPr>
                <w:sz w:val="20"/>
                <w:szCs w:val="20"/>
                <w:color w:val="auto"/>
              </w:rPr>
            </w:pPr>
            <w:r>
              <w:rPr>
                <w:rFonts w:ascii="Arial" w:cs="Arial" w:eastAsia="Arial" w:hAnsi="Arial"/>
                <w:sz w:val="15"/>
                <w:szCs w:val="15"/>
                <w:color w:val="auto"/>
              </w:rPr>
              <w:t>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5"/>
                <w:szCs w:val="15"/>
                <w:color w:val="auto"/>
              </w:rPr>
              <w:t>Earnings per</w:t>
            </w:r>
          </w:p>
        </w:tc>
      </w:tr>
      <w:tr>
        <w:trPr>
          <w:trHeight w:val="190"/>
        </w:trPr>
        <w:tc>
          <w:tcPr>
            <w:tcW w:w="664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Arial" w:cs="Arial" w:eastAsia="Arial" w:hAnsi="Arial"/>
                <w:sz w:val="15"/>
                <w:szCs w:val="15"/>
                <w:color w:val="auto"/>
              </w:rPr>
              <w:t>Attributable to SLB</w:t>
            </w:r>
          </w:p>
        </w:tc>
        <w:tc>
          <w:tcPr>
            <w:tcW w:w="1520" w:type="dxa"/>
            <w:vAlign w:val="bottom"/>
            <w:gridSpan w:val="2"/>
          </w:tcPr>
          <w:p>
            <w:pPr>
              <w:jc w:val="center"/>
              <w:ind w:right="120"/>
              <w:spacing w:after="0"/>
              <w:rPr>
                <w:sz w:val="20"/>
                <w:szCs w:val="20"/>
                <w:color w:val="auto"/>
              </w:rPr>
            </w:pPr>
            <w:r>
              <w:rPr>
                <w:rFonts w:ascii="Arial" w:cs="Arial" w:eastAsia="Arial" w:hAnsi="Arial"/>
                <w:sz w:val="15"/>
                <w:szCs w:val="15"/>
                <w:color w:val="auto"/>
              </w:rPr>
              <w:t>Outstanding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5"/>
                <w:szCs w:val="15"/>
                <w:color w:val="auto"/>
              </w:rPr>
              <w:t>Share</w:t>
            </w:r>
          </w:p>
        </w:tc>
      </w:tr>
      <w:tr>
        <w:trPr>
          <w:trHeight w:val="170"/>
        </w:trPr>
        <w:tc>
          <w:tcPr>
            <w:tcW w:w="6640" w:type="dxa"/>
            <w:vAlign w:val="bottom"/>
            <w:shd w:val="clear" w:color="auto" w:fill="CFF0FC"/>
          </w:tcPr>
          <w:p>
            <w:pPr>
              <w:spacing w:after="0" w:line="171" w:lineRule="exact"/>
              <w:rPr>
                <w:sz w:val="20"/>
                <w:szCs w:val="20"/>
                <w:color w:val="auto"/>
              </w:rPr>
            </w:pPr>
            <w:r>
              <w:rPr>
                <w:rFonts w:ascii="Arial" w:cs="Arial" w:eastAsia="Arial" w:hAnsi="Arial"/>
                <w:sz w:val="15"/>
                <w:szCs w:val="15"/>
                <w:b w:val="1"/>
                <w:bCs w:val="1"/>
                <w:color w:val="auto"/>
              </w:rPr>
              <w:t>2025:</w:t>
            </w:r>
          </w:p>
        </w:tc>
        <w:tc>
          <w:tcPr>
            <w:tcW w:w="1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6640" w:type="dxa"/>
            <w:vAlign w:val="bottom"/>
          </w:tcPr>
          <w:p>
            <w:pPr>
              <w:spacing w:after="0" w:line="158" w:lineRule="exact"/>
              <w:rPr>
                <w:sz w:val="20"/>
                <w:szCs w:val="20"/>
                <w:color w:val="auto"/>
              </w:rPr>
            </w:pPr>
            <w:r>
              <w:rPr>
                <w:rFonts w:ascii="Arial" w:cs="Arial" w:eastAsia="Arial" w:hAnsi="Arial"/>
                <w:sz w:val="15"/>
                <w:szCs w:val="15"/>
                <w:b w:val="1"/>
                <w:bCs w:val="1"/>
                <w:color w:val="auto"/>
              </w:rPr>
              <w:t>Basic</w:t>
            </w:r>
          </w:p>
        </w:tc>
        <w:tc>
          <w:tcPr>
            <w:tcW w:w="160" w:type="dxa"/>
            <w:vAlign w:val="bottom"/>
          </w:tcPr>
          <w:p>
            <w:pPr>
              <w:jc w:val="right"/>
              <w:ind w:right="4"/>
              <w:spacing w:after="0" w:line="158" w:lineRule="exact"/>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0"/>
              <w:spacing w:after="0" w:line="158" w:lineRule="exact"/>
              <w:rPr>
                <w:sz w:val="20"/>
                <w:szCs w:val="20"/>
                <w:color w:val="auto"/>
              </w:rPr>
            </w:pPr>
            <w:r>
              <w:rPr>
                <w:rFonts w:ascii="Arial" w:cs="Arial" w:eastAsia="Arial" w:hAnsi="Arial"/>
                <w:sz w:val="15"/>
                <w:szCs w:val="15"/>
                <w:b w:val="1"/>
                <w:bCs w:val="1"/>
                <w:color w:val="auto"/>
              </w:rPr>
              <w:t>3,374</w:t>
            </w:r>
          </w:p>
        </w:tc>
        <w:tc>
          <w:tcPr>
            <w:tcW w:w="200" w:type="dxa"/>
            <w:vAlign w:val="bottom"/>
          </w:tcPr>
          <w:p>
            <w:pPr>
              <w:spacing w:after="0"/>
              <w:rPr>
                <w:sz w:val="15"/>
                <w:szCs w:val="15"/>
                <w:color w:val="auto"/>
              </w:rPr>
            </w:pPr>
          </w:p>
        </w:tc>
        <w:tc>
          <w:tcPr>
            <w:tcW w:w="1520" w:type="dxa"/>
            <w:vAlign w:val="bottom"/>
            <w:gridSpan w:val="2"/>
          </w:tcPr>
          <w:p>
            <w:pPr>
              <w:jc w:val="right"/>
              <w:ind w:right="120"/>
              <w:spacing w:after="0" w:line="158" w:lineRule="exact"/>
              <w:rPr>
                <w:sz w:val="20"/>
                <w:szCs w:val="20"/>
                <w:color w:val="auto"/>
              </w:rPr>
            </w:pPr>
            <w:r>
              <w:rPr>
                <w:rFonts w:ascii="Arial" w:cs="Arial" w:eastAsia="Arial" w:hAnsi="Arial"/>
                <w:sz w:val="15"/>
                <w:szCs w:val="15"/>
                <w:b w:val="1"/>
                <w:bCs w:val="1"/>
                <w:color w:val="auto"/>
              </w:rPr>
              <w:t>1,421</w:t>
            </w:r>
          </w:p>
        </w:tc>
        <w:tc>
          <w:tcPr>
            <w:tcW w:w="280" w:type="dxa"/>
            <w:vAlign w:val="bottom"/>
            <w:gridSpan w:val="2"/>
          </w:tcPr>
          <w:p>
            <w:pPr>
              <w:jc w:val="right"/>
              <w:ind w:right="60"/>
              <w:spacing w:after="0" w:line="158" w:lineRule="exact"/>
              <w:rPr>
                <w:sz w:val="20"/>
                <w:szCs w:val="20"/>
                <w:color w:val="auto"/>
              </w:rPr>
            </w:pPr>
            <w:r>
              <w:rPr>
                <w:rFonts w:ascii="Arial" w:cs="Arial" w:eastAsia="Arial" w:hAnsi="Arial"/>
                <w:sz w:val="15"/>
                <w:szCs w:val="15"/>
                <w:b w:val="1"/>
                <w:bCs w:val="1"/>
                <w:color w:val="auto"/>
              </w:rPr>
              <w:t>$</w:t>
            </w:r>
          </w:p>
        </w:tc>
        <w:tc>
          <w:tcPr>
            <w:tcW w:w="1260" w:type="dxa"/>
            <w:vAlign w:val="bottom"/>
            <w:gridSpan w:val="2"/>
          </w:tcPr>
          <w:p>
            <w:pPr>
              <w:jc w:val="right"/>
              <w:ind w:right="100"/>
              <w:spacing w:after="0" w:line="158" w:lineRule="exact"/>
              <w:rPr>
                <w:sz w:val="20"/>
                <w:szCs w:val="20"/>
                <w:color w:val="auto"/>
              </w:rPr>
            </w:pPr>
            <w:r>
              <w:rPr>
                <w:rFonts w:ascii="Arial" w:cs="Arial" w:eastAsia="Arial" w:hAnsi="Arial"/>
                <w:sz w:val="15"/>
                <w:szCs w:val="15"/>
                <w:b w:val="1"/>
                <w:bCs w:val="1"/>
                <w:color w:val="auto"/>
              </w:rPr>
              <w:t>2.38</w:t>
            </w:r>
          </w:p>
        </w:tc>
      </w:tr>
      <w:tr>
        <w:trPr>
          <w:trHeight w:val="20"/>
        </w:trPr>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Dilutive impact of stock options and restricted stock</w:t>
            </w:r>
          </w:p>
        </w:tc>
        <w:tc>
          <w:tcPr>
            <w:tcW w:w="1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5"/>
                <w:szCs w:val="15"/>
                <w:b w:val="1"/>
                <w:bCs w:val="1"/>
                <w:color w:val="auto"/>
              </w:rPr>
              <w:t>16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0"/>
        </w:trPr>
        <w:tc>
          <w:tcPr>
            <w:tcW w:w="6640" w:type="dxa"/>
            <w:vAlign w:val="bottom"/>
          </w:tcPr>
          <w:p>
            <w:pPr>
              <w:spacing w:after="0" w:line="158" w:lineRule="exact"/>
              <w:rPr>
                <w:sz w:val="20"/>
                <w:szCs w:val="20"/>
                <w:color w:val="auto"/>
              </w:rPr>
            </w:pPr>
            <w:r>
              <w:rPr>
                <w:rFonts w:ascii="Arial" w:cs="Arial" w:eastAsia="Arial" w:hAnsi="Arial"/>
                <w:sz w:val="15"/>
                <w:szCs w:val="15"/>
                <w:b w:val="1"/>
                <w:bCs w:val="1"/>
                <w:color w:val="auto"/>
              </w:rPr>
              <w:t>Diluted</w:t>
            </w:r>
          </w:p>
        </w:tc>
        <w:tc>
          <w:tcPr>
            <w:tcW w:w="160" w:type="dxa"/>
            <w:vAlign w:val="bottom"/>
            <w:tcBorders>
              <w:top w:val="single" w:sz="8" w:color="auto"/>
            </w:tcBorders>
          </w:tcPr>
          <w:p>
            <w:pPr>
              <w:jc w:val="right"/>
              <w:ind w:right="4"/>
              <w:spacing w:after="0" w:line="158" w:lineRule="exact"/>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5"/>
                <w:szCs w:val="15"/>
                <w:b w:val="1"/>
                <w:bCs w:val="1"/>
                <w:color w:val="auto"/>
              </w:rPr>
              <w:t>3,374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5"/>
                <w:szCs w:val="15"/>
                <w:b w:val="1"/>
                <w:bCs w:val="1"/>
                <w:color w:val="auto"/>
              </w:rPr>
              <w:t>1,437</w:t>
            </w:r>
          </w:p>
        </w:tc>
        <w:tc>
          <w:tcPr>
            <w:tcW w:w="120" w:type="dxa"/>
            <w:vAlign w:val="bottom"/>
          </w:tcPr>
          <w:p>
            <w:pPr>
              <w:spacing w:after="0"/>
              <w:rPr>
                <w:sz w:val="14"/>
                <w:szCs w:val="14"/>
                <w:color w:val="auto"/>
              </w:rPr>
            </w:pPr>
          </w:p>
        </w:tc>
        <w:tc>
          <w:tcPr>
            <w:tcW w:w="280" w:type="dxa"/>
            <w:vAlign w:val="bottom"/>
            <w:gridSpan w:val="2"/>
          </w:tcPr>
          <w:p>
            <w:pPr>
              <w:jc w:val="right"/>
              <w:ind w:right="60"/>
              <w:spacing w:after="0" w:line="151" w:lineRule="exact"/>
              <w:rPr>
                <w:sz w:val="20"/>
                <w:szCs w:val="20"/>
                <w:color w:val="auto"/>
              </w:rPr>
            </w:pPr>
            <w:r>
              <w:rPr>
                <w:rFonts w:ascii="Arial" w:cs="Arial" w:eastAsia="Arial" w:hAnsi="Arial"/>
                <w:sz w:val="15"/>
                <w:szCs w:val="15"/>
                <w:b w:val="1"/>
                <w:bCs w:val="1"/>
                <w:color w:val="auto"/>
              </w:rPr>
              <w:t>$</w:t>
            </w:r>
          </w:p>
        </w:tc>
        <w:tc>
          <w:tcPr>
            <w:tcW w:w="1260" w:type="dxa"/>
            <w:vAlign w:val="bottom"/>
            <w:gridSpan w:val="2"/>
          </w:tcPr>
          <w:p>
            <w:pPr>
              <w:jc w:val="right"/>
              <w:ind w:right="100"/>
              <w:spacing w:after="0" w:line="151" w:lineRule="exact"/>
              <w:rPr>
                <w:sz w:val="20"/>
                <w:szCs w:val="20"/>
                <w:color w:val="auto"/>
              </w:rPr>
            </w:pPr>
            <w:r>
              <w:rPr>
                <w:rFonts w:ascii="Arial" w:cs="Arial" w:eastAsia="Arial" w:hAnsi="Arial"/>
                <w:sz w:val="15"/>
                <w:szCs w:val="15"/>
                <w:b w:val="1"/>
                <w:bCs w:val="1"/>
                <w:color w:val="auto"/>
              </w:rPr>
              <w:t>2.35</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2024:</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8"/>
        </w:trPr>
        <w:tc>
          <w:tcPr>
            <w:tcW w:w="6640" w:type="dxa"/>
            <w:vAlign w:val="bottom"/>
          </w:tcPr>
          <w:p>
            <w:pPr>
              <w:spacing w:after="0" w:line="158" w:lineRule="exact"/>
              <w:rPr>
                <w:sz w:val="20"/>
                <w:szCs w:val="20"/>
                <w:color w:val="auto"/>
              </w:rPr>
            </w:pPr>
            <w:r>
              <w:rPr>
                <w:rFonts w:ascii="Arial" w:cs="Arial" w:eastAsia="Arial" w:hAnsi="Arial"/>
                <w:sz w:val="15"/>
                <w:szCs w:val="15"/>
                <w:color w:val="auto"/>
              </w:rPr>
              <w:t>Basic</w:t>
            </w:r>
          </w:p>
        </w:tc>
        <w:tc>
          <w:tcPr>
            <w:tcW w:w="160" w:type="dxa"/>
            <w:vAlign w:val="bottom"/>
          </w:tcPr>
          <w:p>
            <w:pPr>
              <w:jc w:val="right"/>
              <w:ind w:right="4"/>
              <w:spacing w:after="0" w:line="158"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4,461</w:t>
            </w:r>
          </w:p>
        </w:tc>
        <w:tc>
          <w:tcPr>
            <w:tcW w:w="200" w:type="dxa"/>
            <w:vAlign w:val="bottom"/>
          </w:tcPr>
          <w:p>
            <w:pPr>
              <w:spacing w:after="0"/>
              <w:rPr>
                <w:sz w:val="15"/>
                <w:szCs w:val="15"/>
                <w:color w:val="auto"/>
              </w:rPr>
            </w:pPr>
          </w:p>
        </w:tc>
        <w:tc>
          <w:tcPr>
            <w:tcW w:w="1520" w:type="dxa"/>
            <w:vAlign w:val="bottom"/>
            <w:gridSpan w:val="2"/>
          </w:tcPr>
          <w:p>
            <w:pPr>
              <w:jc w:val="right"/>
              <w:ind w:right="120"/>
              <w:spacing w:after="0" w:line="158" w:lineRule="exact"/>
              <w:rPr>
                <w:sz w:val="20"/>
                <w:szCs w:val="20"/>
                <w:color w:val="auto"/>
              </w:rPr>
            </w:pPr>
            <w:r>
              <w:rPr>
                <w:rFonts w:ascii="Arial" w:cs="Arial" w:eastAsia="Arial" w:hAnsi="Arial"/>
                <w:sz w:val="15"/>
                <w:szCs w:val="15"/>
                <w:color w:val="auto"/>
              </w:rPr>
              <w:t>1,421</w:t>
            </w:r>
          </w:p>
        </w:tc>
        <w:tc>
          <w:tcPr>
            <w:tcW w:w="28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3.14</w:t>
            </w:r>
          </w:p>
        </w:tc>
      </w:tr>
      <w:tr>
        <w:trPr>
          <w:trHeight w:val="20"/>
        </w:trPr>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Dilutive impact of stock options and restricted stock</w:t>
            </w:r>
          </w:p>
        </w:tc>
        <w:tc>
          <w:tcPr>
            <w:tcW w:w="16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15</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70"/>
        </w:trPr>
        <w:tc>
          <w:tcPr>
            <w:tcW w:w="6640" w:type="dxa"/>
            <w:vAlign w:val="bottom"/>
          </w:tcPr>
          <w:p>
            <w:pPr>
              <w:spacing w:after="0" w:line="158" w:lineRule="exact"/>
              <w:rPr>
                <w:sz w:val="20"/>
                <w:szCs w:val="20"/>
                <w:color w:val="auto"/>
              </w:rPr>
            </w:pPr>
            <w:r>
              <w:rPr>
                <w:rFonts w:ascii="Arial" w:cs="Arial" w:eastAsia="Arial" w:hAnsi="Arial"/>
                <w:sz w:val="15"/>
                <w:szCs w:val="15"/>
                <w:color w:val="auto"/>
              </w:rPr>
              <w:t>Diluted</w:t>
            </w:r>
          </w:p>
        </w:tc>
        <w:tc>
          <w:tcPr>
            <w:tcW w:w="160" w:type="dxa"/>
            <w:vAlign w:val="bottom"/>
          </w:tcPr>
          <w:p>
            <w:pPr>
              <w:jc w:val="right"/>
              <w:ind w:right="4"/>
              <w:spacing w:after="0" w:line="158"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4,461</w:t>
            </w:r>
          </w:p>
        </w:tc>
        <w:tc>
          <w:tcPr>
            <w:tcW w:w="200" w:type="dxa"/>
            <w:vAlign w:val="bottom"/>
          </w:tcPr>
          <w:p>
            <w:pPr>
              <w:spacing w:after="0"/>
              <w:rPr>
                <w:sz w:val="14"/>
                <w:szCs w:val="14"/>
                <w:color w:val="auto"/>
              </w:rPr>
            </w:pPr>
          </w:p>
        </w:tc>
        <w:tc>
          <w:tcPr>
            <w:tcW w:w="1520" w:type="dxa"/>
            <w:vAlign w:val="bottom"/>
            <w:gridSpan w:val="2"/>
          </w:tcPr>
          <w:p>
            <w:pPr>
              <w:jc w:val="right"/>
              <w:ind w:right="120"/>
              <w:spacing w:after="0" w:line="158" w:lineRule="exact"/>
              <w:rPr>
                <w:sz w:val="20"/>
                <w:szCs w:val="20"/>
                <w:color w:val="auto"/>
              </w:rPr>
            </w:pPr>
            <w:r>
              <w:rPr>
                <w:rFonts w:ascii="Arial" w:cs="Arial" w:eastAsia="Arial" w:hAnsi="Arial"/>
                <w:sz w:val="15"/>
                <w:szCs w:val="15"/>
                <w:color w:val="auto"/>
              </w:rPr>
              <w:t>1,436</w:t>
            </w:r>
          </w:p>
        </w:tc>
        <w:tc>
          <w:tcPr>
            <w:tcW w:w="28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3.11</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2023:</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8"/>
        </w:trPr>
        <w:tc>
          <w:tcPr>
            <w:tcW w:w="6640" w:type="dxa"/>
            <w:vAlign w:val="bottom"/>
          </w:tcPr>
          <w:p>
            <w:pPr>
              <w:spacing w:after="0" w:line="158" w:lineRule="exact"/>
              <w:rPr>
                <w:sz w:val="20"/>
                <w:szCs w:val="20"/>
                <w:color w:val="auto"/>
              </w:rPr>
            </w:pPr>
            <w:r>
              <w:rPr>
                <w:rFonts w:ascii="Arial" w:cs="Arial" w:eastAsia="Arial" w:hAnsi="Arial"/>
                <w:sz w:val="15"/>
                <w:szCs w:val="15"/>
                <w:color w:val="auto"/>
              </w:rPr>
              <w:t>Basic</w:t>
            </w:r>
          </w:p>
        </w:tc>
        <w:tc>
          <w:tcPr>
            <w:tcW w:w="160" w:type="dxa"/>
            <w:vAlign w:val="bottom"/>
          </w:tcPr>
          <w:p>
            <w:pPr>
              <w:jc w:val="right"/>
              <w:ind w:right="4"/>
              <w:spacing w:after="0" w:line="158"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4,203</w:t>
            </w:r>
          </w:p>
        </w:tc>
        <w:tc>
          <w:tcPr>
            <w:tcW w:w="200" w:type="dxa"/>
            <w:vAlign w:val="bottom"/>
          </w:tcPr>
          <w:p>
            <w:pPr>
              <w:spacing w:after="0"/>
              <w:rPr>
                <w:sz w:val="15"/>
                <w:szCs w:val="15"/>
                <w:color w:val="auto"/>
              </w:rPr>
            </w:pPr>
          </w:p>
        </w:tc>
        <w:tc>
          <w:tcPr>
            <w:tcW w:w="1520" w:type="dxa"/>
            <w:vAlign w:val="bottom"/>
            <w:gridSpan w:val="2"/>
          </w:tcPr>
          <w:p>
            <w:pPr>
              <w:jc w:val="right"/>
              <w:ind w:right="120"/>
              <w:spacing w:after="0" w:line="158" w:lineRule="exact"/>
              <w:rPr>
                <w:sz w:val="20"/>
                <w:szCs w:val="20"/>
                <w:color w:val="auto"/>
              </w:rPr>
            </w:pPr>
            <w:r>
              <w:rPr>
                <w:rFonts w:ascii="Arial" w:cs="Arial" w:eastAsia="Arial" w:hAnsi="Arial"/>
                <w:sz w:val="15"/>
                <w:szCs w:val="15"/>
                <w:color w:val="auto"/>
              </w:rPr>
              <w:t>1,425</w:t>
            </w:r>
          </w:p>
        </w:tc>
        <w:tc>
          <w:tcPr>
            <w:tcW w:w="28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2.95</w:t>
            </w:r>
          </w:p>
        </w:tc>
      </w:tr>
      <w:tr>
        <w:trPr>
          <w:trHeight w:val="20"/>
        </w:trPr>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4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Dilutive impact of stock options and restricted stock</w:t>
            </w:r>
          </w:p>
        </w:tc>
        <w:tc>
          <w:tcPr>
            <w:tcW w:w="16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18</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r>
      <w:tr>
        <w:trPr>
          <w:trHeight w:val="170"/>
        </w:trPr>
        <w:tc>
          <w:tcPr>
            <w:tcW w:w="6640" w:type="dxa"/>
            <w:vAlign w:val="bottom"/>
          </w:tcPr>
          <w:p>
            <w:pPr>
              <w:spacing w:after="0" w:line="158" w:lineRule="exact"/>
              <w:rPr>
                <w:sz w:val="20"/>
                <w:szCs w:val="20"/>
                <w:color w:val="auto"/>
              </w:rPr>
            </w:pPr>
            <w:r>
              <w:rPr>
                <w:rFonts w:ascii="Arial" w:cs="Arial" w:eastAsia="Arial" w:hAnsi="Arial"/>
                <w:sz w:val="15"/>
                <w:szCs w:val="15"/>
                <w:color w:val="auto"/>
              </w:rPr>
              <w:t>Diluted</w:t>
            </w:r>
          </w:p>
        </w:tc>
        <w:tc>
          <w:tcPr>
            <w:tcW w:w="160" w:type="dxa"/>
            <w:vAlign w:val="bottom"/>
          </w:tcPr>
          <w:p>
            <w:pPr>
              <w:jc w:val="right"/>
              <w:ind w:right="4"/>
              <w:spacing w:after="0" w:line="158"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4,203</w:t>
            </w:r>
          </w:p>
        </w:tc>
        <w:tc>
          <w:tcPr>
            <w:tcW w:w="200" w:type="dxa"/>
            <w:vAlign w:val="bottom"/>
          </w:tcPr>
          <w:p>
            <w:pPr>
              <w:spacing w:after="0"/>
              <w:rPr>
                <w:sz w:val="14"/>
                <w:szCs w:val="14"/>
                <w:color w:val="auto"/>
              </w:rPr>
            </w:pPr>
          </w:p>
        </w:tc>
        <w:tc>
          <w:tcPr>
            <w:tcW w:w="1520" w:type="dxa"/>
            <w:vAlign w:val="bottom"/>
            <w:gridSpan w:val="2"/>
          </w:tcPr>
          <w:p>
            <w:pPr>
              <w:jc w:val="right"/>
              <w:ind w:right="120"/>
              <w:spacing w:after="0" w:line="158" w:lineRule="exact"/>
              <w:rPr>
                <w:sz w:val="20"/>
                <w:szCs w:val="20"/>
                <w:color w:val="auto"/>
              </w:rPr>
            </w:pPr>
            <w:r>
              <w:rPr>
                <w:rFonts w:ascii="Arial" w:cs="Arial" w:eastAsia="Arial" w:hAnsi="Arial"/>
                <w:sz w:val="15"/>
                <w:szCs w:val="15"/>
                <w:color w:val="auto"/>
              </w:rPr>
              <w:t>1,443</w:t>
            </w:r>
          </w:p>
        </w:tc>
        <w:tc>
          <w:tcPr>
            <w:tcW w:w="28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2.91</w:t>
            </w:r>
          </w:p>
        </w:tc>
      </w:tr>
      <w:tr>
        <w:trPr>
          <w:trHeight w:val="20"/>
        </w:trPr>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-652145</wp:posOffset>
            </wp:positionV>
            <wp:extent cx="723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-652145</wp:posOffset>
            </wp:positionV>
            <wp:extent cx="723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-144145</wp:posOffset>
            </wp:positionV>
            <wp:extent cx="723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-144145</wp:posOffset>
            </wp:positionV>
            <wp:extent cx="723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number of outstanding employee stock options to purchase shares of SLB common stock that were not included in the computation of diluted earnings per share, because to do so would have had an anti-dilutive effect,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6560" w:type="dxa"/>
            <w:vAlign w:val="bottom"/>
          </w:tcPr>
          <w:p>
            <w:pPr>
              <w:spacing w:after="0"/>
              <w:rPr>
                <w:sz w:val="24"/>
                <w:szCs w:val="24"/>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2025</w:t>
            </w: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2024</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7600" w:type="dxa"/>
            <w:vAlign w:val="bottom"/>
            <w:gridSpan w:val="2"/>
            <w:shd w:val="clear" w:color="auto" w:fill="CFF0FC"/>
          </w:tcPr>
          <w:p>
            <w:pPr>
              <w:jc w:val="right"/>
              <w:ind w:right="5924"/>
              <w:spacing w:after="0" w:line="171" w:lineRule="exact"/>
              <w:rPr>
                <w:sz w:val="20"/>
                <w:szCs w:val="20"/>
                <w:color w:val="auto"/>
              </w:rPr>
            </w:pPr>
            <w:r>
              <w:rPr>
                <w:rFonts w:ascii="Arial" w:cs="Arial" w:eastAsia="Arial" w:hAnsi="Arial"/>
                <w:sz w:val="15"/>
                <w:szCs w:val="15"/>
                <w:color w:val="auto"/>
                <w:w w:val="99"/>
              </w:rPr>
              <w:t>Employee stock options</w:t>
            </w:r>
          </w:p>
        </w:tc>
        <w:tc>
          <w:tcPr>
            <w:tcW w:w="540" w:type="dxa"/>
            <w:vAlign w:val="bottom"/>
            <w:gridSpan w:val="2"/>
            <w:shd w:val="clear" w:color="auto" w:fill="CFF0FC"/>
          </w:tcPr>
          <w:p>
            <w:pPr>
              <w:jc w:val="right"/>
              <w:ind w:right="200"/>
              <w:spacing w:after="0" w:line="171" w:lineRule="exact"/>
              <w:rPr>
                <w:sz w:val="20"/>
                <w:szCs w:val="20"/>
                <w:color w:val="auto"/>
              </w:rPr>
            </w:pPr>
            <w:r>
              <w:rPr>
                <w:rFonts w:ascii="Arial" w:cs="Arial" w:eastAsia="Arial" w:hAnsi="Arial"/>
                <w:sz w:val="15"/>
                <w:szCs w:val="15"/>
                <w:b w:val="1"/>
                <w:bCs w:val="1"/>
                <w:color w:val="auto"/>
              </w:rPr>
              <w:t>17</w:t>
            </w:r>
          </w:p>
        </w:tc>
        <w:tc>
          <w:tcPr>
            <w:tcW w:w="14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16</w:t>
            </w:r>
          </w:p>
        </w:tc>
        <w:tc>
          <w:tcPr>
            <w:tcW w:w="16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21</w:t>
            </w:r>
          </w:p>
        </w:tc>
        <w:tc>
          <w:tcPr>
            <w:tcW w:w="100" w:type="dxa"/>
            <w:vAlign w:val="bottom"/>
            <w:shd w:val="clear" w:color="auto" w:fill="CFF0FC"/>
          </w:tcPr>
          <w:p>
            <w:pPr>
              <w:spacing w:after="0"/>
              <w:rPr>
                <w:sz w:val="14"/>
                <w:szCs w:val="14"/>
                <w:color w:val="auto"/>
              </w:rPr>
            </w:pPr>
          </w:p>
        </w:tc>
      </w:tr>
      <w:tr>
        <w:trPr>
          <w:trHeight w:val="594"/>
        </w:trPr>
        <w:tc>
          <w:tcPr>
            <w:tcW w:w="6560" w:type="dxa"/>
            <w:vAlign w:val="bottom"/>
          </w:tcPr>
          <w:p>
            <w:pPr>
              <w:jc w:val="right"/>
              <w:ind w:right="784"/>
              <w:spacing w:after="0"/>
              <w:rPr>
                <w:sz w:val="20"/>
                <w:szCs w:val="20"/>
                <w:color w:val="auto"/>
              </w:rPr>
            </w:pPr>
            <w:r>
              <w:rPr>
                <w:rFonts w:ascii="Arial" w:cs="Arial" w:eastAsia="Arial" w:hAnsi="Arial"/>
                <w:sz w:val="15"/>
                <w:szCs w:val="15"/>
                <w:color w:val="auto"/>
              </w:rPr>
              <w:t>36</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6"/>
        </w:trPr>
        <w:tc>
          <w:tcPr>
            <w:tcW w:w="6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 xml:space="preserve">3. </w:t>
      </w:r>
      <w:r>
        <w:rPr>
          <w:rFonts w:ascii="Arial" w:cs="Arial" w:eastAsia="Arial" w:hAnsi="Arial"/>
          <w:sz w:val="15"/>
          <w:szCs w:val="15"/>
          <w:b w:val="1"/>
          <w:bCs w:val="1"/>
          <w:u w:val="single" w:color="auto"/>
          <w:color w:val="auto"/>
        </w:rPr>
        <w:t>Charges and Credits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2025</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SLB recorded the following charges and credits during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339"/>
        </w:trPr>
        <w:tc>
          <w:tcPr>
            <w:tcW w:w="580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5"/>
                <w:szCs w:val="15"/>
                <w:color w:val="auto"/>
              </w:rPr>
              <w:t>Pretax Charge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Tax Benefit</w:t>
            </w:r>
          </w:p>
        </w:tc>
        <w:tc>
          <w:tcPr>
            <w:tcW w:w="80" w:type="dxa"/>
            <w:vAlign w:val="bottom"/>
          </w:tcPr>
          <w:p>
            <w:pPr>
              <w:spacing w:after="0"/>
              <w:rPr>
                <w:sz w:val="24"/>
                <w:szCs w:val="24"/>
                <w:color w:val="auto"/>
              </w:rPr>
            </w:pPr>
          </w:p>
        </w:tc>
        <w:tc>
          <w:tcPr>
            <w:tcW w:w="1180" w:type="dxa"/>
            <w:vAlign w:val="bottom"/>
            <w:gridSpan w:val="2"/>
          </w:tcPr>
          <w:p>
            <w:pPr>
              <w:jc w:val="right"/>
              <w:ind w:right="44"/>
              <w:spacing w:after="0"/>
              <w:rPr>
                <w:sz w:val="20"/>
                <w:szCs w:val="20"/>
                <w:color w:val="auto"/>
              </w:rPr>
            </w:pPr>
            <w:r>
              <w:rPr>
                <w:rFonts w:ascii="Arial" w:cs="Arial" w:eastAsia="Arial" w:hAnsi="Arial"/>
                <w:sz w:val="15"/>
                <w:szCs w:val="15"/>
                <w:color w:val="auto"/>
              </w:rPr>
              <w:t>Noncontrolling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5"/>
                <w:szCs w:val="15"/>
                <w:color w:val="auto"/>
              </w:rPr>
              <w:t>(Credit)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5"/>
                <w:szCs w:val="15"/>
                <w:color w:val="auto"/>
              </w:rPr>
              <w:t>(Expense)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64"/>
              <w:spacing w:after="0"/>
              <w:rPr>
                <w:sz w:val="20"/>
                <w:szCs w:val="20"/>
                <w:color w:val="auto"/>
              </w:rPr>
            </w:pPr>
            <w:r>
              <w:rPr>
                <w:rFonts w:ascii="Arial" w:cs="Arial" w:eastAsia="Arial" w:hAnsi="Arial"/>
                <w:sz w:val="15"/>
                <w:szCs w:val="15"/>
                <w:color w:val="auto"/>
              </w:rPr>
              <w:t>Interest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5"/>
                <w:szCs w:val="15"/>
                <w:color w:val="auto"/>
              </w:rPr>
              <w:t>Net</w:t>
            </w:r>
          </w:p>
        </w:tc>
      </w:tr>
      <w:tr>
        <w:trPr>
          <w:trHeight w:val="170"/>
        </w:trPr>
        <w:tc>
          <w:tcPr>
            <w:tcW w:w="580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First quarter:</w:t>
            </w:r>
          </w:p>
        </w:tc>
        <w:tc>
          <w:tcPr>
            <w:tcW w:w="2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Workforce reductions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158</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5"/>
                <w:szCs w:val="15"/>
                <w:color w:val="auto"/>
              </w:rPr>
            </w:pPr>
          </w:p>
        </w:tc>
        <w:tc>
          <w:tcPr>
            <w:tcW w:w="30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8"/>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Other merger and integration</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spacing w:after="0"/>
              <w:rPr>
                <w:sz w:val="20"/>
                <w:szCs w:val="20"/>
                <w:color w:val="auto"/>
              </w:rPr>
            </w:pPr>
            <w:r>
              <w:rPr>
                <w:rFonts w:ascii="Arial" w:cs="Arial" w:eastAsia="Arial" w:hAnsi="Arial"/>
                <w:sz w:val="15"/>
                <w:szCs w:val="15"/>
                <w:i w:val="1"/>
                <w:iCs w:val="1"/>
                <w:color w:val="auto"/>
              </w:rPr>
              <w:t>Second quarter:</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Impairment of equity method investment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Workforce reductions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Other merger and integration</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Gain on sale of Palliser APS project</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(145)</w:t>
            </w:r>
          </w:p>
        </w:tc>
      </w:tr>
      <w:tr>
        <w:trPr>
          <w:trHeight w:val="178"/>
        </w:trPr>
        <w:tc>
          <w:tcPr>
            <w:tcW w:w="580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Third quarter:</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Acquisition-related professional fees</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Workforce reductions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Acquisition-related employee benefits</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Impairment of equity-method investment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Other merger and integration</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spacing w:after="0"/>
              <w:rPr>
                <w:sz w:val="20"/>
                <w:szCs w:val="20"/>
                <w:color w:val="auto"/>
              </w:rPr>
            </w:pPr>
            <w:r>
              <w:rPr>
                <w:rFonts w:ascii="Arial" w:cs="Arial" w:eastAsia="Arial" w:hAnsi="Arial"/>
                <w:sz w:val="15"/>
                <w:szCs w:val="15"/>
                <w:i w:val="1"/>
                <w:iCs w:val="1"/>
                <w:color w:val="auto"/>
              </w:rPr>
              <w:t>Fourth quarter:</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Goodwill impairment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Workforce reductions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ind w:left="100"/>
              <w:spacing w:after="0"/>
              <w:rPr>
                <w:sz w:val="20"/>
                <w:szCs w:val="20"/>
                <w:color w:val="auto"/>
              </w:rPr>
            </w:pPr>
            <w:r>
              <w:rPr>
                <w:rFonts w:ascii="Arial" w:cs="Arial" w:eastAsia="Arial" w:hAnsi="Arial"/>
                <w:sz w:val="15"/>
                <w:szCs w:val="15"/>
                <w:color w:val="auto"/>
              </w:rPr>
              <w:t>Other merger and integration</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5"/>
                <w:szCs w:val="15"/>
                <w:color w:val="auto"/>
              </w:rPr>
            </w:pPr>
          </w:p>
        </w:tc>
      </w:tr>
      <w:tr>
        <w:trPr>
          <w:trHeight w:val="178"/>
        </w:trPr>
        <w:tc>
          <w:tcPr>
            <w:tcW w:w="58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Reversal of valuation allowance relating to deferred tax assets</w:t>
            </w: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(92)</w:t>
            </w:r>
          </w:p>
        </w:tc>
      </w:tr>
      <w:tr>
        <w:trPr>
          <w:trHeight w:val="170"/>
        </w:trPr>
        <w:tc>
          <w:tcPr>
            <w:tcW w:w="580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1,107</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203</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4"/>
              <w:spacing w:after="0" w:line="171" w:lineRule="exact"/>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68</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line="171"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836</w:t>
            </w:r>
          </w:p>
        </w:tc>
        <w:tc>
          <w:tcPr>
            <w:tcW w:w="100" w:type="dxa"/>
            <w:vAlign w:val="bottom"/>
            <w:tcBorders>
              <w:top w:val="single" w:sz="8" w:color="CFF0FC"/>
            </w:tcBorders>
          </w:tcPr>
          <w:p>
            <w:pPr>
              <w:spacing w:after="0"/>
              <w:rPr>
                <w:sz w:val="14"/>
                <w:szCs w:val="14"/>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-144145</wp:posOffset>
            </wp:positionV>
            <wp:extent cx="647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-144145</wp:posOffset>
            </wp:positionV>
            <wp:extent cx="647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-144145</wp:posOffset>
            </wp:positionV>
            <wp:extent cx="647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-144145</wp:posOffset>
            </wp:positionV>
            <wp:extent cx="723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349" w:lineRule="exact"/>
        <w:rPr>
          <w:sz w:val="20"/>
          <w:szCs w:val="20"/>
          <w:color w:val="auto"/>
        </w:rPr>
      </w:pPr>
    </w:p>
    <w:p>
      <w:pPr>
        <w:jc w:val="both"/>
        <w:ind w:left="1020" w:hanging="509"/>
        <w:spacing w:after="0" w:line="254" w:lineRule="auto"/>
        <w:tabs>
          <w:tab w:leader="none" w:pos="10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In connection with the July 2025 acquisition of ChampionX Corporation (“ChampionX”) (see Note 6 – </w:t>
      </w:r>
      <w:r>
        <w:rPr>
          <w:rFonts w:ascii="Arial" w:cs="Arial" w:eastAsia="Arial" w:hAnsi="Arial"/>
          <w:sz w:val="15"/>
          <w:szCs w:val="15"/>
          <w:i w:val="1"/>
          <w:iCs w:val="1"/>
          <w:color w:val="auto"/>
        </w:rPr>
        <w:t>Acquisitions</w:t>
      </w:r>
      <w:r>
        <w:rPr>
          <w:rFonts w:ascii="Arial" w:cs="Arial" w:eastAsia="Arial" w:hAnsi="Arial"/>
          <w:sz w:val="15"/>
          <w:szCs w:val="15"/>
          <w:color w:val="auto"/>
        </w:rPr>
        <w:t xml:space="preserve">), SLB recorded $367 million of merger and integration charges during 2025. These charges consisted of $166 million relating to the amortization of purchase accounting adjustments associated with the write-up of acquired inventory to its estimated fair value; $80 million of transaction costs, including advisory and legal fees; $59 million relating to employee benefits for change-in-control arrangements, accelerated stock-based compensation and retention; and $62 million of other merger and integration cost. $201 million of these costs are classified in </w:t>
      </w:r>
      <w:r>
        <w:rPr>
          <w:rFonts w:ascii="Arial" w:cs="Arial" w:eastAsia="Arial" w:hAnsi="Arial"/>
          <w:sz w:val="15"/>
          <w:szCs w:val="15"/>
          <w:i w:val="1"/>
          <w:iCs w:val="1"/>
          <w:color w:val="auto"/>
        </w:rPr>
        <w:t>Merger &amp; integration</w:t>
      </w:r>
      <w:r>
        <w:rPr>
          <w:rFonts w:ascii="Arial" w:cs="Arial" w:eastAsia="Arial" w:hAnsi="Arial"/>
          <w:sz w:val="15"/>
          <w:szCs w:val="15"/>
          <w:color w:val="auto"/>
        </w:rPr>
        <w:t xml:space="preserve"> with the remaining $166 million classified in </w:t>
      </w:r>
      <w:r>
        <w:rPr>
          <w:rFonts w:ascii="Arial" w:cs="Arial" w:eastAsia="Arial" w:hAnsi="Arial"/>
          <w:sz w:val="15"/>
          <w:szCs w:val="15"/>
          <w:i w:val="1"/>
          <w:iCs w:val="1"/>
          <w:color w:val="auto"/>
        </w:rPr>
        <w:t>Cost of sales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71" w:lineRule="exact"/>
        <w:rPr>
          <w:rFonts w:ascii="Times New Roman" w:cs="Times New Roman" w:eastAsia="Times New Roman" w:hAnsi="Times New Roman"/>
          <w:sz w:val="15"/>
          <w:szCs w:val="15"/>
          <w:color w:val="auto"/>
        </w:rPr>
      </w:pPr>
    </w:p>
    <w:p>
      <w:pPr>
        <w:jc w:val="both"/>
        <w:ind w:left="1020" w:hanging="509"/>
        <w:spacing w:after="0" w:line="265" w:lineRule="auto"/>
        <w:tabs>
          <w:tab w:leader="none" w:pos="10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In connection with the October 2023 acquisition of the Aker Solutions (“Aker”) subsea business (see Note 6 – </w:t>
      </w:r>
      <w:r>
        <w:rPr>
          <w:rFonts w:ascii="Arial" w:cs="Arial" w:eastAsia="Arial" w:hAnsi="Arial"/>
          <w:sz w:val="15"/>
          <w:szCs w:val="15"/>
          <w:i w:val="1"/>
          <w:iCs w:val="1"/>
          <w:color w:val="auto"/>
        </w:rPr>
        <w:t>Acquisitions</w:t>
      </w:r>
      <w:r>
        <w:rPr>
          <w:rFonts w:ascii="Arial" w:cs="Arial" w:eastAsia="Arial" w:hAnsi="Arial"/>
          <w:sz w:val="15"/>
          <w:szCs w:val="15"/>
          <w:color w:val="auto"/>
        </w:rPr>
        <w:t xml:space="preserve">), SLB recorded $101 million of charges during 2025, consisting primarily of costs associated with information technology, and severance costs associated with the integration. These costs are classified in </w:t>
      </w:r>
      <w:r>
        <w:rPr>
          <w:rFonts w:ascii="Arial" w:cs="Arial" w:eastAsia="Arial" w:hAnsi="Arial"/>
          <w:sz w:val="15"/>
          <w:szCs w:val="15"/>
          <w:i w:val="1"/>
          <w:iCs w:val="1"/>
          <w:color w:val="auto"/>
        </w:rPr>
        <w:t>Merger &amp; integration</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62" w:lineRule="exact"/>
        <w:rPr>
          <w:rFonts w:ascii="Times New Roman" w:cs="Times New Roman" w:eastAsia="Times New Roman" w:hAnsi="Times New Roman"/>
          <w:sz w:val="15"/>
          <w:szCs w:val="15"/>
          <w:color w:val="auto"/>
        </w:rPr>
      </w:pPr>
    </w:p>
    <w:p>
      <w:pPr>
        <w:ind w:left="1020" w:hanging="509"/>
        <w:spacing w:after="0" w:line="284" w:lineRule="auto"/>
        <w:tabs>
          <w:tab w:leader="none" w:pos="10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SLB recorded $407 million of charges relating to workforce reductions to align its resources with activity levels and to realign and optimize its support and service delivery structure. These charges are classified in </w:t>
      </w:r>
      <w:r>
        <w:rPr>
          <w:rFonts w:ascii="Arial" w:cs="Arial" w:eastAsia="Arial" w:hAnsi="Arial"/>
          <w:sz w:val="15"/>
          <w:szCs w:val="15"/>
          <w:i w:val="1"/>
          <w:iCs w:val="1"/>
          <w:color w:val="auto"/>
        </w:rPr>
        <w:t>Restructuring &amp; other</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47" w:lineRule="exact"/>
        <w:rPr>
          <w:rFonts w:ascii="Times New Roman" w:cs="Times New Roman" w:eastAsia="Times New Roman" w:hAnsi="Times New Roman"/>
          <w:sz w:val="15"/>
          <w:szCs w:val="15"/>
          <w:color w:val="auto"/>
        </w:rPr>
      </w:pPr>
    </w:p>
    <w:p>
      <w:pPr>
        <w:ind w:left="1020" w:hanging="509"/>
        <w:spacing w:after="0" w:line="284" w:lineRule="auto"/>
        <w:tabs>
          <w:tab w:leader="none" w:pos="10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SLB recorded a $121 million of impairment charges relating to an equity method investment that was determined to be other-than-temporarily impaired. These charges are classified in </w:t>
      </w:r>
      <w:r>
        <w:rPr>
          <w:rFonts w:ascii="Arial" w:cs="Arial" w:eastAsia="Arial" w:hAnsi="Arial"/>
          <w:sz w:val="15"/>
          <w:szCs w:val="15"/>
          <w:i w:val="1"/>
          <w:iCs w:val="1"/>
          <w:color w:val="auto"/>
        </w:rPr>
        <w:t>Impairments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47" w:lineRule="exact"/>
        <w:rPr>
          <w:rFonts w:ascii="Times New Roman" w:cs="Times New Roman" w:eastAsia="Times New Roman" w:hAnsi="Times New Roman"/>
          <w:sz w:val="15"/>
          <w:szCs w:val="15"/>
          <w:color w:val="auto"/>
        </w:rPr>
      </w:pPr>
    </w:p>
    <w:p>
      <w:pPr>
        <w:jc w:val="both"/>
        <w:ind w:left="1020" w:hanging="509"/>
        <w:spacing w:after="0" w:line="265" w:lineRule="auto"/>
        <w:tabs>
          <w:tab w:leader="none" w:pos="10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During the second quarter of 2025, SLB completed the sale of its interest in the Palliser APS project in Canada in exchange for net cash proceeds of $338 million. SLB recorded a gain of $149 million as a result of this transaction. This gain is classified in </w:t>
      </w:r>
      <w:r>
        <w:rPr>
          <w:rFonts w:ascii="Arial" w:cs="Arial" w:eastAsia="Arial" w:hAnsi="Arial"/>
          <w:sz w:val="15"/>
          <w:szCs w:val="15"/>
          <w:i w:val="1"/>
          <w:iCs w:val="1"/>
          <w:color w:val="auto"/>
        </w:rPr>
        <w:t>Interest &amp; other income</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 of Income</w:t>
      </w:r>
      <w:r>
        <w:rPr>
          <w:rFonts w:ascii="Arial" w:cs="Arial" w:eastAsia="Arial" w:hAnsi="Arial"/>
          <w:sz w:val="15"/>
          <w:szCs w:val="15"/>
          <w:color w:val="auto"/>
        </w:rPr>
        <w:t>.</w:t>
      </w:r>
    </w:p>
    <w:p>
      <w:pPr>
        <w:spacing w:after="0" w:line="62" w:lineRule="exact"/>
        <w:rPr>
          <w:rFonts w:ascii="Times New Roman" w:cs="Times New Roman" w:eastAsia="Times New Roman" w:hAnsi="Times New Roman"/>
          <w:sz w:val="15"/>
          <w:szCs w:val="15"/>
          <w:color w:val="auto"/>
        </w:rPr>
      </w:pPr>
    </w:p>
    <w:p>
      <w:pPr>
        <w:ind w:left="1020" w:hanging="509"/>
        <w:spacing w:after="0" w:line="284" w:lineRule="auto"/>
        <w:tabs>
          <w:tab w:leader="none" w:pos="10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During the fourth quarter of 2025, SLB recorded $50 million of other restructuring charges primarily relating to the closure of certain facilities and certain activities. These charges are classified in </w:t>
      </w:r>
      <w:r>
        <w:rPr>
          <w:rFonts w:ascii="Arial" w:cs="Arial" w:eastAsia="Arial" w:hAnsi="Arial"/>
          <w:sz w:val="15"/>
          <w:szCs w:val="15"/>
          <w:i w:val="1"/>
          <w:iCs w:val="1"/>
          <w:color w:val="auto"/>
        </w:rPr>
        <w:t>Restructuring &amp; other</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47" w:lineRule="exact"/>
        <w:rPr>
          <w:rFonts w:ascii="Times New Roman" w:cs="Times New Roman" w:eastAsia="Times New Roman" w:hAnsi="Times New Roman"/>
          <w:sz w:val="15"/>
          <w:szCs w:val="15"/>
          <w:color w:val="auto"/>
        </w:rPr>
      </w:pPr>
    </w:p>
    <w:p>
      <w:pPr>
        <w:ind w:left="1020" w:hanging="509"/>
        <w:spacing w:after="0" w:line="284" w:lineRule="auto"/>
        <w:tabs>
          <w:tab w:leader="none" w:pos="102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SLB recorded a $210 million goodwill impairment charge relating to its SLB Capturi reporting unit during the fourth quarter of 2025. This charge is classified in </w:t>
      </w:r>
      <w:r>
        <w:rPr>
          <w:rFonts w:ascii="Arial" w:cs="Arial" w:eastAsia="Arial" w:hAnsi="Arial"/>
          <w:sz w:val="15"/>
          <w:szCs w:val="15"/>
          <w:i w:val="1"/>
          <w:iCs w:val="1"/>
          <w:color w:val="auto"/>
        </w:rPr>
        <w:t>Impairments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7" w:name="page38"/>
    <w:bookmarkEnd w:id="37"/>
    <w:p>
      <w:pPr>
        <w:ind w:left="1020" w:hanging="509"/>
        <w:spacing w:after="0" w:line="284" w:lineRule="auto"/>
        <w:tabs>
          <w:tab w:leader="none" w:pos="102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During the fourth quarter of 2025, SLB reversed $92 million of a valuation allowance relating to deferred tax assets associated with certain foreign tax credits in the US. This credit is reflected in </w:t>
      </w:r>
      <w:r>
        <w:rPr>
          <w:rFonts w:ascii="Arial" w:cs="Arial" w:eastAsia="Arial" w:hAnsi="Arial"/>
          <w:sz w:val="15"/>
          <w:szCs w:val="15"/>
          <w:i w:val="1"/>
          <w:iCs w:val="1"/>
          <w:color w:val="auto"/>
        </w:rPr>
        <w:t>Tax expense</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2024</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SLB recorded the following charges and credits during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339"/>
        </w:trPr>
        <w:tc>
          <w:tcPr>
            <w:tcW w:w="4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5"/>
                <w:szCs w:val="15"/>
                <w:color w:val="auto"/>
              </w:rPr>
              <w:t>Pretax Charge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44"/>
              <w:spacing w:after="0"/>
              <w:rPr>
                <w:sz w:val="20"/>
                <w:szCs w:val="20"/>
                <w:color w:val="auto"/>
              </w:rPr>
            </w:pPr>
            <w:r>
              <w:rPr>
                <w:rFonts w:ascii="Arial" w:cs="Arial" w:eastAsia="Arial" w:hAnsi="Arial"/>
                <w:sz w:val="15"/>
                <w:szCs w:val="15"/>
                <w:color w:val="auto"/>
              </w:rPr>
              <w:t>Tax Benefit</w:t>
            </w:r>
          </w:p>
        </w:tc>
        <w:tc>
          <w:tcPr>
            <w:tcW w:w="220" w:type="dxa"/>
            <w:vAlign w:val="bottom"/>
          </w:tcPr>
          <w:p>
            <w:pPr>
              <w:spacing w:after="0"/>
              <w:rPr>
                <w:sz w:val="24"/>
                <w:szCs w:val="24"/>
                <w:color w:val="auto"/>
              </w:rPr>
            </w:pPr>
          </w:p>
        </w:tc>
        <w:tc>
          <w:tcPr>
            <w:tcW w:w="1180" w:type="dxa"/>
            <w:vAlign w:val="bottom"/>
            <w:gridSpan w:val="2"/>
          </w:tcPr>
          <w:p>
            <w:pPr>
              <w:jc w:val="right"/>
              <w:ind w:right="44"/>
              <w:spacing w:after="0"/>
              <w:rPr>
                <w:sz w:val="20"/>
                <w:szCs w:val="20"/>
                <w:color w:val="auto"/>
              </w:rPr>
            </w:pPr>
            <w:r>
              <w:rPr>
                <w:rFonts w:ascii="Arial" w:cs="Arial" w:eastAsia="Arial" w:hAnsi="Arial"/>
                <w:sz w:val="15"/>
                <w:szCs w:val="15"/>
                <w:color w:val="auto"/>
              </w:rPr>
              <w:t>Noncontrolling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5"/>
                <w:szCs w:val="15"/>
                <w:color w:val="auto"/>
              </w:rPr>
              <w:t>(Credit)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64"/>
              <w:spacing w:after="0"/>
              <w:rPr>
                <w:sz w:val="20"/>
                <w:szCs w:val="20"/>
                <w:color w:val="auto"/>
              </w:rPr>
            </w:pPr>
            <w:r>
              <w:rPr>
                <w:rFonts w:ascii="Arial" w:cs="Arial" w:eastAsia="Arial" w:hAnsi="Arial"/>
                <w:sz w:val="15"/>
                <w:szCs w:val="15"/>
                <w:color w:val="auto"/>
              </w:rPr>
              <w:t>(Expense)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64"/>
              <w:spacing w:after="0"/>
              <w:rPr>
                <w:sz w:val="20"/>
                <w:szCs w:val="20"/>
                <w:color w:val="auto"/>
              </w:rPr>
            </w:pPr>
            <w:r>
              <w:rPr>
                <w:rFonts w:ascii="Arial" w:cs="Arial" w:eastAsia="Arial" w:hAnsi="Arial"/>
                <w:sz w:val="15"/>
                <w:szCs w:val="15"/>
                <w:color w:val="auto"/>
              </w:rPr>
              <w:t>Interest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5"/>
                <w:szCs w:val="15"/>
                <w:color w:val="auto"/>
              </w:rPr>
              <w:t>Net</w:t>
            </w:r>
          </w:p>
        </w:tc>
      </w:tr>
      <w:tr>
        <w:trPr>
          <w:trHeight w:val="170"/>
        </w:trPr>
        <w:tc>
          <w:tcPr>
            <w:tcW w:w="492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First quarter:</w:t>
            </w:r>
          </w:p>
        </w:tc>
        <w:tc>
          <w:tcPr>
            <w:tcW w:w="8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4920" w:type="dxa"/>
            <w:vAlign w:val="bottom"/>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108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w:t>
            </w:r>
          </w:p>
        </w:tc>
        <w:tc>
          <w:tcPr>
            <w:tcW w:w="4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w:t>
            </w:r>
          </w:p>
        </w:tc>
        <w:tc>
          <w:tcPr>
            <w:tcW w:w="500" w:type="dxa"/>
            <w:vAlign w:val="bottom"/>
            <w:gridSpan w:val="2"/>
          </w:tcPr>
          <w:p>
            <w:pPr>
              <w:jc w:val="right"/>
              <w:ind w:right="128"/>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5"/>
                <w:szCs w:val="15"/>
                <w:color w:val="auto"/>
              </w:rPr>
            </w:pPr>
          </w:p>
        </w:tc>
      </w:tr>
      <w:tr>
        <w:trPr>
          <w:trHeight w:val="178"/>
        </w:trPr>
        <w:tc>
          <w:tcPr>
            <w:tcW w:w="49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Merger and integration</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FF0FC"/>
          </w:tcPr>
          <w:p>
            <w:pPr>
              <w:spacing w:after="0"/>
              <w:rPr>
                <w:sz w:val="15"/>
                <w:szCs w:val="15"/>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i w:val="1"/>
                <w:iCs w:val="1"/>
                <w:color w:val="auto"/>
              </w:rPr>
              <w:t>Second quarter:</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49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Workforce reductions</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FF0FC"/>
          </w:tcPr>
          <w:p>
            <w:pPr>
              <w:spacing w:after="0"/>
              <w:rPr>
                <w:sz w:val="15"/>
                <w:szCs w:val="15"/>
                <w:color w:val="auto"/>
              </w:rPr>
            </w:pPr>
          </w:p>
        </w:tc>
      </w:tr>
      <w:tr>
        <w:trPr>
          <w:trHeight w:val="178"/>
        </w:trPr>
        <w:tc>
          <w:tcPr>
            <w:tcW w:w="4920" w:type="dxa"/>
            <w:vAlign w:val="bottom"/>
          </w:tcPr>
          <w:p>
            <w:pPr>
              <w:ind w:left="100"/>
              <w:spacing w:after="0"/>
              <w:rPr>
                <w:sz w:val="20"/>
                <w:szCs w:val="20"/>
                <w:color w:val="auto"/>
              </w:rPr>
            </w:pPr>
            <w:r>
              <w:rPr>
                <w:rFonts w:ascii="Arial" w:cs="Arial" w:eastAsia="Arial" w:hAnsi="Arial"/>
                <w:sz w:val="15"/>
                <w:szCs w:val="15"/>
                <w:color w:val="auto"/>
              </w:rPr>
              <w:t>Merger and integration</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5"/>
                <w:szCs w:val="15"/>
                <w:color w:val="auto"/>
              </w:rPr>
            </w:pPr>
          </w:p>
        </w:tc>
      </w:tr>
      <w:tr>
        <w:trPr>
          <w:trHeight w:val="178"/>
        </w:trPr>
        <w:tc>
          <w:tcPr>
            <w:tcW w:w="49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FF0FC"/>
          </w:tcPr>
          <w:p>
            <w:pPr>
              <w:spacing w:after="0"/>
              <w:rPr>
                <w:sz w:val="15"/>
                <w:szCs w:val="15"/>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i w:val="1"/>
                <w:iCs w:val="1"/>
                <w:color w:val="auto"/>
              </w:rPr>
              <w:t>Third quarter</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49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Workforce reductions</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FF0FC"/>
          </w:tcPr>
          <w:p>
            <w:pPr>
              <w:spacing w:after="0"/>
              <w:rPr>
                <w:sz w:val="15"/>
                <w:szCs w:val="15"/>
                <w:color w:val="auto"/>
              </w:rPr>
            </w:pPr>
          </w:p>
        </w:tc>
      </w:tr>
      <w:tr>
        <w:trPr>
          <w:trHeight w:val="178"/>
        </w:trPr>
        <w:tc>
          <w:tcPr>
            <w:tcW w:w="4920" w:type="dxa"/>
            <w:vAlign w:val="bottom"/>
          </w:tcPr>
          <w:p>
            <w:pPr>
              <w:ind w:left="100"/>
              <w:spacing w:after="0"/>
              <w:rPr>
                <w:sz w:val="20"/>
                <w:szCs w:val="20"/>
                <w:color w:val="auto"/>
              </w:rPr>
            </w:pPr>
            <w:r>
              <w:rPr>
                <w:rFonts w:ascii="Arial" w:cs="Arial" w:eastAsia="Arial" w:hAnsi="Arial"/>
                <w:sz w:val="15"/>
                <w:szCs w:val="15"/>
                <w:color w:val="auto"/>
              </w:rPr>
              <w:t>Merger and integration</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5"/>
                <w:szCs w:val="15"/>
                <w:color w:val="auto"/>
              </w:rPr>
            </w:pPr>
          </w:p>
        </w:tc>
      </w:tr>
      <w:tr>
        <w:trPr>
          <w:trHeight w:val="178"/>
        </w:trPr>
        <w:tc>
          <w:tcPr>
            <w:tcW w:w="49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FF0FC"/>
          </w:tcPr>
          <w:p>
            <w:pPr>
              <w:spacing w:after="0"/>
              <w:rPr>
                <w:sz w:val="15"/>
                <w:szCs w:val="15"/>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i w:val="1"/>
                <w:iCs w:val="1"/>
                <w:color w:val="auto"/>
              </w:rPr>
              <w:t>Fourth quarter</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49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Asset impairments</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FF0FC"/>
          </w:tcPr>
          <w:p>
            <w:pPr>
              <w:spacing w:after="0"/>
              <w:rPr>
                <w:sz w:val="15"/>
                <w:szCs w:val="15"/>
                <w:color w:val="auto"/>
              </w:rPr>
            </w:pPr>
          </w:p>
        </w:tc>
      </w:tr>
      <w:tr>
        <w:trPr>
          <w:trHeight w:val="178"/>
        </w:trPr>
        <w:tc>
          <w:tcPr>
            <w:tcW w:w="4920" w:type="dxa"/>
            <w:vAlign w:val="bottom"/>
          </w:tcPr>
          <w:p>
            <w:pPr>
              <w:ind w:left="100"/>
              <w:spacing w:after="0"/>
              <w:rPr>
                <w:sz w:val="20"/>
                <w:szCs w:val="20"/>
                <w:color w:val="auto"/>
              </w:rPr>
            </w:pPr>
            <w:r>
              <w:rPr>
                <w:rFonts w:ascii="Arial" w:cs="Arial" w:eastAsia="Arial" w:hAnsi="Arial"/>
                <w:sz w:val="15"/>
                <w:szCs w:val="15"/>
                <w:color w:val="auto"/>
              </w:rPr>
              <w:t>Merger and integration</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5"/>
                <w:szCs w:val="15"/>
                <w:color w:val="auto"/>
              </w:rPr>
            </w:pPr>
          </w:p>
        </w:tc>
      </w:tr>
      <w:tr>
        <w:trPr>
          <w:trHeight w:val="178"/>
        </w:trPr>
        <w:tc>
          <w:tcPr>
            <w:tcW w:w="4920" w:type="dxa"/>
            <w:vAlign w:val="bottom"/>
            <w:shd w:val="clear" w:color="auto" w:fill="CFF0FC"/>
          </w:tcPr>
          <w:p>
            <w:pPr>
              <w:ind w:left="100"/>
              <w:spacing w:after="0"/>
              <w:rPr>
                <w:sz w:val="20"/>
                <w:szCs w:val="20"/>
                <w:color w:val="auto"/>
              </w:rPr>
            </w:pPr>
            <w:r>
              <w:rPr>
                <w:rFonts w:ascii="Arial" w:cs="Arial" w:eastAsia="Arial" w:hAnsi="Arial"/>
                <w:sz w:val="15"/>
                <w:szCs w:val="15"/>
                <w:color w:val="auto"/>
              </w:rPr>
              <w:t>Workforce reductions</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FF0FC"/>
          </w:tcPr>
          <w:p>
            <w:pPr>
              <w:spacing w:after="0"/>
              <w:rPr>
                <w:sz w:val="15"/>
                <w:szCs w:val="15"/>
                <w:color w:val="auto"/>
              </w:rPr>
            </w:pPr>
          </w:p>
        </w:tc>
      </w:tr>
      <w:tr>
        <w:trPr>
          <w:trHeight w:val="178"/>
        </w:trPr>
        <w:tc>
          <w:tcPr>
            <w:tcW w:w="4920" w:type="dxa"/>
            <w:vAlign w:val="bottom"/>
          </w:tcPr>
          <w:p>
            <w:pPr>
              <w:ind w:left="100"/>
              <w:spacing w:after="0"/>
              <w:rPr>
                <w:sz w:val="20"/>
                <w:szCs w:val="20"/>
                <w:color w:val="auto"/>
              </w:rPr>
            </w:pPr>
            <w:r>
              <w:rPr>
                <w:rFonts w:ascii="Arial" w:cs="Arial" w:eastAsia="Arial" w:hAnsi="Arial"/>
                <w:sz w:val="15"/>
                <w:szCs w:val="15"/>
                <w:color w:val="auto"/>
              </w:rPr>
              <w:t>Gain on sale of investment</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(24)</w:t>
            </w:r>
          </w:p>
        </w:tc>
      </w:tr>
      <w:tr>
        <w:trPr>
          <w:trHeight w:val="210"/>
        </w:trPr>
        <w:tc>
          <w:tcPr>
            <w:tcW w:w="49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541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87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27</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8"/>
              <w:spacing w:after="0" w:line="171"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427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-23495</wp:posOffset>
            </wp:positionV>
            <wp:extent cx="647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-7620</wp:posOffset>
            </wp:positionV>
            <wp:extent cx="647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-23495</wp:posOffset>
            </wp:positionV>
            <wp:extent cx="647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-7620</wp:posOffset>
            </wp:positionV>
            <wp:extent cx="647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-23495</wp:posOffset>
            </wp:positionV>
            <wp:extent cx="647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-7620</wp:posOffset>
            </wp:positionV>
            <wp:extent cx="647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-23495</wp:posOffset>
            </wp:positionV>
            <wp:extent cx="723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723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349" w:lineRule="exact"/>
        <w:rPr>
          <w:sz w:val="20"/>
          <w:szCs w:val="20"/>
          <w:color w:val="auto"/>
        </w:rPr>
      </w:pPr>
    </w:p>
    <w:p>
      <w:pPr>
        <w:jc w:val="both"/>
        <w:ind w:left="1020" w:hanging="509"/>
        <w:spacing w:after="0" w:line="265" w:lineRule="auto"/>
        <w:tabs>
          <w:tab w:leader="none" w:pos="1020"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During the second quarter of 2024, SLB commenced a program to realign and optimize its support and service delivery structure in certain parts of its organization. As a result, SLB recorded severance charges of $111 million during the second quarter, $65 million during the third quarter, and $61 million during the fourth quarter which are classified in </w:t>
      </w:r>
      <w:r>
        <w:rPr>
          <w:rFonts w:ascii="Arial" w:cs="Arial" w:eastAsia="Arial" w:hAnsi="Arial"/>
          <w:sz w:val="15"/>
          <w:szCs w:val="15"/>
          <w:i w:val="1"/>
          <w:iCs w:val="1"/>
          <w:color w:val="auto"/>
        </w:rPr>
        <w:t>Restructuring &amp; other</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62" w:lineRule="exact"/>
        <w:rPr>
          <w:rFonts w:ascii="Times New Roman" w:cs="Times New Roman" w:eastAsia="Times New Roman" w:hAnsi="Times New Roman"/>
          <w:sz w:val="15"/>
          <w:szCs w:val="15"/>
          <w:color w:val="auto"/>
        </w:rPr>
      </w:pPr>
    </w:p>
    <w:p>
      <w:pPr>
        <w:jc w:val="both"/>
        <w:ind w:left="1020" w:hanging="509"/>
        <w:spacing w:after="0" w:line="259" w:lineRule="auto"/>
        <w:tabs>
          <w:tab w:leader="none" w:pos="1020"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In connection with the October 2023 acquisition of the Aker subsea business (see Note 6 - </w:t>
      </w:r>
      <w:r>
        <w:rPr>
          <w:rFonts w:ascii="Arial" w:cs="Arial" w:eastAsia="Arial" w:hAnsi="Arial"/>
          <w:sz w:val="15"/>
          <w:szCs w:val="15"/>
          <w:i w:val="1"/>
          <w:iCs w:val="1"/>
          <w:color w:val="auto"/>
        </w:rPr>
        <w:t>Acquisitions</w:t>
      </w:r>
      <w:r>
        <w:rPr>
          <w:rFonts w:ascii="Arial" w:cs="Arial" w:eastAsia="Arial" w:hAnsi="Arial"/>
          <w:sz w:val="15"/>
          <w:szCs w:val="15"/>
          <w:color w:val="auto"/>
        </w:rPr>
        <w:t xml:space="preserve">) and the ChampionX transaction, SLB recorded $166 million of charges during 2024, consisting of: $43 million relating to the amortization of purchase accounting adjustments associated with the write-up of acquired inventories to its estimated fair value (classified in </w:t>
      </w:r>
      <w:r>
        <w:rPr>
          <w:rFonts w:ascii="Arial" w:cs="Arial" w:eastAsia="Arial" w:hAnsi="Arial"/>
          <w:sz w:val="15"/>
          <w:szCs w:val="15"/>
          <w:i w:val="1"/>
          <w:iCs w:val="1"/>
          <w:color w:val="auto"/>
        </w:rPr>
        <w:t>Cost of sales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and $123 million of other merger and integration-related costs which are classified in </w:t>
      </w:r>
      <w:r>
        <w:rPr>
          <w:rFonts w:ascii="Arial" w:cs="Arial" w:eastAsia="Arial" w:hAnsi="Arial"/>
          <w:sz w:val="15"/>
          <w:szCs w:val="15"/>
          <w:i w:val="1"/>
          <w:iCs w:val="1"/>
          <w:color w:val="auto"/>
        </w:rPr>
        <w:t>Merger &amp; integration</w:t>
      </w:r>
      <w:r>
        <w:rPr>
          <w:rFonts w:ascii="Arial" w:cs="Arial" w:eastAsia="Arial" w:hAnsi="Arial"/>
          <w:sz w:val="15"/>
          <w:szCs w:val="15"/>
          <w:color w:val="auto"/>
        </w:rPr>
        <w:t>.</w:t>
      </w:r>
    </w:p>
    <w:p>
      <w:pPr>
        <w:spacing w:after="0" w:line="67" w:lineRule="exact"/>
        <w:rPr>
          <w:rFonts w:ascii="Times New Roman" w:cs="Times New Roman" w:eastAsia="Times New Roman" w:hAnsi="Times New Roman"/>
          <w:sz w:val="15"/>
          <w:szCs w:val="15"/>
          <w:color w:val="auto"/>
        </w:rPr>
      </w:pPr>
    </w:p>
    <w:p>
      <w:pPr>
        <w:ind w:left="1020" w:hanging="509"/>
        <w:spacing w:after="0" w:line="284" w:lineRule="auto"/>
        <w:tabs>
          <w:tab w:leader="none" w:pos="1020"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During the fourth quarter of 2024, SLB recorded impairment charges consisting of $93 million relating to equity investments and $69 million relating to fixed asset impairments. These charges are classified in </w:t>
      </w:r>
      <w:r>
        <w:rPr>
          <w:rFonts w:ascii="Arial" w:cs="Arial" w:eastAsia="Arial" w:hAnsi="Arial"/>
          <w:sz w:val="15"/>
          <w:szCs w:val="15"/>
          <w:i w:val="1"/>
          <w:iCs w:val="1"/>
          <w:color w:val="auto"/>
        </w:rPr>
        <w:t>Impairments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47" w:lineRule="exact"/>
        <w:rPr>
          <w:rFonts w:ascii="Times New Roman" w:cs="Times New Roman" w:eastAsia="Times New Roman" w:hAnsi="Times New Roman"/>
          <w:sz w:val="15"/>
          <w:szCs w:val="15"/>
          <w:color w:val="auto"/>
        </w:rPr>
      </w:pPr>
    </w:p>
    <w:p>
      <w:pPr>
        <w:ind w:left="1020" w:hanging="509"/>
        <w:spacing w:after="0" w:line="284" w:lineRule="auto"/>
        <w:tabs>
          <w:tab w:leader="none" w:pos="1020"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During the fourth quarter of 2024, SLB sold an investment accounted for under the equity method. SLB received proceeds of $51 million and recognized a gain of $24 million, which is classified in </w:t>
      </w:r>
      <w:r>
        <w:rPr>
          <w:rFonts w:ascii="Arial" w:cs="Arial" w:eastAsia="Arial" w:hAnsi="Arial"/>
          <w:sz w:val="15"/>
          <w:szCs w:val="15"/>
          <w:i w:val="1"/>
          <w:iCs w:val="1"/>
          <w:color w:val="auto"/>
        </w:rPr>
        <w:t>Interest &amp; other, net</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2023</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SLB recorded the following charges and credits during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339"/>
        </w:trPr>
        <w:tc>
          <w:tcPr>
            <w:tcW w:w="4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5"/>
                <w:szCs w:val="15"/>
                <w:color w:val="auto"/>
              </w:rPr>
              <w:t>Pretax Charge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Tax Benefit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Noncontrolling</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5"/>
                <w:szCs w:val="15"/>
                <w:color w:val="auto"/>
              </w:rPr>
              <w:t>(Credit)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5"/>
                <w:szCs w:val="15"/>
                <w:color w:val="auto"/>
              </w:rPr>
              <w:t>(Expense)</w:t>
            </w:r>
          </w:p>
        </w:tc>
        <w:tc>
          <w:tcPr>
            <w:tcW w:w="80" w:type="dxa"/>
            <w:vAlign w:val="bottom"/>
          </w:tcPr>
          <w:p>
            <w:pPr>
              <w:spacing w:after="0"/>
              <w:rPr>
                <w:sz w:val="16"/>
                <w:szCs w:val="16"/>
                <w:color w:val="auto"/>
              </w:rPr>
            </w:pPr>
          </w:p>
        </w:tc>
        <w:tc>
          <w:tcPr>
            <w:tcW w:w="1060" w:type="dxa"/>
            <w:vAlign w:val="bottom"/>
          </w:tcPr>
          <w:p>
            <w:pPr>
              <w:jc w:val="right"/>
              <w:ind w:right="104"/>
              <w:spacing w:after="0"/>
              <w:rPr>
                <w:sz w:val="20"/>
                <w:szCs w:val="20"/>
                <w:color w:val="auto"/>
              </w:rPr>
            </w:pPr>
            <w:r>
              <w:rPr>
                <w:rFonts w:ascii="Arial" w:cs="Arial" w:eastAsia="Arial" w:hAnsi="Arial"/>
                <w:sz w:val="15"/>
                <w:szCs w:val="15"/>
                <w:color w:val="auto"/>
              </w:rPr>
              <w:t>Interests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5"/>
                <w:szCs w:val="15"/>
                <w:color w:val="auto"/>
              </w:rPr>
              <w:t>Net</w:t>
            </w:r>
          </w:p>
        </w:tc>
      </w:tr>
      <w:tr>
        <w:trPr>
          <w:trHeight w:val="170"/>
        </w:trPr>
        <w:tc>
          <w:tcPr>
            <w:tcW w:w="4780" w:type="dxa"/>
            <w:vAlign w:val="bottom"/>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First quarter:</w:t>
            </w:r>
          </w:p>
        </w:tc>
        <w:tc>
          <w:tcPr>
            <w:tcW w:w="10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4780" w:type="dxa"/>
            <w:vAlign w:val="bottom"/>
          </w:tcPr>
          <w:p>
            <w:pPr>
              <w:ind w:left="100"/>
              <w:spacing w:after="0"/>
              <w:rPr>
                <w:sz w:val="20"/>
                <w:szCs w:val="20"/>
                <w:color w:val="auto"/>
              </w:rPr>
            </w:pPr>
            <w:r>
              <w:rPr>
                <w:rFonts w:ascii="Arial" w:cs="Arial" w:eastAsia="Arial" w:hAnsi="Arial"/>
                <w:sz w:val="15"/>
                <w:szCs w:val="15"/>
                <w:color w:val="auto"/>
              </w:rPr>
              <w:t>Gain on sale of Liberty shares</w:t>
            </w:r>
          </w:p>
        </w:tc>
        <w:tc>
          <w:tcPr>
            <w:tcW w:w="122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(36)</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(8)</w:t>
            </w:r>
          </w:p>
        </w:tc>
        <w:tc>
          <w:tcPr>
            <w:tcW w:w="1140" w:type="dxa"/>
            <w:vAlign w:val="bottom"/>
            <w:gridSpan w:val="2"/>
          </w:tcPr>
          <w:p>
            <w:pPr>
              <w:jc w:val="right"/>
              <w:ind w:right="884"/>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32"/>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(28)</w:t>
            </w:r>
          </w:p>
        </w:tc>
      </w:tr>
      <w:tr>
        <w:trPr>
          <w:trHeight w:val="178"/>
        </w:trPr>
        <w:tc>
          <w:tcPr>
            <w:tcW w:w="478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Fourth quarter:</w:t>
            </w: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4780" w:type="dxa"/>
            <w:vAlign w:val="bottom"/>
          </w:tcPr>
          <w:p>
            <w:pPr>
              <w:ind w:left="100"/>
              <w:spacing w:after="0"/>
              <w:rPr>
                <w:sz w:val="20"/>
                <w:szCs w:val="20"/>
                <w:color w:val="auto"/>
              </w:rPr>
            </w:pPr>
            <w:r>
              <w:rPr>
                <w:rFonts w:ascii="Arial" w:cs="Arial" w:eastAsia="Arial" w:hAnsi="Arial"/>
                <w:sz w:val="15"/>
                <w:szCs w:val="15"/>
                <w:color w:val="auto"/>
              </w:rPr>
              <w:t>Currency devaluation loss in Argentina</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5"/>
                <w:szCs w:val="15"/>
                <w:color w:val="auto"/>
              </w:rPr>
            </w:pPr>
          </w:p>
        </w:tc>
      </w:tr>
      <w:tr>
        <w:trPr>
          <w:trHeight w:val="178"/>
        </w:trPr>
        <w:tc>
          <w:tcPr>
            <w:tcW w:w="4780" w:type="dxa"/>
            <w:vAlign w:val="bottom"/>
            <w:shd w:val="clear" w:color="auto" w:fill="CFF0FC"/>
          </w:tcPr>
          <w:p>
            <w:pPr>
              <w:ind w:left="100"/>
              <w:spacing w:after="0"/>
              <w:rPr>
                <w:sz w:val="20"/>
                <w:szCs w:val="20"/>
                <w:color w:val="auto"/>
              </w:rPr>
            </w:pPr>
            <w:r>
              <w:rPr>
                <w:rFonts w:ascii="Arial" w:cs="Arial" w:eastAsia="Arial" w:hAnsi="Arial"/>
                <w:sz w:val="15"/>
                <w:szCs w:val="15"/>
                <w:color w:val="auto"/>
              </w:rPr>
              <w:t>Merger and integration</w:t>
            </w: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6</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FF0FC"/>
          </w:tcPr>
          <w:p>
            <w:pPr>
              <w:spacing w:after="0"/>
              <w:rPr>
                <w:sz w:val="15"/>
                <w:szCs w:val="15"/>
                <w:color w:val="auto"/>
              </w:rPr>
            </w:pPr>
          </w:p>
        </w:tc>
      </w:tr>
      <w:tr>
        <w:trPr>
          <w:trHeight w:val="178"/>
        </w:trPr>
        <w:tc>
          <w:tcPr>
            <w:tcW w:w="4780" w:type="dxa"/>
            <w:vAlign w:val="bottom"/>
          </w:tcPr>
          <w:p>
            <w:pPr>
              <w:ind w:left="100"/>
              <w:spacing w:after="0"/>
              <w:rPr>
                <w:sz w:val="20"/>
                <w:szCs w:val="20"/>
                <w:color w:val="auto"/>
              </w:rPr>
            </w:pPr>
            <w:r>
              <w:rPr>
                <w:rFonts w:ascii="Arial" w:cs="Arial" w:eastAsia="Arial" w:hAnsi="Arial"/>
                <w:sz w:val="15"/>
                <w:szCs w:val="15"/>
                <w:color w:val="auto"/>
              </w:rPr>
              <w:t>Amortization of inventory purchase accounting adjustment</w:t>
            </w: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5"/>
                <w:szCs w:val="15"/>
                <w:color w:val="auto"/>
              </w:rPr>
            </w:pPr>
          </w:p>
        </w:tc>
      </w:tr>
      <w:tr>
        <w:trPr>
          <w:trHeight w:val="210"/>
        </w:trPr>
        <w:tc>
          <w:tcPr>
            <w:tcW w:w="47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110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84"/>
              <w:spacing w:after="0" w:line="171"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95"/>
              </w:rPr>
              <w:t>8</w:t>
            </w:r>
          </w:p>
        </w:tc>
        <w:tc>
          <w:tcPr>
            <w:tcW w:w="500" w:type="dxa"/>
            <w:vAlign w:val="bottom"/>
            <w:gridSpan w:val="2"/>
            <w:shd w:val="clear" w:color="auto" w:fill="CFF0FC"/>
          </w:tcPr>
          <w:p>
            <w:pPr>
              <w:jc w:val="right"/>
              <w:ind w:right="132"/>
              <w:spacing w:after="0" w:line="171"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102</w:t>
            </w:r>
          </w:p>
        </w:tc>
        <w:tc>
          <w:tcPr>
            <w:tcW w:w="100" w:type="dxa"/>
            <w:vAlign w:val="bottom"/>
            <w:shd w:val="clear" w:color="auto" w:fill="CFF0FC"/>
          </w:tcPr>
          <w:p>
            <w:pPr>
              <w:spacing w:after="0"/>
              <w:rPr>
                <w:sz w:val="18"/>
                <w:szCs w:val="18"/>
                <w:color w:val="auto"/>
              </w:rPr>
            </w:pPr>
          </w:p>
        </w:tc>
      </w:tr>
      <w:tr>
        <w:trPr>
          <w:trHeight w:val="572"/>
        </w:trPr>
        <w:tc>
          <w:tcPr>
            <w:tcW w:w="478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jc w:val="right"/>
              <w:ind w:right="24"/>
              <w:spacing w:after="0"/>
              <w:rPr>
                <w:sz w:val="20"/>
                <w:szCs w:val="20"/>
                <w:color w:val="auto"/>
              </w:rPr>
            </w:pPr>
            <w:r>
              <w:rPr>
                <w:rFonts w:ascii="Arial" w:cs="Arial" w:eastAsia="Arial" w:hAnsi="Arial"/>
                <w:sz w:val="15"/>
                <w:szCs w:val="15"/>
                <w:color w:val="auto"/>
              </w:rPr>
              <w:t>38</w:t>
            </w: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06"/>
        </w:trPr>
        <w:tc>
          <w:tcPr>
            <w:tcW w:w="4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-861695</wp:posOffset>
            </wp:positionV>
            <wp:extent cx="647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-845820</wp:posOffset>
            </wp:positionV>
            <wp:extent cx="647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-861695</wp:posOffset>
            </wp:positionV>
            <wp:extent cx="647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-845820</wp:posOffset>
            </wp:positionV>
            <wp:extent cx="647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-861695</wp:posOffset>
            </wp:positionV>
            <wp:extent cx="647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-845820</wp:posOffset>
            </wp:positionV>
            <wp:extent cx="647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-861695</wp:posOffset>
            </wp:positionV>
            <wp:extent cx="723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-845820</wp:posOffset>
            </wp:positionV>
            <wp:extent cx="723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8" w:name="page39"/>
    <w:bookmarkEnd w:id="38"/>
    <w:p>
      <w:pPr>
        <w:jc w:val="both"/>
        <w:ind w:left="760" w:hanging="384"/>
        <w:spacing w:after="0" w:line="259" w:lineRule="auto"/>
        <w:tabs>
          <w:tab w:leader="none" w:pos="760" w:val="left"/>
        </w:tabs>
        <w:numPr>
          <w:ilvl w:val="1"/>
          <w:numId w:val="27"/>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 million shares of Liberty and received net proceeds of $137 million. As a result, SLB recognized a gain of $36 million which is classified in </w:t>
      </w:r>
      <w:r>
        <w:rPr>
          <w:rFonts w:ascii="Arial" w:cs="Arial" w:eastAsia="Arial" w:hAnsi="Arial"/>
          <w:sz w:val="15"/>
          <w:szCs w:val="15"/>
          <w:i w:val="1"/>
          <w:iCs w:val="1"/>
          <w:color w:val="auto"/>
        </w:rPr>
        <w:t>Interest &amp; other income</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p>
    <w:p>
      <w:pPr>
        <w:spacing w:after="0" w:line="67" w:lineRule="exact"/>
        <w:rPr>
          <w:rFonts w:ascii="Times New Roman" w:cs="Times New Roman" w:eastAsia="Times New Roman" w:hAnsi="Times New Roman"/>
          <w:sz w:val="15"/>
          <w:szCs w:val="15"/>
          <w:color w:val="auto"/>
        </w:rPr>
      </w:pPr>
    </w:p>
    <w:p>
      <w:pPr>
        <w:jc w:val="both"/>
        <w:ind w:left="760" w:hanging="384"/>
        <w:spacing w:after="0" w:line="265" w:lineRule="auto"/>
        <w:tabs>
          <w:tab w:leader="none" w:pos="760" w:val="left"/>
        </w:tabs>
        <w:numPr>
          <w:ilvl w:val="1"/>
          <w:numId w:val="27"/>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Although SLB’s functional currency in Argentina is the US dollar, a portion of its transactions are denominated in pesos. During the fourth quarter of 2023, Argentina devalued its peso relative to the US dollar by approximately 55%. As a result, SLB recorded a $90 million devaluation charge. $61 million of this charge is classified in </w:t>
      </w:r>
      <w:r>
        <w:rPr>
          <w:rFonts w:ascii="Arial" w:cs="Arial" w:eastAsia="Arial" w:hAnsi="Arial"/>
          <w:sz w:val="15"/>
          <w:szCs w:val="15"/>
          <w:i w:val="1"/>
          <w:iCs w:val="1"/>
          <w:color w:val="auto"/>
        </w:rPr>
        <w:t>Cost of services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with the remaining $29 million classified in </w:t>
      </w:r>
      <w:r>
        <w:rPr>
          <w:rFonts w:ascii="Arial" w:cs="Arial" w:eastAsia="Arial" w:hAnsi="Arial"/>
          <w:sz w:val="15"/>
          <w:szCs w:val="15"/>
          <w:i w:val="1"/>
          <w:iCs w:val="1"/>
          <w:color w:val="auto"/>
        </w:rPr>
        <w:t>Cost of sales</w:t>
      </w:r>
      <w:r>
        <w:rPr>
          <w:rFonts w:ascii="Arial" w:cs="Arial" w:eastAsia="Arial" w:hAnsi="Arial"/>
          <w:sz w:val="15"/>
          <w:szCs w:val="15"/>
          <w:color w:val="auto"/>
        </w:rPr>
        <w:t>.</w:t>
      </w:r>
    </w:p>
    <w:p>
      <w:pPr>
        <w:spacing w:after="0" w:line="62" w:lineRule="exact"/>
        <w:rPr>
          <w:rFonts w:ascii="Times New Roman" w:cs="Times New Roman" w:eastAsia="Times New Roman" w:hAnsi="Times New Roman"/>
          <w:sz w:val="15"/>
          <w:szCs w:val="15"/>
          <w:color w:val="auto"/>
        </w:rPr>
      </w:pPr>
    </w:p>
    <w:p>
      <w:pPr>
        <w:jc w:val="both"/>
        <w:ind w:left="760" w:hanging="384"/>
        <w:spacing w:after="0" w:line="259" w:lineRule="auto"/>
        <w:tabs>
          <w:tab w:leader="none" w:pos="760" w:val="left"/>
        </w:tabs>
        <w:numPr>
          <w:ilvl w:val="1"/>
          <w:numId w:val="27"/>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In connection with SLB’s acquisition of the Aker subsea business, SLB recorded the following charges: $23 million of acquisition-related transaction costs, including advisory and legal fees; $11 million relating to the amortization of purchase accounting adjustments associated with the write-up of acquired inventories to its estimated fair value; and $22 million of other merger and integration-related costs. $45 million of these costs are classified in </w:t>
      </w:r>
      <w:r>
        <w:rPr>
          <w:rFonts w:ascii="Arial" w:cs="Arial" w:eastAsia="Arial" w:hAnsi="Arial"/>
          <w:sz w:val="15"/>
          <w:szCs w:val="15"/>
          <w:i w:val="1"/>
          <w:iCs w:val="1"/>
          <w:color w:val="auto"/>
        </w:rPr>
        <w:t>Merger &amp;</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integration </w:t>
      </w:r>
      <w:r>
        <w:rPr>
          <w:rFonts w:ascii="Arial" w:cs="Arial" w:eastAsia="Arial" w:hAnsi="Arial"/>
          <w:sz w:val="15"/>
          <w:szCs w:val="15"/>
          <w:color w:val="auto"/>
        </w:rPr>
        <w:t>in the</w:t>
      </w:r>
      <w:r>
        <w:rPr>
          <w:rFonts w:ascii="Arial" w:cs="Arial" w:eastAsia="Arial" w:hAnsi="Arial"/>
          <w:sz w:val="15"/>
          <w:szCs w:val="15"/>
          <w:i w:val="1"/>
          <w:iCs w:val="1"/>
          <w:color w:val="auto"/>
        </w:rPr>
        <w:t xml:space="preserve"> Consolidated Statement of Income </w:t>
      </w:r>
      <w:r>
        <w:rPr>
          <w:rFonts w:ascii="Arial" w:cs="Arial" w:eastAsia="Arial" w:hAnsi="Arial"/>
          <w:sz w:val="15"/>
          <w:szCs w:val="15"/>
          <w:color w:val="auto"/>
        </w:rPr>
        <w:t>with the remaining $11 million classified in</w:t>
      </w:r>
      <w:r>
        <w:rPr>
          <w:rFonts w:ascii="Arial" w:cs="Arial" w:eastAsia="Arial" w:hAnsi="Arial"/>
          <w:sz w:val="15"/>
          <w:szCs w:val="15"/>
          <w:i w:val="1"/>
          <w:iCs w:val="1"/>
          <w:color w:val="auto"/>
        </w:rPr>
        <w:t xml:space="preserve"> Cost of sales</w:t>
      </w:r>
      <w:r>
        <w:rPr>
          <w:rFonts w:ascii="Arial" w:cs="Arial" w:eastAsia="Arial" w:hAnsi="Arial"/>
          <w:sz w:val="15"/>
          <w:szCs w:val="15"/>
          <w:color w:val="auto"/>
        </w:rPr>
        <w:t>.</w:t>
      </w:r>
    </w:p>
    <w:p>
      <w:pPr>
        <w:spacing w:after="0" w:line="346" w:lineRule="exact"/>
        <w:rPr>
          <w:rFonts w:ascii="Times New Roman" w:cs="Times New Roman" w:eastAsia="Times New Roman" w:hAnsi="Times New Roman"/>
          <w:sz w:val="15"/>
          <w:szCs w:val="15"/>
          <w:color w:val="auto"/>
        </w:rPr>
      </w:pPr>
    </w:p>
    <w:p>
      <w:pPr>
        <w:ind w:left="220" w:hanging="218"/>
        <w:spacing w:after="0"/>
        <w:tabs>
          <w:tab w:leader="none" w:pos="220"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Inventories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Inventories, which are stated at the lower of average cost or net realizable value,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2025</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660" w:type="dxa"/>
            <w:vAlign w:val="bottom"/>
            <w:gridSpan w:val="3"/>
            <w:shd w:val="clear" w:color="auto" w:fill="CFF0FC"/>
          </w:tcPr>
          <w:p>
            <w:pPr>
              <w:spacing w:after="0" w:line="171" w:lineRule="exact"/>
              <w:rPr>
                <w:sz w:val="20"/>
                <w:szCs w:val="20"/>
                <w:color w:val="auto"/>
              </w:rPr>
            </w:pPr>
            <w:r>
              <w:rPr>
                <w:rFonts w:ascii="Arial" w:cs="Arial" w:eastAsia="Arial" w:hAnsi="Arial"/>
                <w:sz w:val="15"/>
                <w:szCs w:val="15"/>
                <w:color w:val="auto"/>
              </w:rPr>
              <w:t>Raw materials &amp; field materials</w:t>
            </w:r>
          </w:p>
        </w:tc>
        <w:tc>
          <w:tcPr>
            <w:tcW w:w="360" w:type="dxa"/>
            <w:vAlign w:val="bottom"/>
            <w:shd w:val="clear" w:color="auto" w:fill="CFF0FC"/>
          </w:tcPr>
          <w:p>
            <w:pPr>
              <w:jc w:val="right"/>
              <w:ind w:right="184"/>
              <w:spacing w:after="0" w:line="171" w:lineRule="exact"/>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2,550</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2,387</w:t>
            </w:r>
          </w:p>
        </w:tc>
        <w:tc>
          <w:tcPr>
            <w:tcW w:w="0" w:type="dxa"/>
            <w:vAlign w:val="bottom"/>
          </w:tcPr>
          <w:p>
            <w:pPr>
              <w:spacing w:after="0"/>
              <w:rPr>
                <w:sz w:val="1"/>
                <w:szCs w:val="1"/>
                <w:color w:val="auto"/>
              </w:rPr>
            </w:pPr>
          </w:p>
        </w:tc>
      </w:tr>
      <w:tr>
        <w:trPr>
          <w:trHeight w:val="178"/>
        </w:trPr>
        <w:tc>
          <w:tcPr>
            <w:tcW w:w="7660" w:type="dxa"/>
            <w:vAlign w:val="bottom"/>
            <w:gridSpan w:val="3"/>
          </w:tcPr>
          <w:p>
            <w:pPr>
              <w:spacing w:after="0"/>
              <w:rPr>
                <w:sz w:val="20"/>
                <w:szCs w:val="20"/>
                <w:color w:val="auto"/>
              </w:rPr>
            </w:pPr>
            <w:r>
              <w:rPr>
                <w:rFonts w:ascii="Arial" w:cs="Arial" w:eastAsia="Arial" w:hAnsi="Arial"/>
                <w:sz w:val="15"/>
                <w:szCs w:val="15"/>
                <w:color w:val="auto"/>
              </w:rPr>
              <w:t>Work in progress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797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786</w:t>
            </w:r>
          </w:p>
        </w:tc>
        <w:tc>
          <w:tcPr>
            <w:tcW w:w="0" w:type="dxa"/>
            <w:vAlign w:val="bottom"/>
          </w:tcPr>
          <w:p>
            <w:pPr>
              <w:spacing w:after="0"/>
              <w:rPr>
                <w:sz w:val="1"/>
                <w:szCs w:val="1"/>
                <w:color w:val="auto"/>
              </w:rPr>
            </w:pPr>
          </w:p>
        </w:tc>
      </w:tr>
      <w:tr>
        <w:trPr>
          <w:trHeight w:val="178"/>
        </w:trPr>
        <w:tc>
          <w:tcPr>
            <w:tcW w:w="766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Finished goods</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1,685</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1,202</w:t>
            </w:r>
          </w:p>
        </w:tc>
        <w:tc>
          <w:tcPr>
            <w:tcW w:w="0" w:type="dxa"/>
            <w:vAlign w:val="bottom"/>
          </w:tcPr>
          <w:p>
            <w:pPr>
              <w:spacing w:after="0"/>
              <w:rPr>
                <w:sz w:val="1"/>
                <w:szCs w:val="1"/>
                <w:color w:val="auto"/>
              </w:rPr>
            </w:pPr>
          </w:p>
        </w:tc>
      </w:tr>
      <w:tr>
        <w:trPr>
          <w:trHeight w:val="20"/>
        </w:trPr>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65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60" w:type="dxa"/>
            <w:vAlign w:val="bottom"/>
          </w:tcPr>
          <w:p>
            <w:pPr>
              <w:jc w:val="right"/>
              <w:ind w:right="184"/>
              <w:spacing w:after="0" w:line="171" w:lineRule="exact"/>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5,032</w:t>
            </w:r>
          </w:p>
        </w:tc>
        <w:tc>
          <w:tcPr>
            <w:tcW w:w="320" w:type="dxa"/>
            <w:vAlign w:val="bottom"/>
          </w:tcPr>
          <w:p>
            <w:pPr>
              <w:spacing w:after="0"/>
              <w:rPr>
                <w:sz w:val="14"/>
                <w:szCs w:val="14"/>
                <w:color w:val="auto"/>
              </w:rPr>
            </w:pPr>
          </w:p>
        </w:tc>
        <w:tc>
          <w:tcPr>
            <w:tcW w:w="260" w:type="dxa"/>
            <w:vAlign w:val="bottom"/>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4,375</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5. Fixed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660" w:type="dxa"/>
            <w:vAlign w:val="bottom"/>
            <w:gridSpan w:val="3"/>
          </w:tcPr>
          <w:p>
            <w:pPr>
              <w:spacing w:after="0"/>
              <w:rPr>
                <w:sz w:val="20"/>
                <w:szCs w:val="20"/>
                <w:color w:val="auto"/>
              </w:rPr>
            </w:pPr>
            <w:r>
              <w:rPr>
                <w:rFonts w:ascii="Arial" w:cs="Arial" w:eastAsia="Arial" w:hAnsi="Arial"/>
                <w:sz w:val="15"/>
                <w:szCs w:val="15"/>
                <w:color w:val="auto"/>
              </w:rPr>
              <w:t>Fixed assets consist of the following:</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2025</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660" w:type="dxa"/>
            <w:vAlign w:val="bottom"/>
            <w:gridSpan w:val="3"/>
            <w:shd w:val="clear" w:color="auto" w:fill="CFF0FC"/>
          </w:tcPr>
          <w:p>
            <w:pPr>
              <w:spacing w:after="0" w:line="171" w:lineRule="exact"/>
              <w:rPr>
                <w:sz w:val="20"/>
                <w:szCs w:val="20"/>
                <w:color w:val="auto"/>
              </w:rPr>
            </w:pPr>
            <w:r>
              <w:rPr>
                <w:rFonts w:ascii="Arial" w:cs="Arial" w:eastAsia="Arial" w:hAnsi="Arial"/>
                <w:sz w:val="15"/>
                <w:szCs w:val="15"/>
                <w:color w:val="auto"/>
              </w:rPr>
              <w:t>Land</w:t>
            </w:r>
          </w:p>
        </w:tc>
        <w:tc>
          <w:tcPr>
            <w:tcW w:w="360" w:type="dxa"/>
            <w:vAlign w:val="bottom"/>
            <w:shd w:val="clear" w:color="auto" w:fill="CFF0FC"/>
          </w:tcPr>
          <w:p>
            <w:pPr>
              <w:jc w:val="right"/>
              <w:ind w:right="184"/>
              <w:spacing w:after="0" w:line="171" w:lineRule="exact"/>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368</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178"/>
        </w:trPr>
        <w:tc>
          <w:tcPr>
            <w:tcW w:w="7660" w:type="dxa"/>
            <w:vAlign w:val="bottom"/>
            <w:gridSpan w:val="3"/>
          </w:tcPr>
          <w:p>
            <w:pPr>
              <w:spacing w:after="0"/>
              <w:rPr>
                <w:sz w:val="20"/>
                <w:szCs w:val="20"/>
                <w:color w:val="auto"/>
              </w:rPr>
            </w:pPr>
            <w:r>
              <w:rPr>
                <w:rFonts w:ascii="Arial" w:cs="Arial" w:eastAsia="Arial" w:hAnsi="Arial"/>
                <w:sz w:val="15"/>
                <w:szCs w:val="15"/>
                <w:color w:val="auto"/>
              </w:rPr>
              <w:t>Buildings &amp; improvements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5,289</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4,510</w:t>
            </w:r>
          </w:p>
        </w:tc>
        <w:tc>
          <w:tcPr>
            <w:tcW w:w="0" w:type="dxa"/>
            <w:vAlign w:val="bottom"/>
          </w:tcPr>
          <w:p>
            <w:pPr>
              <w:spacing w:after="0"/>
              <w:rPr>
                <w:sz w:val="1"/>
                <w:szCs w:val="1"/>
                <w:color w:val="auto"/>
              </w:rPr>
            </w:pPr>
          </w:p>
        </w:tc>
      </w:tr>
      <w:tr>
        <w:trPr>
          <w:trHeight w:val="178"/>
        </w:trPr>
        <w:tc>
          <w:tcPr>
            <w:tcW w:w="76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5"/>
                <w:szCs w:val="15"/>
                <w:color w:val="auto"/>
              </w:rPr>
              <w:t>Machinery &amp; equipment</w:t>
            </w: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26,388</w:t>
            </w:r>
          </w:p>
        </w:tc>
        <w:tc>
          <w:tcPr>
            <w:tcW w:w="3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24,748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32,045</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line="171" w:lineRule="exact"/>
              <w:rPr>
                <w:sz w:val="20"/>
                <w:szCs w:val="20"/>
                <w:color w:val="auto"/>
              </w:rPr>
            </w:pPr>
            <w:r>
              <w:rPr>
                <w:rFonts w:ascii="Arial" w:cs="Arial" w:eastAsia="Arial" w:hAnsi="Arial"/>
                <w:sz w:val="15"/>
                <w:szCs w:val="15"/>
                <w:color w:val="auto"/>
              </w:rPr>
              <w:t>29,573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5"/>
                <w:szCs w:val="15"/>
                <w:color w:val="auto"/>
              </w:rPr>
              <w:t>Less: Accumulated depreciation</w:t>
            </w: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24,151</w:t>
            </w:r>
          </w:p>
        </w:tc>
        <w:tc>
          <w:tcPr>
            <w:tcW w:w="3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22,214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60" w:type="dxa"/>
            <w:vAlign w:val="bottom"/>
          </w:tcPr>
          <w:p>
            <w:pPr>
              <w:jc w:val="right"/>
              <w:ind w:right="184"/>
              <w:spacing w:after="0" w:line="171" w:lineRule="exact"/>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7,894</w:t>
            </w:r>
          </w:p>
        </w:tc>
        <w:tc>
          <w:tcPr>
            <w:tcW w:w="320" w:type="dxa"/>
            <w:vAlign w:val="bottom"/>
          </w:tcPr>
          <w:p>
            <w:pPr>
              <w:spacing w:after="0"/>
              <w:rPr>
                <w:sz w:val="14"/>
                <w:szCs w:val="14"/>
                <w:color w:val="auto"/>
              </w:rPr>
            </w:pPr>
          </w:p>
        </w:tc>
        <w:tc>
          <w:tcPr>
            <w:tcW w:w="260" w:type="dxa"/>
            <w:vAlign w:val="bottom"/>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7,359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-1748155</wp:posOffset>
            </wp:positionV>
            <wp:extent cx="723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-1748155</wp:posOffset>
            </wp:positionV>
            <wp:extent cx="647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-378460</wp:posOffset>
            </wp:positionV>
            <wp:extent cx="723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-378460</wp:posOffset>
            </wp:positionV>
            <wp:extent cx="647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-144145</wp:posOffset>
            </wp:positionV>
            <wp:extent cx="723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The estimated useful lives of Buildings &amp; improvements are primarily 25 to 30 years. The estimated useful lives of Machinery &amp; equipment are primarily 5 to 10 years.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which is recorded on a straight-line basis, was $1.7 billion in 2025, $1.6 billion in 2024, and $1.4 billion in 2023.</w:t>
      </w:r>
    </w:p>
    <w:p>
      <w:pPr>
        <w:spacing w:after="0" w:line="208" w:lineRule="exact"/>
        <w:rPr>
          <w:sz w:val="20"/>
          <w:szCs w:val="20"/>
          <w:color w:val="auto"/>
        </w:rPr>
      </w:pPr>
    </w:p>
    <w:p>
      <w:pPr>
        <w:ind w:left="220" w:hanging="218"/>
        <w:spacing w:after="0"/>
        <w:tabs>
          <w:tab w:leader="none" w:pos="220"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Acquisitions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ChampionX</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On July 16, 2025, SLB acquired all of the outstanding shares of ChampionX in an all-stock transaction. ChampionX is a global leader in chemistry solutions, artificial lift systems, and highly engineered equipment and technologies that help companies drill for and produce oil and gas safely, efficiently, and sustainably across the world. The acquisition strengthens SLB's leadership in the production and recovery space. Under the terms of the agreement, ChampionX shareholders received 0.735 shares of SLB common stock in exchange for each ChampionX share.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Calculation of Consideration Transferred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details the fair value of the consideration transferred to effect the acquisition of ChampionX:</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58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 except exchange ratio and per share amounts)</w:t>
            </w:r>
          </w:p>
        </w:tc>
      </w:tr>
      <w:tr>
        <w:trPr>
          <w:trHeight w:val="174"/>
        </w:trPr>
        <w:tc>
          <w:tcPr>
            <w:tcW w:w="53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8"/>
        </w:trPr>
        <w:tc>
          <w:tcPr>
            <w:tcW w:w="5380" w:type="dxa"/>
            <w:vAlign w:val="bottom"/>
            <w:shd w:val="clear" w:color="auto" w:fill="CFF0FC"/>
          </w:tcPr>
          <w:p>
            <w:pPr>
              <w:spacing w:after="0"/>
              <w:rPr>
                <w:sz w:val="20"/>
                <w:szCs w:val="20"/>
                <w:color w:val="auto"/>
              </w:rPr>
            </w:pPr>
            <w:r>
              <w:rPr>
                <w:rFonts w:ascii="Arial" w:cs="Arial" w:eastAsia="Arial" w:hAnsi="Arial"/>
                <w:sz w:val="15"/>
                <w:szCs w:val="15"/>
                <w:b w:val="1"/>
                <w:bCs w:val="1"/>
                <w:i w:val="1"/>
                <w:iCs w:val="1"/>
                <w:color w:val="auto"/>
              </w:rPr>
              <w:t>Equity consideration:</w:t>
            </w:r>
          </w:p>
        </w:tc>
        <w:tc>
          <w:tcPr>
            <w:tcW w:w="246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r>
      <w:tr>
        <w:trPr>
          <w:trHeight w:val="178"/>
        </w:trPr>
        <w:tc>
          <w:tcPr>
            <w:tcW w:w="5380" w:type="dxa"/>
            <w:vAlign w:val="bottom"/>
          </w:tcPr>
          <w:p>
            <w:pPr>
              <w:spacing w:after="0"/>
              <w:rPr>
                <w:sz w:val="20"/>
                <w:szCs w:val="20"/>
                <w:color w:val="auto"/>
              </w:rPr>
            </w:pPr>
            <w:r>
              <w:rPr>
                <w:rFonts w:ascii="Arial" w:cs="Arial" w:eastAsia="Arial" w:hAnsi="Arial"/>
                <w:sz w:val="15"/>
                <w:szCs w:val="15"/>
                <w:color w:val="auto"/>
              </w:rPr>
              <w:t>Number of shares of ChampionX stock outstanding</w:t>
            </w:r>
          </w:p>
        </w:tc>
        <w:tc>
          <w:tcPr>
            <w:tcW w:w="4160" w:type="dxa"/>
            <w:vAlign w:val="bottom"/>
            <w:gridSpan w:val="2"/>
          </w:tcPr>
          <w:p>
            <w:pPr>
              <w:jc w:val="right"/>
              <w:spacing w:after="0"/>
              <w:rPr>
                <w:sz w:val="20"/>
                <w:szCs w:val="20"/>
                <w:color w:val="auto"/>
              </w:rPr>
            </w:pPr>
            <w:r>
              <w:rPr>
                <w:rFonts w:ascii="Arial" w:cs="Arial" w:eastAsia="Arial" w:hAnsi="Arial"/>
                <w:sz w:val="15"/>
                <w:szCs w:val="15"/>
                <w:color w:val="auto"/>
              </w:rPr>
              <w:t>191</w:t>
            </w:r>
          </w:p>
        </w:tc>
        <w:tc>
          <w:tcPr>
            <w:tcW w:w="1700" w:type="dxa"/>
            <w:vAlign w:val="bottom"/>
          </w:tcPr>
          <w:p>
            <w:pPr>
              <w:spacing w:after="0"/>
              <w:rPr>
                <w:sz w:val="15"/>
                <w:szCs w:val="15"/>
                <w:color w:val="auto"/>
              </w:rPr>
            </w:pPr>
          </w:p>
        </w:tc>
      </w:tr>
      <w:tr>
        <w:trPr>
          <w:trHeight w:val="178"/>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Exchange ratio</w:t>
            </w:r>
          </w:p>
        </w:tc>
        <w:tc>
          <w:tcPr>
            <w:tcW w:w="246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0.735</w:t>
            </w:r>
          </w:p>
        </w:tc>
        <w:tc>
          <w:tcPr>
            <w:tcW w:w="1700" w:type="dxa"/>
            <w:vAlign w:val="bottom"/>
            <w:tcBorders>
              <w:bottom w:val="single" w:sz="8" w:color="CFF0FC"/>
            </w:tcBorders>
            <w:shd w:val="clear" w:color="auto" w:fill="CFF0FC"/>
          </w:tcPr>
          <w:p>
            <w:pPr>
              <w:spacing w:after="0"/>
              <w:rPr>
                <w:sz w:val="15"/>
                <w:szCs w:val="15"/>
                <w:color w:val="auto"/>
              </w:rPr>
            </w:pPr>
          </w:p>
        </w:tc>
      </w:tr>
      <w:tr>
        <w:trPr>
          <w:trHeight w:val="170"/>
        </w:trPr>
        <w:tc>
          <w:tcPr>
            <w:tcW w:w="5380" w:type="dxa"/>
            <w:vAlign w:val="bottom"/>
          </w:tcPr>
          <w:p>
            <w:pPr>
              <w:spacing w:after="0" w:line="171" w:lineRule="exact"/>
              <w:rPr>
                <w:sz w:val="20"/>
                <w:szCs w:val="20"/>
                <w:color w:val="auto"/>
              </w:rPr>
            </w:pPr>
            <w:r>
              <w:rPr>
                <w:rFonts w:ascii="Arial" w:cs="Arial" w:eastAsia="Arial" w:hAnsi="Arial"/>
                <w:sz w:val="15"/>
                <w:szCs w:val="15"/>
                <w:color w:val="auto"/>
              </w:rPr>
              <w:t>SLB shares of common stock issued</w:t>
            </w:r>
          </w:p>
        </w:tc>
        <w:tc>
          <w:tcPr>
            <w:tcW w:w="41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141</w:t>
            </w:r>
          </w:p>
        </w:tc>
        <w:tc>
          <w:tcPr>
            <w:tcW w:w="1700" w:type="dxa"/>
            <w:vAlign w:val="bottom"/>
          </w:tcPr>
          <w:p>
            <w:pPr>
              <w:spacing w:after="0"/>
              <w:rPr>
                <w:sz w:val="14"/>
                <w:szCs w:val="14"/>
                <w:color w:val="auto"/>
              </w:rPr>
            </w:pPr>
          </w:p>
        </w:tc>
      </w:tr>
      <w:tr>
        <w:trPr>
          <w:trHeight w:val="178"/>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SLB closing stock share price on July 15, 2025</w:t>
            </w:r>
          </w:p>
        </w:tc>
        <w:tc>
          <w:tcPr>
            <w:tcW w:w="246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$35.07</w:t>
            </w:r>
          </w:p>
        </w:tc>
        <w:tc>
          <w:tcPr>
            <w:tcW w:w="1700" w:type="dxa"/>
            <w:vAlign w:val="bottom"/>
            <w:tcBorders>
              <w:bottom w:val="single" w:sz="8" w:color="CFF0FC"/>
            </w:tcBorders>
            <w:shd w:val="clear" w:color="auto" w:fill="CFF0FC"/>
          </w:tcPr>
          <w:p>
            <w:pPr>
              <w:spacing w:after="0"/>
              <w:rPr>
                <w:sz w:val="15"/>
                <w:szCs w:val="15"/>
                <w:color w:val="auto"/>
              </w:rPr>
            </w:pPr>
          </w:p>
        </w:tc>
      </w:tr>
      <w:tr>
        <w:trPr>
          <w:trHeight w:val="170"/>
        </w:trPr>
        <w:tc>
          <w:tcPr>
            <w:tcW w:w="5380" w:type="dxa"/>
            <w:vAlign w:val="bottom"/>
          </w:tcPr>
          <w:p>
            <w:pPr>
              <w:spacing w:after="0" w:line="171" w:lineRule="exact"/>
              <w:rPr>
                <w:sz w:val="20"/>
                <w:szCs w:val="20"/>
                <w:color w:val="auto"/>
              </w:rPr>
            </w:pPr>
            <w:r>
              <w:rPr>
                <w:rFonts w:ascii="Arial" w:cs="Arial" w:eastAsia="Arial" w:hAnsi="Arial"/>
                <w:sz w:val="15"/>
                <w:szCs w:val="15"/>
                <w:color w:val="auto"/>
              </w:rPr>
              <w:t>Equity consideration</w:t>
            </w:r>
          </w:p>
        </w:tc>
        <w:tc>
          <w:tcPr>
            <w:tcW w:w="5860" w:type="dxa"/>
            <w:vAlign w:val="bottom"/>
            <w:gridSpan w:val="3"/>
          </w:tcPr>
          <w:p>
            <w:pPr>
              <w:jc w:val="right"/>
              <w:spacing w:after="0" w:line="171" w:lineRule="exact"/>
              <w:rPr>
                <w:sz w:val="20"/>
                <w:szCs w:val="20"/>
                <w:color w:val="auto"/>
              </w:rPr>
            </w:pPr>
            <w:r>
              <w:rPr>
                <w:rFonts w:ascii="Arial" w:cs="Arial" w:eastAsia="Arial" w:hAnsi="Arial"/>
                <w:sz w:val="15"/>
                <w:szCs w:val="15"/>
                <w:color w:val="auto"/>
              </w:rPr>
              <w:t>$4,936</w:t>
            </w:r>
          </w:p>
        </w:tc>
      </w:tr>
      <w:tr>
        <w:trPr>
          <w:trHeight w:val="178"/>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Fair value of replacement equity awards</w:t>
            </w:r>
          </w:p>
        </w:tc>
        <w:tc>
          <w:tcPr>
            <w:tcW w:w="4160" w:type="dxa"/>
            <w:vAlign w:val="bottom"/>
            <w:tcBorders>
              <w:bottom w:val="single" w:sz="8" w:color="CFF0FC"/>
            </w:tcBorders>
            <w:gridSpan w:val="2"/>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w:t>
            </w:r>
          </w:p>
        </w:tc>
      </w:tr>
      <w:tr>
        <w:trPr>
          <w:trHeight w:val="170"/>
        </w:trPr>
        <w:tc>
          <w:tcPr>
            <w:tcW w:w="5380" w:type="dxa"/>
            <w:vAlign w:val="bottom"/>
          </w:tcPr>
          <w:p>
            <w:pPr>
              <w:spacing w:after="0" w:line="158" w:lineRule="exact"/>
              <w:rPr>
                <w:sz w:val="20"/>
                <w:szCs w:val="20"/>
                <w:color w:val="auto"/>
              </w:rPr>
            </w:pPr>
            <w:r>
              <w:rPr>
                <w:rFonts w:ascii="Arial" w:cs="Arial" w:eastAsia="Arial" w:hAnsi="Arial"/>
                <w:sz w:val="15"/>
                <w:szCs w:val="15"/>
                <w:color w:val="auto"/>
              </w:rPr>
              <w:t>Total fair value of the consideration transferred</w:t>
            </w:r>
          </w:p>
        </w:tc>
        <w:tc>
          <w:tcPr>
            <w:tcW w:w="58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$5,005</w:t>
            </w:r>
          </w:p>
        </w:tc>
      </w:tr>
      <w:tr>
        <w:trPr>
          <w:trHeight w:val="20"/>
        </w:trPr>
        <w:tc>
          <w:tcPr>
            <w:tcW w:w="5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6061710</wp:posOffset>
            </wp:positionH>
            <wp:positionV relativeFrom="paragraph">
              <wp:posOffset>-612140</wp:posOffset>
            </wp:positionV>
            <wp:extent cx="10801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-378460</wp:posOffset>
            </wp:positionV>
            <wp:extent cx="10801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Preliminary Allocation of Consideration Transferred to Net Assets Acquired</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following amounts represent the preliminary estimates of the fair value of assets acquired and liabilities assumed in the acquisition. The final determination of fair value for certain assets and liabilities will be completed as soon as the information necessary to complete the analysis is obtained. These amounts, which are not expected to differ materially from current estimates, will be finalized no later than one year from the acquisition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74"/>
        </w:trPr>
        <w:tc>
          <w:tcPr>
            <w:tcW w:w="9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9200" w:type="dxa"/>
            <w:vAlign w:val="bottom"/>
            <w:shd w:val="clear" w:color="auto" w:fill="CFF0FC"/>
          </w:tcPr>
          <w:p>
            <w:pPr>
              <w:spacing w:after="0"/>
              <w:rPr>
                <w:sz w:val="20"/>
                <w:szCs w:val="20"/>
                <w:color w:val="auto"/>
              </w:rPr>
            </w:pPr>
            <w:r>
              <w:rPr>
                <w:rFonts w:ascii="Arial" w:cs="Arial" w:eastAsia="Arial" w:hAnsi="Arial"/>
                <w:sz w:val="15"/>
                <w:szCs w:val="15"/>
                <w:color w:val="auto"/>
              </w:rPr>
              <w:t>Cash</w:t>
            </w: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479</w:t>
            </w:r>
          </w:p>
        </w:tc>
        <w:tc>
          <w:tcPr>
            <w:tcW w:w="100" w:type="dxa"/>
            <w:vAlign w:val="bottom"/>
            <w:shd w:val="clear" w:color="auto" w:fill="CFF0FC"/>
          </w:tcPr>
          <w:p>
            <w:pPr>
              <w:spacing w:after="0"/>
              <w:rPr>
                <w:sz w:val="15"/>
                <w:szCs w:val="15"/>
                <w:color w:val="auto"/>
              </w:rPr>
            </w:pP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Accounts receivable</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15"/>
                <w:szCs w:val="15"/>
                <w:color w:val="auto"/>
              </w:rPr>
            </w:pPr>
          </w:p>
        </w:tc>
      </w:tr>
      <w:tr>
        <w:trPr>
          <w:trHeight w:val="178"/>
        </w:trPr>
        <w:tc>
          <w:tcPr>
            <w:tcW w:w="920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Inventories </w:t>
            </w:r>
            <w:r>
              <w:rPr>
                <w:rFonts w:ascii="Arial" w:cs="Arial" w:eastAsia="Arial" w:hAnsi="Arial"/>
                <w:sz w:val="20"/>
                <w:szCs w:val="20"/>
                <w:color w:val="auto"/>
                <w:vertAlign w:val="superscript"/>
              </w:rPr>
              <w:t>(1)</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680</w:t>
            </w:r>
          </w:p>
        </w:tc>
        <w:tc>
          <w:tcPr>
            <w:tcW w:w="100" w:type="dxa"/>
            <w:vAlign w:val="bottom"/>
            <w:shd w:val="clear" w:color="auto" w:fill="CFF0FC"/>
          </w:tcPr>
          <w:p>
            <w:pPr>
              <w:spacing w:after="0"/>
              <w:rPr>
                <w:sz w:val="15"/>
                <w:szCs w:val="15"/>
                <w:color w:val="auto"/>
              </w:rPr>
            </w:pPr>
          </w:p>
        </w:tc>
      </w:tr>
      <w:tr>
        <w:trPr>
          <w:trHeight w:val="178"/>
        </w:trPr>
        <w:tc>
          <w:tcPr>
            <w:tcW w:w="9200" w:type="dxa"/>
            <w:vAlign w:val="bottom"/>
          </w:tcPr>
          <w:p>
            <w:pPr>
              <w:spacing w:after="0" w:line="178" w:lineRule="exact"/>
              <w:rPr>
                <w:sz w:val="20"/>
                <w:szCs w:val="20"/>
                <w:color w:val="auto"/>
              </w:rPr>
            </w:pPr>
            <w:r>
              <w:rPr>
                <w:rFonts w:ascii="Arial" w:cs="Arial" w:eastAsia="Arial" w:hAnsi="Arial"/>
                <w:sz w:val="15"/>
                <w:szCs w:val="15"/>
                <w:color w:val="auto"/>
              </w:rPr>
              <w:t xml:space="preserve">Net assets held for sale </w:t>
            </w:r>
            <w:r>
              <w:rPr>
                <w:rFonts w:ascii="Arial" w:cs="Arial" w:eastAsia="Arial" w:hAnsi="Arial"/>
                <w:sz w:val="20"/>
                <w:szCs w:val="20"/>
                <w:color w:val="auto"/>
                <w:vertAlign w:val="superscript"/>
              </w:rPr>
              <w:t>(2)</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286</w:t>
            </w:r>
          </w:p>
        </w:tc>
        <w:tc>
          <w:tcPr>
            <w:tcW w:w="100" w:type="dxa"/>
            <w:vAlign w:val="bottom"/>
          </w:tcPr>
          <w:p>
            <w:pPr>
              <w:spacing w:after="0"/>
              <w:rPr>
                <w:sz w:val="15"/>
                <w:szCs w:val="15"/>
                <w:color w:val="auto"/>
              </w:rPr>
            </w:pPr>
          </w:p>
        </w:tc>
      </w:tr>
      <w:tr>
        <w:trPr>
          <w:trHeight w:val="178"/>
        </w:trPr>
        <w:tc>
          <w:tcPr>
            <w:tcW w:w="9200" w:type="dxa"/>
            <w:vAlign w:val="bottom"/>
            <w:shd w:val="clear" w:color="auto" w:fill="CFF0FC"/>
          </w:tcPr>
          <w:p>
            <w:pPr>
              <w:spacing w:after="0"/>
              <w:rPr>
                <w:sz w:val="20"/>
                <w:szCs w:val="20"/>
                <w:color w:val="auto"/>
              </w:rPr>
            </w:pPr>
            <w:r>
              <w:rPr>
                <w:rFonts w:ascii="Arial" w:cs="Arial" w:eastAsia="Arial" w:hAnsi="Arial"/>
                <w:sz w:val="15"/>
                <w:szCs w:val="15"/>
                <w:color w:val="auto"/>
              </w:rPr>
              <w:t>Fixed assets</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676</w:t>
            </w:r>
          </w:p>
        </w:tc>
        <w:tc>
          <w:tcPr>
            <w:tcW w:w="100" w:type="dxa"/>
            <w:vAlign w:val="bottom"/>
            <w:shd w:val="clear" w:color="auto" w:fill="CFF0FC"/>
          </w:tcPr>
          <w:p>
            <w:pPr>
              <w:spacing w:after="0"/>
              <w:rPr>
                <w:sz w:val="15"/>
                <w:szCs w:val="15"/>
                <w:color w:val="auto"/>
              </w:rPr>
            </w:pP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Intangible assets (weighted average life of 18 years)</w:t>
            </w: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92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Customer relationships (weighted-average life of 25 years)</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950</w:t>
            </w:r>
          </w:p>
        </w:tc>
        <w:tc>
          <w:tcPr>
            <w:tcW w:w="100" w:type="dxa"/>
            <w:vAlign w:val="bottom"/>
            <w:shd w:val="clear" w:color="auto" w:fill="CFF0FC"/>
          </w:tcPr>
          <w:p>
            <w:pPr>
              <w:spacing w:after="0"/>
              <w:rPr>
                <w:sz w:val="15"/>
                <w:szCs w:val="15"/>
                <w:color w:val="auto"/>
              </w:rPr>
            </w:pPr>
          </w:p>
        </w:tc>
      </w:tr>
      <w:tr>
        <w:trPr>
          <w:trHeight w:val="178"/>
        </w:trPr>
        <w:tc>
          <w:tcPr>
            <w:tcW w:w="9200" w:type="dxa"/>
            <w:vAlign w:val="bottom"/>
          </w:tcPr>
          <w:p>
            <w:pPr>
              <w:ind w:left="180"/>
              <w:spacing w:after="0"/>
              <w:rPr>
                <w:sz w:val="20"/>
                <w:szCs w:val="20"/>
                <w:color w:val="auto"/>
              </w:rPr>
            </w:pPr>
            <w:r>
              <w:rPr>
                <w:rFonts w:ascii="Arial" w:cs="Arial" w:eastAsia="Arial" w:hAnsi="Arial"/>
                <w:sz w:val="15"/>
                <w:szCs w:val="15"/>
                <w:color w:val="auto"/>
              </w:rPr>
              <w:t>Technology/Technical know-how (weighted-average life of 16 years)</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980</w:t>
            </w:r>
          </w:p>
        </w:tc>
        <w:tc>
          <w:tcPr>
            <w:tcW w:w="100" w:type="dxa"/>
            <w:vAlign w:val="bottom"/>
          </w:tcPr>
          <w:p>
            <w:pPr>
              <w:spacing w:after="0"/>
              <w:rPr>
                <w:sz w:val="15"/>
                <w:szCs w:val="15"/>
                <w:color w:val="auto"/>
              </w:rPr>
            </w:pPr>
          </w:p>
        </w:tc>
      </w:tr>
      <w:tr>
        <w:trPr>
          <w:trHeight w:val="178"/>
        </w:trPr>
        <w:tc>
          <w:tcPr>
            <w:tcW w:w="92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Tradenames (weighted-average life of 20 years)</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330</w:t>
            </w:r>
          </w:p>
        </w:tc>
        <w:tc>
          <w:tcPr>
            <w:tcW w:w="100" w:type="dxa"/>
            <w:vAlign w:val="bottom"/>
            <w:shd w:val="clear" w:color="auto" w:fill="CFF0FC"/>
          </w:tcPr>
          <w:p>
            <w:pPr>
              <w:spacing w:after="0"/>
              <w:rPr>
                <w:sz w:val="15"/>
                <w:szCs w:val="15"/>
                <w:color w:val="auto"/>
              </w:rPr>
            </w:pP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Other assets</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15"/>
                <w:szCs w:val="15"/>
                <w:color w:val="auto"/>
              </w:rPr>
            </w:pPr>
          </w:p>
        </w:tc>
      </w:tr>
      <w:tr>
        <w:trPr>
          <w:trHeight w:val="178"/>
        </w:trPr>
        <w:tc>
          <w:tcPr>
            <w:tcW w:w="9200" w:type="dxa"/>
            <w:vAlign w:val="bottom"/>
            <w:shd w:val="clear" w:color="auto" w:fill="CFF0FC"/>
          </w:tcPr>
          <w:p>
            <w:pPr>
              <w:spacing w:after="0"/>
              <w:rPr>
                <w:sz w:val="20"/>
                <w:szCs w:val="20"/>
                <w:color w:val="auto"/>
              </w:rPr>
            </w:pPr>
            <w:r>
              <w:rPr>
                <w:rFonts w:ascii="Arial" w:cs="Arial" w:eastAsia="Arial" w:hAnsi="Arial"/>
                <w:sz w:val="15"/>
                <w:szCs w:val="15"/>
                <w:color w:val="auto"/>
              </w:rPr>
              <w:t>Accounts payable and accrued liabilities</w:t>
            </w:r>
          </w:p>
        </w:tc>
        <w:tc>
          <w:tcPr>
            <w:tcW w:w="4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(719)</w:t>
            </w: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Long-term debt</w:t>
            </w:r>
          </w:p>
        </w:tc>
        <w:tc>
          <w:tcPr>
            <w:tcW w:w="46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5"/>
                <w:szCs w:val="15"/>
                <w:color w:val="auto"/>
              </w:rPr>
              <w:t>(612)</w:t>
            </w:r>
          </w:p>
        </w:tc>
      </w:tr>
      <w:tr>
        <w:trPr>
          <w:trHeight w:val="178"/>
        </w:trPr>
        <w:tc>
          <w:tcPr>
            <w:tcW w:w="9200" w:type="dxa"/>
            <w:vAlign w:val="bottom"/>
            <w:shd w:val="clear" w:color="auto" w:fill="CFF0FC"/>
          </w:tcPr>
          <w:p>
            <w:pPr>
              <w:spacing w:after="0"/>
              <w:rPr>
                <w:sz w:val="20"/>
                <w:szCs w:val="20"/>
                <w:color w:val="auto"/>
              </w:rPr>
            </w:pPr>
            <w:r>
              <w:rPr>
                <w:rFonts w:ascii="Arial" w:cs="Arial" w:eastAsia="Arial" w:hAnsi="Arial"/>
                <w:sz w:val="15"/>
                <w:szCs w:val="15"/>
                <w:color w:val="auto"/>
              </w:rPr>
              <w:t>Deferred taxes</w:t>
            </w:r>
          </w:p>
        </w:tc>
        <w:tc>
          <w:tcPr>
            <w:tcW w:w="4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(840)</w:t>
            </w: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Other liabilities</w:t>
            </w:r>
          </w:p>
        </w:tc>
        <w:tc>
          <w:tcPr>
            <w:tcW w:w="46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5"/>
                <w:szCs w:val="15"/>
                <w:color w:val="auto"/>
              </w:rPr>
              <w:t>(189)</w:t>
            </w:r>
          </w:p>
        </w:tc>
      </w:tr>
      <w:tr>
        <w:trPr>
          <w:trHeight w:val="178"/>
        </w:trPr>
        <w:tc>
          <w:tcPr>
            <w:tcW w:w="92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Noncontrolling interests</w:t>
            </w:r>
          </w:p>
        </w:tc>
        <w:tc>
          <w:tcPr>
            <w:tcW w:w="4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(19)</w:t>
            </w:r>
          </w:p>
        </w:tc>
      </w:tr>
      <w:tr>
        <w:trPr>
          <w:trHeight w:val="170"/>
        </w:trPr>
        <w:tc>
          <w:tcPr>
            <w:tcW w:w="9200" w:type="dxa"/>
            <w:vAlign w:val="bottom"/>
            <w:tcBorders>
              <w:top w:val="single" w:sz="8" w:color="CFF0FC"/>
            </w:tcBorders>
          </w:tcPr>
          <w:p>
            <w:pPr>
              <w:spacing w:after="0" w:line="171" w:lineRule="exact"/>
              <w:rPr>
                <w:sz w:val="20"/>
                <w:szCs w:val="20"/>
                <w:color w:val="auto"/>
              </w:rPr>
            </w:pPr>
            <w:r>
              <w:rPr>
                <w:rFonts w:ascii="Arial" w:cs="Arial" w:eastAsia="Arial" w:hAnsi="Arial"/>
                <w:sz w:val="15"/>
                <w:szCs w:val="15"/>
                <w:color w:val="auto"/>
              </w:rPr>
              <w:t>Total identifiable net assets</w:t>
            </w:r>
          </w:p>
        </w:tc>
        <w:tc>
          <w:tcPr>
            <w:tcW w:w="460" w:type="dxa"/>
            <w:vAlign w:val="bottom"/>
            <w:tcBorders>
              <w:top w:val="single" w:sz="8" w:color="auto"/>
            </w:tcBorders>
          </w:tcPr>
          <w:p>
            <w:pPr>
              <w:jc w:val="right"/>
              <w:ind w:right="304"/>
              <w:spacing w:after="0" w:line="171" w:lineRule="exact"/>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2,697</w:t>
            </w:r>
          </w:p>
        </w:tc>
        <w:tc>
          <w:tcPr>
            <w:tcW w:w="100" w:type="dxa"/>
            <w:vAlign w:val="bottom"/>
            <w:tcBorders>
              <w:top w:val="single" w:sz="8" w:color="CFF0FC"/>
            </w:tcBorders>
          </w:tcPr>
          <w:p>
            <w:pPr>
              <w:spacing w:after="0"/>
              <w:rPr>
                <w:sz w:val="14"/>
                <w:szCs w:val="14"/>
                <w:color w:val="auto"/>
              </w:rPr>
            </w:pPr>
          </w:p>
        </w:tc>
      </w:tr>
      <w:tr>
        <w:trPr>
          <w:trHeight w:val="178"/>
        </w:trPr>
        <w:tc>
          <w:tcPr>
            <w:tcW w:w="9200" w:type="dxa"/>
            <w:vAlign w:val="bottom"/>
            <w:tcBorders>
              <w:bottom w:val="single" w:sz="8" w:color="CFF0FC"/>
            </w:tcBorders>
            <w:shd w:val="clear" w:color="auto" w:fill="CFF0FC"/>
          </w:tcPr>
          <w:p>
            <w:pPr>
              <w:spacing w:after="0" w:line="178" w:lineRule="exact"/>
              <w:rPr>
                <w:sz w:val="20"/>
                <w:szCs w:val="20"/>
                <w:color w:val="auto"/>
              </w:rPr>
            </w:pPr>
            <w:r>
              <w:rPr>
                <w:rFonts w:ascii="Arial" w:cs="Arial" w:eastAsia="Arial" w:hAnsi="Arial"/>
                <w:sz w:val="15"/>
                <w:szCs w:val="15"/>
                <w:color w:val="auto"/>
              </w:rPr>
              <w:t xml:space="preserve">Goodwill </w:t>
            </w:r>
            <w:r>
              <w:rPr>
                <w:rFonts w:ascii="Arial" w:cs="Arial" w:eastAsia="Arial" w:hAnsi="Arial"/>
                <w:sz w:val="20"/>
                <w:szCs w:val="20"/>
                <w:color w:val="auto"/>
                <w:vertAlign w:val="superscript"/>
              </w:rPr>
              <w:t>(3)</w:t>
            </w:r>
          </w:p>
        </w:tc>
        <w:tc>
          <w:tcPr>
            <w:tcW w:w="4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2,308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9200" w:type="dxa"/>
            <w:vAlign w:val="bottom"/>
          </w:tcPr>
          <w:p>
            <w:pPr>
              <w:ind w:left="180"/>
              <w:spacing w:after="0" w:line="158" w:lineRule="exact"/>
              <w:rPr>
                <w:sz w:val="20"/>
                <w:szCs w:val="20"/>
                <w:color w:val="auto"/>
              </w:rPr>
            </w:pPr>
            <w:r>
              <w:rPr>
                <w:rFonts w:ascii="Arial" w:cs="Arial" w:eastAsia="Arial" w:hAnsi="Arial"/>
                <w:sz w:val="15"/>
                <w:szCs w:val="15"/>
                <w:color w:val="auto"/>
              </w:rPr>
              <w:t>Total consideration transferred</w:t>
            </w:r>
          </w:p>
        </w:tc>
        <w:tc>
          <w:tcPr>
            <w:tcW w:w="460" w:type="dxa"/>
            <w:vAlign w:val="bottom"/>
            <w:tcBorders>
              <w:bottom w:val="single" w:sz="8" w:color="auto"/>
            </w:tcBorders>
          </w:tcPr>
          <w:p>
            <w:pPr>
              <w:jc w:val="right"/>
              <w:ind w:right="304"/>
              <w:spacing w:after="0" w:line="158" w:lineRule="exact"/>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5"/>
                <w:szCs w:val="15"/>
                <w:color w:val="auto"/>
              </w:rPr>
              <w:t>5,005</w:t>
            </w:r>
          </w:p>
        </w:tc>
        <w:tc>
          <w:tcPr>
            <w:tcW w:w="100" w:type="dxa"/>
            <w:vAlign w:val="bottom"/>
          </w:tcPr>
          <w:p>
            <w:pPr>
              <w:spacing w:after="0"/>
              <w:rPr>
                <w:sz w:val="14"/>
                <w:szCs w:val="14"/>
                <w:color w:val="auto"/>
              </w:rPr>
            </w:pPr>
          </w:p>
        </w:tc>
      </w:tr>
      <w:tr>
        <w:trPr>
          <w:trHeight w:val="20"/>
        </w:trPr>
        <w:tc>
          <w:tcPr>
            <w:tcW w:w="9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-378460</wp:posOffset>
            </wp:positionV>
            <wp:extent cx="647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252" w:lineRule="exact"/>
        <w:rPr>
          <w:sz w:val="20"/>
          <w:szCs w:val="20"/>
          <w:color w:val="auto"/>
        </w:rPr>
      </w:pPr>
    </w:p>
    <w:p>
      <w:pPr>
        <w:ind w:left="380" w:hanging="378"/>
        <w:spacing w:after="0" w:line="214" w:lineRule="auto"/>
        <w:tabs>
          <w:tab w:leader="none" w:pos="38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 xml:space="preserve">SLB recorded an adjustment of $166 million to write-up the acquired inventory to its estimated fair value. SLB's </w:t>
      </w:r>
      <w:r>
        <w:rPr>
          <w:rFonts w:ascii="Arial" w:cs="Arial" w:eastAsia="Arial" w:hAnsi="Arial"/>
          <w:sz w:val="14"/>
          <w:szCs w:val="14"/>
          <w:i w:val="1"/>
          <w:iCs w:val="1"/>
          <w:color w:val="auto"/>
        </w:rPr>
        <w:t>Cost of sales</w:t>
      </w:r>
      <w:r>
        <w:rPr>
          <w:rFonts w:ascii="Arial" w:cs="Arial" w:eastAsia="Arial" w:hAnsi="Arial"/>
          <w:sz w:val="14"/>
          <w:szCs w:val="14"/>
          <w:color w:val="auto"/>
        </w:rPr>
        <w:t xml:space="preserve"> reflected this increased valuation as the acquired inventory was sold. 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47" w:lineRule="exact"/>
        <w:rPr>
          <w:rFonts w:ascii="Arial" w:cs="Arial" w:eastAsia="Arial" w:hAnsi="Arial"/>
          <w:sz w:val="18"/>
          <w:szCs w:val="18"/>
          <w:color w:val="auto"/>
          <w:vertAlign w:val="superscript"/>
        </w:rPr>
      </w:pPr>
    </w:p>
    <w:p>
      <w:pPr>
        <w:ind w:left="380" w:hanging="378"/>
        <w:spacing w:after="0"/>
        <w:tabs>
          <w:tab w:leader="none" w:pos="38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Concurrent with the closing of the acquisition, SLB completed the sale of ChampionX's Drilling Technologies business for net cash proceeds of $286 million.</w:t>
      </w:r>
    </w:p>
    <w:p>
      <w:pPr>
        <w:spacing w:after="0" w:line="77" w:lineRule="exact"/>
        <w:rPr>
          <w:rFonts w:ascii="Arial" w:cs="Arial" w:eastAsia="Arial" w:hAnsi="Arial"/>
          <w:sz w:val="18"/>
          <w:szCs w:val="18"/>
          <w:color w:val="auto"/>
          <w:vertAlign w:val="superscript"/>
        </w:rPr>
      </w:pPr>
    </w:p>
    <w:p>
      <w:pPr>
        <w:ind w:left="380" w:hanging="378"/>
        <w:spacing w:after="0" w:line="214" w:lineRule="auto"/>
        <w:tabs>
          <w:tab w:leader="none" w:pos="38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is primarily attributable to expected synergies that will result from combining the operations of SLB and ChampionX, as well as intangible assets which do not qualify for separate recognition. The amount of goodwill that is deductible for income tax purposes is not significant.</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Businesses acquired from ChampionX contributed revenue of approximately $1.5 billion and pretax operating income of approximately $0.3 billion to SLB for the period from August 1, 2025 through December 31, 2025.</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Excluding its Drilling Technologies business, which was disposed of concurrently with the closing of the acquisition, ChampionX recorded revenue of approximately $3.4 billion in 2024 and $2.0 billion during the period from January 1, 2025 to July 31, 2025. The pro forma impact of this acquisition on net income attributable to SLB and diluted earnings per share was not material.</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Aker Subsea</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On October 2, 2023, SLB, Aker, and Subsea7 closed their previously announced joint venture, SLB OneSubsea. SLB OneSubsea drives innovation and efficiency in subsea production by helping customers unlock reserves and reduce cycle time. SLB OneSubsea comprises SLB’s and Aker’s subsea businesses, which include an extensive complementary subsea production and processing technology portfolio, world-class manufacturing scale and capacity, access to industry-leading reservoir and digital domain expertise, unique pore-to-process integration capabilities, and strengthened research and development capabilities.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5"/>
          <w:szCs w:val="15"/>
          <w:color w:val="auto"/>
        </w:rPr>
        <w:t>In addition to contributing its subsea business to the joint venture, at closing SLB issued 5.1 million shares of its common stock valued at $306.5 million to Aker. Concurrently, Subsea7 purchased a 10% interest in exchange for $306.5 million in cash to Aker. The joint venture also issued a promissory note valued at $87.5 million to Aker. SLB owns 70% of the joint venture, while Aker owns 20% and Subsea7 owns 10%.</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The formation of the joint venture was accounted for as a business combination. As the majority owner and controlling entity, SLB is considered the acquirer and reflects OneSubsea as a consolidated subsidiary in its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The transfer of the SLB subsea business to the joint venture was accounted for at historical cost, while the Aker subsea business was recorded based on the fair value of the assets acquired and liabilities assumed of approximately $1.3 billion.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The combination of the historical cost and fair value, discussed above, resulted in net assets of the joint venture of approximately $2.8 billion upon formation. Aker and Subsea7’s combined 30% interest in the initial net assets of OneSubsea of $0.8 billion was recognized in </w:t>
      </w:r>
      <w:r>
        <w:rPr>
          <w:rFonts w:ascii="Arial" w:cs="Arial" w:eastAsia="Arial" w:hAnsi="Arial"/>
          <w:sz w:val="15"/>
          <w:szCs w:val="15"/>
          <w:i w:val="1"/>
          <w:iCs w:val="1"/>
          <w:color w:val="auto"/>
        </w:rPr>
        <w:t>Noncontrolling interests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 xml:space="preserve">. The $0.1 billion difference between the noncontrolling interest recognized and the fair value of Aker’s net assets acquired less the fair value of the SLB shares of common stock issued to Aker was recorded as an increase to </w:t>
      </w:r>
      <w:r>
        <w:rPr>
          <w:rFonts w:ascii="Arial" w:cs="Arial" w:eastAsia="Arial" w:hAnsi="Arial"/>
          <w:sz w:val="15"/>
          <w:szCs w:val="15"/>
          <w:i w:val="1"/>
          <w:iCs w:val="1"/>
          <w:color w:val="auto"/>
        </w:rPr>
        <w:t>Common stock</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amounts represent the estimated fair value of assets acquired and liabilities assumed in connection with the formation of the joint venture.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174"/>
        </w:trPr>
        <w:tc>
          <w:tcPr>
            <w:tcW w:w="920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8"/>
        </w:trPr>
        <w:tc>
          <w:tcPr>
            <w:tcW w:w="9200" w:type="dxa"/>
            <w:vAlign w:val="bottom"/>
            <w:shd w:val="clear" w:color="auto" w:fill="CFF0FC"/>
          </w:tcPr>
          <w:p>
            <w:pPr>
              <w:spacing w:after="0"/>
              <w:rPr>
                <w:sz w:val="20"/>
                <w:szCs w:val="20"/>
                <w:color w:val="auto"/>
              </w:rPr>
            </w:pPr>
            <w:r>
              <w:rPr>
                <w:rFonts w:ascii="Arial" w:cs="Arial" w:eastAsia="Arial" w:hAnsi="Arial"/>
                <w:sz w:val="15"/>
                <w:szCs w:val="15"/>
                <w:color w:val="auto"/>
              </w:rPr>
              <w:t>Cash</w:t>
            </w:r>
          </w:p>
        </w:tc>
        <w:tc>
          <w:tcPr>
            <w:tcW w:w="2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w:t>
            </w: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Accounts receivable</w:t>
            </w:r>
          </w:p>
        </w:tc>
        <w:tc>
          <w:tcPr>
            <w:tcW w:w="2040" w:type="dxa"/>
            <w:vAlign w:val="bottom"/>
          </w:tcPr>
          <w:p>
            <w:pPr>
              <w:jc w:val="right"/>
              <w:spacing w:after="0"/>
              <w:rPr>
                <w:sz w:val="20"/>
                <w:szCs w:val="20"/>
                <w:color w:val="auto"/>
              </w:rPr>
            </w:pPr>
            <w:r>
              <w:rPr>
                <w:rFonts w:ascii="Arial" w:cs="Arial" w:eastAsia="Arial" w:hAnsi="Arial"/>
                <w:sz w:val="15"/>
                <w:szCs w:val="15"/>
                <w:color w:val="auto"/>
              </w:rPr>
              <w:t>355</w:t>
            </w:r>
          </w:p>
        </w:tc>
      </w:tr>
      <w:tr>
        <w:trPr>
          <w:trHeight w:val="178"/>
        </w:trPr>
        <w:tc>
          <w:tcPr>
            <w:tcW w:w="920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Inventories </w:t>
            </w:r>
            <w:r>
              <w:rPr>
                <w:rFonts w:ascii="Arial" w:cs="Arial" w:eastAsia="Arial" w:hAnsi="Arial"/>
                <w:sz w:val="20"/>
                <w:szCs w:val="20"/>
                <w:color w:val="auto"/>
                <w:vertAlign w:val="superscript"/>
              </w:rPr>
              <w:t>(1)</w:t>
            </w:r>
          </w:p>
        </w:tc>
        <w:tc>
          <w:tcPr>
            <w:tcW w:w="2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w:t>
            </w: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Other current assets</w:t>
            </w:r>
          </w:p>
        </w:tc>
        <w:tc>
          <w:tcPr>
            <w:tcW w:w="204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178"/>
        </w:trPr>
        <w:tc>
          <w:tcPr>
            <w:tcW w:w="9200" w:type="dxa"/>
            <w:vAlign w:val="bottom"/>
            <w:shd w:val="clear" w:color="auto" w:fill="CFF0FC"/>
          </w:tcPr>
          <w:p>
            <w:pPr>
              <w:spacing w:after="0"/>
              <w:rPr>
                <w:sz w:val="20"/>
                <w:szCs w:val="20"/>
                <w:color w:val="auto"/>
              </w:rPr>
            </w:pPr>
            <w:r>
              <w:rPr>
                <w:rFonts w:ascii="Arial" w:cs="Arial" w:eastAsia="Arial" w:hAnsi="Arial"/>
                <w:sz w:val="15"/>
                <w:szCs w:val="15"/>
                <w:color w:val="auto"/>
              </w:rPr>
              <w:t>Fixed assets</w:t>
            </w:r>
          </w:p>
        </w:tc>
        <w:tc>
          <w:tcPr>
            <w:tcW w:w="2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w:t>
            </w: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Intangible assets (weighted average life of 18 years)</w:t>
            </w:r>
          </w:p>
        </w:tc>
        <w:tc>
          <w:tcPr>
            <w:tcW w:w="2040" w:type="dxa"/>
            <w:vAlign w:val="bottom"/>
          </w:tcPr>
          <w:p>
            <w:pPr>
              <w:jc w:val="right"/>
              <w:spacing w:after="0"/>
              <w:rPr>
                <w:sz w:val="20"/>
                <w:szCs w:val="20"/>
                <w:color w:val="auto"/>
              </w:rPr>
            </w:pPr>
            <w:r>
              <w:rPr>
                <w:rFonts w:ascii="Arial" w:cs="Arial" w:eastAsia="Arial" w:hAnsi="Arial"/>
                <w:sz w:val="15"/>
                <w:szCs w:val="15"/>
                <w:color w:val="auto"/>
              </w:rPr>
              <w:t>390</w:t>
            </w:r>
          </w:p>
        </w:tc>
      </w:tr>
      <w:tr>
        <w:trPr>
          <w:trHeight w:val="178"/>
        </w:trPr>
        <w:tc>
          <w:tcPr>
            <w:tcW w:w="9200" w:type="dxa"/>
            <w:vAlign w:val="bottom"/>
            <w:shd w:val="clear" w:color="auto" w:fill="CFF0FC"/>
          </w:tcPr>
          <w:p>
            <w:pPr>
              <w:spacing w:after="0"/>
              <w:rPr>
                <w:sz w:val="20"/>
                <w:szCs w:val="20"/>
                <w:color w:val="auto"/>
              </w:rPr>
            </w:pPr>
            <w:r>
              <w:rPr>
                <w:rFonts w:ascii="Arial" w:cs="Arial" w:eastAsia="Arial" w:hAnsi="Arial"/>
                <w:sz w:val="15"/>
                <w:szCs w:val="15"/>
                <w:color w:val="auto"/>
              </w:rPr>
              <w:t>Accounts payable and accrued liabilities</w:t>
            </w:r>
          </w:p>
        </w:tc>
        <w:tc>
          <w:tcPr>
            <w:tcW w:w="2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(915)</w:t>
            </w:r>
          </w:p>
        </w:tc>
      </w:tr>
      <w:tr>
        <w:trPr>
          <w:trHeight w:val="178"/>
        </w:trPr>
        <w:tc>
          <w:tcPr>
            <w:tcW w:w="9200" w:type="dxa"/>
            <w:vAlign w:val="bottom"/>
          </w:tcPr>
          <w:p>
            <w:pPr>
              <w:spacing w:after="0"/>
              <w:rPr>
                <w:sz w:val="20"/>
                <w:szCs w:val="20"/>
                <w:color w:val="auto"/>
              </w:rPr>
            </w:pPr>
            <w:r>
              <w:rPr>
                <w:rFonts w:ascii="Arial" w:cs="Arial" w:eastAsia="Arial" w:hAnsi="Arial"/>
                <w:sz w:val="15"/>
                <w:szCs w:val="15"/>
                <w:color w:val="auto"/>
              </w:rPr>
              <w:t>Deferred taxes</w:t>
            </w:r>
          </w:p>
        </w:tc>
        <w:tc>
          <w:tcPr>
            <w:tcW w:w="204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178"/>
        </w:trPr>
        <w:tc>
          <w:tcPr>
            <w:tcW w:w="9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 liabilities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w:t>
            </w:r>
          </w:p>
        </w:tc>
      </w:tr>
      <w:tr>
        <w:trPr>
          <w:trHeight w:val="170"/>
        </w:trPr>
        <w:tc>
          <w:tcPr>
            <w:tcW w:w="9200" w:type="dxa"/>
            <w:vAlign w:val="bottom"/>
          </w:tcPr>
          <w:p>
            <w:pPr>
              <w:spacing w:after="0" w:line="171" w:lineRule="exact"/>
              <w:rPr>
                <w:sz w:val="20"/>
                <w:szCs w:val="20"/>
                <w:color w:val="auto"/>
              </w:rPr>
            </w:pPr>
            <w:r>
              <w:rPr>
                <w:rFonts w:ascii="Arial" w:cs="Arial" w:eastAsia="Arial" w:hAnsi="Arial"/>
                <w:sz w:val="15"/>
                <w:szCs w:val="15"/>
                <w:color w:val="auto"/>
              </w:rPr>
              <w:t>Total identifiable net assets</w:t>
            </w:r>
          </w:p>
        </w:tc>
        <w:tc>
          <w:tcPr>
            <w:tcW w:w="2040" w:type="dxa"/>
            <w:vAlign w:val="bottom"/>
          </w:tcPr>
          <w:p>
            <w:pPr>
              <w:jc w:val="right"/>
              <w:spacing w:after="0" w:line="171" w:lineRule="exact"/>
              <w:rPr>
                <w:sz w:val="20"/>
                <w:szCs w:val="20"/>
                <w:color w:val="auto"/>
              </w:rPr>
            </w:pPr>
            <w:r>
              <w:rPr>
                <w:rFonts w:ascii="Arial" w:cs="Arial" w:eastAsia="Arial" w:hAnsi="Arial"/>
                <w:sz w:val="15"/>
                <w:szCs w:val="15"/>
                <w:color w:val="auto"/>
              </w:rPr>
              <w:t>$347</w:t>
            </w:r>
          </w:p>
        </w:tc>
      </w:tr>
      <w:tr>
        <w:trPr>
          <w:trHeight w:val="178"/>
        </w:trPr>
        <w:tc>
          <w:tcPr>
            <w:tcW w:w="9200" w:type="dxa"/>
            <w:vAlign w:val="bottom"/>
            <w:tcBorders>
              <w:bottom w:val="single" w:sz="8" w:color="CFF0FC"/>
            </w:tcBorders>
            <w:shd w:val="clear" w:color="auto" w:fill="CFF0FC"/>
          </w:tcPr>
          <w:p>
            <w:pPr>
              <w:spacing w:after="0" w:line="178" w:lineRule="exact"/>
              <w:rPr>
                <w:sz w:val="20"/>
                <w:szCs w:val="20"/>
                <w:color w:val="auto"/>
              </w:rPr>
            </w:pPr>
            <w:r>
              <w:rPr>
                <w:rFonts w:ascii="Arial" w:cs="Arial" w:eastAsia="Arial" w:hAnsi="Arial"/>
                <w:sz w:val="15"/>
                <w:szCs w:val="15"/>
                <w:color w:val="auto"/>
              </w:rPr>
              <w:t xml:space="preserve">Goodwill </w:t>
            </w:r>
            <w:r>
              <w:rPr>
                <w:rFonts w:ascii="Arial" w:cs="Arial" w:eastAsia="Arial" w:hAnsi="Arial"/>
                <w:sz w:val="20"/>
                <w:szCs w:val="20"/>
                <w:color w:val="auto"/>
                <w:vertAlign w:val="superscript"/>
              </w:rPr>
              <w:t>(2)</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966</w:t>
            </w:r>
          </w:p>
        </w:tc>
      </w:tr>
      <w:tr>
        <w:trPr>
          <w:trHeight w:val="170"/>
        </w:trPr>
        <w:tc>
          <w:tcPr>
            <w:tcW w:w="9200" w:type="dxa"/>
            <w:vAlign w:val="bottom"/>
          </w:tcPr>
          <w:p>
            <w:pPr>
              <w:ind w:left="180"/>
              <w:spacing w:after="0" w:line="158" w:lineRule="exact"/>
              <w:rPr>
                <w:sz w:val="20"/>
                <w:szCs w:val="20"/>
                <w:color w:val="auto"/>
              </w:rPr>
            </w:pPr>
            <w:r>
              <w:rPr>
                <w:rFonts w:ascii="Arial" w:cs="Arial" w:eastAsia="Arial" w:hAnsi="Arial"/>
                <w:sz w:val="15"/>
                <w:szCs w:val="15"/>
                <w:color w:val="auto"/>
              </w:rPr>
              <w:t>Total consideration transferred</w:t>
            </w:r>
          </w:p>
        </w:tc>
        <w:tc>
          <w:tcPr>
            <w:tcW w:w="20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5"/>
                <w:szCs w:val="15"/>
                <w:color w:val="auto"/>
              </w:rPr>
              <w:t>$1,313</w:t>
            </w:r>
          </w:p>
        </w:tc>
      </w:tr>
      <w:tr>
        <w:trPr>
          <w:trHeight w:val="20"/>
        </w:trPr>
        <w:tc>
          <w:tcPr>
            <w:tcW w:w="9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80" w:hanging="378"/>
        <w:spacing w:after="0" w:line="214" w:lineRule="auto"/>
        <w:tabs>
          <w:tab w:leader="none" w:pos="38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 xml:space="preserve">SLB recorded an adjustment of $54 million to write-up the acquired inventory to its estimated fair value. SLB’s </w:t>
      </w:r>
      <w:r>
        <w:rPr>
          <w:rFonts w:ascii="Arial" w:cs="Arial" w:eastAsia="Arial" w:hAnsi="Arial"/>
          <w:sz w:val="14"/>
          <w:szCs w:val="14"/>
          <w:i w:val="1"/>
          <w:iCs w:val="1"/>
          <w:color w:val="auto"/>
        </w:rPr>
        <w:t>Cost of sales</w:t>
      </w:r>
      <w:r>
        <w:rPr>
          <w:rFonts w:ascii="Arial" w:cs="Arial" w:eastAsia="Arial" w:hAnsi="Arial"/>
          <w:sz w:val="14"/>
          <w:szCs w:val="14"/>
          <w:color w:val="auto"/>
        </w:rPr>
        <w:t xml:space="preserve"> reflected this increased valuation as the acquired inventory was sold. See Note 3 – Charges and Credits.</w:t>
      </w:r>
    </w:p>
    <w:p>
      <w:pPr>
        <w:spacing w:after="0" w:line="78" w:lineRule="exact"/>
        <w:rPr>
          <w:rFonts w:ascii="Arial" w:cs="Arial" w:eastAsia="Arial" w:hAnsi="Arial"/>
          <w:sz w:val="18"/>
          <w:szCs w:val="18"/>
          <w:color w:val="auto"/>
          <w:vertAlign w:val="superscript"/>
        </w:rPr>
      </w:pPr>
    </w:p>
    <w:p>
      <w:pPr>
        <w:ind w:left="380" w:hanging="378"/>
        <w:spacing w:after="0" w:line="214" w:lineRule="auto"/>
        <w:tabs>
          <w:tab w:leader="none" w:pos="38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is primarily attributable to intangible assets that do not qualify for separate recognition as well as expected synergies from combining the subsea operations of SLB and Aker. None of the goodwill is deductible for income tax purposes.</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 xml:space="preserve">For the period from October 2, 2023 to December 31, 2023, the subsea business acquired from Aker contributed revenue of approximately $0.5 billion. The acquired Aker subsea business’ contribution to </w:t>
      </w:r>
      <w:r>
        <w:rPr>
          <w:rFonts w:ascii="Arial" w:cs="Arial" w:eastAsia="Arial" w:hAnsi="Arial"/>
          <w:sz w:val="15"/>
          <w:szCs w:val="15"/>
          <w:i w:val="1"/>
          <w:iCs w:val="1"/>
          <w:color w:val="auto"/>
        </w:rPr>
        <w:t>Net income attributable to SLB</w:t>
      </w:r>
      <w:r>
        <w:rPr>
          <w:rFonts w:ascii="Arial" w:cs="Arial" w:eastAsia="Arial" w:hAnsi="Arial"/>
          <w:sz w:val="15"/>
          <w:szCs w:val="15"/>
          <w:color w:val="auto"/>
        </w:rPr>
        <w:t xml:space="preserve"> for the same period was not material.</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Aker reported revenue for its subsea business of approximately $1.4 billion for the nine months ended September 30, 2023.</w:t>
      </w:r>
    </w:p>
    <w:p>
      <w:pPr>
        <w:spacing w:after="0" w:line="200" w:lineRule="exact"/>
        <w:rPr>
          <w:sz w:val="20"/>
          <w:szCs w:val="20"/>
          <w:color w:val="auto"/>
        </w:rPr>
      </w:pPr>
    </w:p>
    <w:p>
      <w:pPr>
        <w:spacing w:after="0" w:line="364" w:lineRule="exact"/>
        <w:rPr>
          <w:sz w:val="20"/>
          <w:szCs w:val="20"/>
          <w:color w:val="auto"/>
        </w:rPr>
      </w:pPr>
    </w:p>
    <w:p>
      <w:pPr>
        <w:ind w:left="220" w:hanging="218"/>
        <w:spacing w:after="0"/>
        <w:tabs>
          <w:tab w:leader="none" w:pos="220"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Goodwill</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the carrying amount of goodwill by segment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8"/>
              </w:rPr>
              <w:t>(Stated in millions)</w:t>
            </w:r>
          </w:p>
        </w:tc>
      </w:tr>
      <w:tr>
        <w:trPr>
          <w:trHeight w:val="339"/>
        </w:trPr>
        <w:tc>
          <w:tcPr>
            <w:tcW w:w="3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84"/>
              <w:spacing w:after="0"/>
              <w:rPr>
                <w:sz w:val="20"/>
                <w:szCs w:val="20"/>
                <w:color w:val="auto"/>
              </w:rPr>
            </w:pPr>
            <w:r>
              <w:rPr>
                <w:rFonts w:ascii="Arial" w:cs="Arial" w:eastAsia="Arial" w:hAnsi="Arial"/>
                <w:sz w:val="15"/>
                <w:szCs w:val="15"/>
                <w:color w:val="auto"/>
              </w:rPr>
              <w:t>Reservoir</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5"/>
                <w:szCs w:val="15"/>
                <w:color w:val="auto"/>
              </w:rPr>
              <w:t>Well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Production</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3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Digital</w:t>
            </w:r>
          </w:p>
        </w:tc>
        <w:tc>
          <w:tcPr>
            <w:tcW w:w="24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Performance</w:t>
            </w:r>
          </w:p>
        </w:tc>
        <w:tc>
          <w:tcPr>
            <w:tcW w:w="24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Construction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Systems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All Other</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rPr>
                <w:sz w:val="16"/>
                <w:szCs w:val="16"/>
                <w:color w:val="auto"/>
              </w:rPr>
            </w:pPr>
          </w:p>
        </w:tc>
      </w:tr>
      <w:tr>
        <w:trPr>
          <w:trHeight w:val="170"/>
        </w:trPr>
        <w:tc>
          <w:tcPr>
            <w:tcW w:w="36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Balance, December 31, 2023</w:t>
            </w:r>
          </w:p>
        </w:tc>
        <w:tc>
          <w:tcPr>
            <w:tcW w:w="720" w:type="dxa"/>
            <w:vAlign w:val="bottom"/>
            <w:gridSpan w:val="2"/>
            <w:shd w:val="clear" w:color="auto" w:fill="CFF0FC"/>
          </w:tcPr>
          <w:p>
            <w:pPr>
              <w:jc w:val="right"/>
              <w:ind w:right="4"/>
              <w:spacing w:after="0" w:line="171"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2,044</w:t>
            </w:r>
          </w:p>
        </w:tc>
        <w:tc>
          <w:tcPr>
            <w:tcW w:w="3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3,804</w:t>
            </w:r>
          </w:p>
        </w:tc>
        <w:tc>
          <w:tcPr>
            <w:tcW w:w="460" w:type="dxa"/>
            <w:vAlign w:val="bottom"/>
            <w:gridSpan w:val="2"/>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6,417</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1,819</w:t>
            </w:r>
          </w:p>
        </w:tc>
        <w:tc>
          <w:tcPr>
            <w:tcW w:w="3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4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14,084</w:t>
            </w:r>
          </w:p>
        </w:tc>
        <w:tc>
          <w:tcPr>
            <w:tcW w:w="100" w:type="dxa"/>
            <w:vAlign w:val="bottom"/>
            <w:shd w:val="clear" w:color="auto" w:fill="CFF0FC"/>
          </w:tcPr>
          <w:p>
            <w:pPr>
              <w:spacing w:after="0"/>
              <w:rPr>
                <w:sz w:val="14"/>
                <w:szCs w:val="14"/>
                <w:color w:val="auto"/>
              </w:rPr>
            </w:pPr>
          </w:p>
        </w:tc>
      </w:tr>
      <w:tr>
        <w:trPr>
          <w:trHeight w:val="178"/>
        </w:trPr>
        <w:tc>
          <w:tcPr>
            <w:tcW w:w="3640" w:type="dxa"/>
            <w:vAlign w:val="bottom"/>
          </w:tcPr>
          <w:p>
            <w:pPr>
              <w:spacing w:after="0"/>
              <w:rPr>
                <w:sz w:val="20"/>
                <w:szCs w:val="20"/>
                <w:color w:val="auto"/>
              </w:rPr>
            </w:pPr>
            <w:r>
              <w:rPr>
                <w:rFonts w:ascii="Arial" w:cs="Arial" w:eastAsia="Arial" w:hAnsi="Arial"/>
                <w:sz w:val="15"/>
                <w:szCs w:val="15"/>
                <w:color w:val="auto"/>
              </w:rPr>
              <w:t>Acquisitions</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w:t>
            </w:r>
          </w:p>
        </w:tc>
        <w:tc>
          <w:tcPr>
            <w:tcW w:w="100" w:type="dxa"/>
            <w:vAlign w:val="bottom"/>
          </w:tcPr>
          <w:p>
            <w:pPr>
              <w:spacing w:after="0"/>
              <w:rPr>
                <w:sz w:val="15"/>
                <w:szCs w:val="15"/>
                <w:color w:val="auto"/>
              </w:rPr>
            </w:pPr>
          </w:p>
        </w:tc>
      </w:tr>
      <w:tr>
        <w:trPr>
          <w:trHeight w:val="170"/>
        </w:trPr>
        <w:tc>
          <w:tcPr>
            <w:tcW w:w="36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Balance, December 31, 2024</w:t>
            </w: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2,044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3,804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6,422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1,841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482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14,593</w:t>
            </w:r>
          </w:p>
        </w:tc>
        <w:tc>
          <w:tcPr>
            <w:tcW w:w="100" w:type="dxa"/>
            <w:vAlign w:val="bottom"/>
            <w:shd w:val="clear" w:color="auto" w:fill="CFF0FC"/>
          </w:tcPr>
          <w:p>
            <w:pPr>
              <w:spacing w:after="0"/>
              <w:rPr>
                <w:sz w:val="14"/>
                <w:szCs w:val="14"/>
                <w:color w:val="auto"/>
              </w:rPr>
            </w:pPr>
          </w:p>
        </w:tc>
      </w:tr>
      <w:tr>
        <w:trPr>
          <w:trHeight w:val="178"/>
        </w:trPr>
        <w:tc>
          <w:tcPr>
            <w:tcW w:w="3640" w:type="dxa"/>
            <w:vAlign w:val="bottom"/>
          </w:tcPr>
          <w:p>
            <w:pPr>
              <w:spacing w:after="0"/>
              <w:rPr>
                <w:sz w:val="20"/>
                <w:szCs w:val="20"/>
                <w:color w:val="auto"/>
              </w:rPr>
            </w:pPr>
            <w:r>
              <w:rPr>
                <w:rFonts w:ascii="Arial" w:cs="Arial" w:eastAsia="Arial" w:hAnsi="Arial"/>
                <w:sz w:val="15"/>
                <w:szCs w:val="15"/>
                <w:color w:val="auto"/>
              </w:rPr>
              <w:t>Acquisition of ChampionX</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1,858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2,308</w:t>
            </w:r>
          </w:p>
        </w:tc>
        <w:tc>
          <w:tcPr>
            <w:tcW w:w="100" w:type="dxa"/>
            <w:vAlign w:val="bottom"/>
          </w:tcPr>
          <w:p>
            <w:pPr>
              <w:spacing w:after="0"/>
              <w:rPr>
                <w:sz w:val="15"/>
                <w:szCs w:val="15"/>
                <w:color w:val="auto"/>
              </w:rPr>
            </w:pPr>
          </w:p>
        </w:tc>
      </w:tr>
      <w:tr>
        <w:trPr>
          <w:trHeight w:val="178"/>
        </w:trPr>
        <w:tc>
          <w:tcPr>
            <w:tcW w:w="3640" w:type="dxa"/>
            <w:vAlign w:val="bottom"/>
            <w:shd w:val="clear" w:color="auto" w:fill="CFF0FC"/>
          </w:tcPr>
          <w:p>
            <w:pPr>
              <w:spacing w:after="0"/>
              <w:rPr>
                <w:sz w:val="20"/>
                <w:szCs w:val="20"/>
                <w:color w:val="auto"/>
              </w:rPr>
            </w:pPr>
            <w:r>
              <w:rPr>
                <w:rFonts w:ascii="Arial" w:cs="Arial" w:eastAsia="Arial" w:hAnsi="Arial"/>
                <w:sz w:val="15"/>
                <w:szCs w:val="15"/>
                <w:color w:val="auto"/>
              </w:rPr>
              <w:t>Other acquisitions</w:t>
            </w: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FF0FC"/>
          </w:tcPr>
          <w:p>
            <w:pPr>
              <w:spacing w:after="0"/>
              <w:rPr>
                <w:sz w:val="15"/>
                <w:szCs w:val="15"/>
                <w:color w:val="auto"/>
              </w:rPr>
            </w:pPr>
          </w:p>
        </w:tc>
      </w:tr>
      <w:tr>
        <w:trPr>
          <w:trHeight w:val="178"/>
        </w:trPr>
        <w:tc>
          <w:tcPr>
            <w:tcW w:w="3640" w:type="dxa"/>
            <w:vAlign w:val="bottom"/>
          </w:tcPr>
          <w:p>
            <w:pPr>
              <w:spacing w:after="0"/>
              <w:rPr>
                <w:sz w:val="20"/>
                <w:szCs w:val="20"/>
                <w:color w:val="auto"/>
              </w:rPr>
            </w:pPr>
            <w:r>
              <w:rPr>
                <w:rFonts w:ascii="Arial" w:cs="Arial" w:eastAsia="Arial" w:hAnsi="Arial"/>
                <w:sz w:val="15"/>
                <w:szCs w:val="15"/>
                <w:color w:val="auto"/>
              </w:rPr>
              <w:t>Impairment (see Note 3)</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07"/>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(210)</w:t>
            </w:r>
          </w:p>
        </w:tc>
      </w:tr>
      <w:tr>
        <w:trPr>
          <w:trHeight w:val="178"/>
        </w:trPr>
        <w:tc>
          <w:tcPr>
            <w:tcW w:w="3640" w:type="dxa"/>
            <w:vAlign w:val="bottom"/>
            <w:shd w:val="clear" w:color="auto" w:fill="CFF0FC"/>
          </w:tcPr>
          <w:p>
            <w:pPr>
              <w:spacing w:after="0"/>
              <w:rPr>
                <w:sz w:val="20"/>
                <w:szCs w:val="20"/>
                <w:color w:val="auto"/>
              </w:rPr>
            </w:pPr>
            <w:r>
              <w:rPr>
                <w:rFonts w:ascii="Arial" w:cs="Arial" w:eastAsia="Arial" w:hAnsi="Arial"/>
                <w:sz w:val="15"/>
                <w:szCs w:val="15"/>
                <w:color w:val="auto"/>
              </w:rPr>
              <w:t>Impact of changes in exchange rate and other</w:t>
            </w: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FF0FC"/>
          </w:tcPr>
          <w:p>
            <w:pPr>
              <w:spacing w:after="0"/>
              <w:rPr>
                <w:sz w:val="15"/>
                <w:szCs w:val="15"/>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3640" w:type="dxa"/>
            <w:vAlign w:val="bottom"/>
          </w:tcPr>
          <w:p>
            <w:pPr>
              <w:spacing w:after="0" w:line="158" w:lineRule="exact"/>
              <w:rPr>
                <w:sz w:val="20"/>
                <w:szCs w:val="20"/>
                <w:color w:val="auto"/>
              </w:rPr>
            </w:pPr>
            <w:r>
              <w:rPr>
                <w:rFonts w:ascii="Arial" w:cs="Arial" w:eastAsia="Arial" w:hAnsi="Arial"/>
                <w:sz w:val="15"/>
                <w:szCs w:val="15"/>
                <w:color w:val="auto"/>
              </w:rPr>
              <w:t>Balance, December 31, 2025</w:t>
            </w:r>
          </w:p>
        </w:tc>
        <w:tc>
          <w:tcPr>
            <w:tcW w:w="540" w:type="dxa"/>
            <w:vAlign w:val="bottom"/>
          </w:tcPr>
          <w:p>
            <w:pPr>
              <w:spacing w:after="0"/>
              <w:rPr>
                <w:sz w:val="14"/>
                <w:szCs w:val="14"/>
                <w:color w:val="auto"/>
              </w:rPr>
            </w:pPr>
          </w:p>
        </w:tc>
        <w:tc>
          <w:tcPr>
            <w:tcW w:w="180" w:type="dxa"/>
            <w:vAlign w:val="bottom"/>
          </w:tcPr>
          <w:p>
            <w:pPr>
              <w:jc w:val="right"/>
              <w:ind w:right="4"/>
              <w:spacing w:after="0" w:line="158" w:lineRule="exact"/>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line="158" w:lineRule="exact"/>
              <w:rPr>
                <w:sz w:val="20"/>
                <w:szCs w:val="20"/>
                <w:color w:val="auto"/>
              </w:rPr>
            </w:pPr>
            <w:r>
              <w:rPr>
                <w:rFonts w:ascii="Arial" w:cs="Arial" w:eastAsia="Arial" w:hAnsi="Arial"/>
                <w:sz w:val="15"/>
                <w:szCs w:val="15"/>
                <w:color w:val="auto"/>
              </w:rPr>
              <w:t>2,060</w:t>
            </w:r>
          </w:p>
        </w:tc>
        <w:tc>
          <w:tcPr>
            <w:tcW w:w="240" w:type="dxa"/>
            <w:vAlign w:val="bottom"/>
          </w:tcPr>
          <w:p>
            <w:pPr>
              <w:spacing w:after="0"/>
              <w:rPr>
                <w:sz w:val="14"/>
                <w:szCs w:val="14"/>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line="158" w:lineRule="exact"/>
              <w:rPr>
                <w:sz w:val="20"/>
                <w:szCs w:val="20"/>
                <w:color w:val="auto"/>
              </w:rPr>
            </w:pPr>
            <w:r>
              <w:rPr>
                <w:rFonts w:ascii="Arial" w:cs="Arial" w:eastAsia="Arial" w:hAnsi="Arial"/>
                <w:sz w:val="15"/>
                <w:szCs w:val="15"/>
                <w:color w:val="auto"/>
              </w:rPr>
              <w:t>4,111</w:t>
            </w:r>
          </w:p>
        </w:tc>
        <w:tc>
          <w:tcPr>
            <w:tcW w:w="240" w:type="dxa"/>
            <w:vAlign w:val="bottom"/>
          </w:tcPr>
          <w:p>
            <w:pPr>
              <w:spacing w:after="0"/>
              <w:rPr>
                <w:sz w:val="14"/>
                <w:szCs w:val="14"/>
                <w:color w:val="auto"/>
              </w:rPr>
            </w:pPr>
          </w:p>
        </w:tc>
        <w:tc>
          <w:tcPr>
            <w:tcW w:w="220" w:type="dxa"/>
            <w:vAlign w:val="bottom"/>
          </w:tcPr>
          <w:p>
            <w:pPr>
              <w:jc w:val="right"/>
              <w:ind w:right="44"/>
              <w:spacing w:after="0" w:line="158" w:lineRule="exact"/>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line="158" w:lineRule="exact"/>
              <w:rPr>
                <w:sz w:val="20"/>
                <w:szCs w:val="20"/>
                <w:color w:val="auto"/>
              </w:rPr>
            </w:pPr>
            <w:r>
              <w:rPr>
                <w:rFonts w:ascii="Arial" w:cs="Arial" w:eastAsia="Arial" w:hAnsi="Arial"/>
                <w:sz w:val="15"/>
                <w:szCs w:val="15"/>
                <w:color w:val="auto"/>
              </w:rPr>
              <w:t>6,598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line="158"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58" w:lineRule="exact"/>
              <w:rPr>
                <w:sz w:val="20"/>
                <w:szCs w:val="20"/>
                <w:color w:val="auto"/>
              </w:rPr>
            </w:pPr>
            <w:r>
              <w:rPr>
                <w:rFonts w:ascii="Arial" w:cs="Arial" w:eastAsia="Arial" w:hAnsi="Arial"/>
                <w:sz w:val="15"/>
                <w:szCs w:val="15"/>
                <w:color w:val="auto"/>
              </w:rPr>
              <w:t>3,699</w:t>
            </w:r>
          </w:p>
        </w:tc>
        <w:tc>
          <w:tcPr>
            <w:tcW w:w="220" w:type="dxa"/>
            <w:vAlign w:val="bottom"/>
          </w:tcPr>
          <w:p>
            <w:pPr>
              <w:spacing w:after="0"/>
              <w:rPr>
                <w:sz w:val="14"/>
                <w:szCs w:val="14"/>
                <w:color w:val="auto"/>
              </w:rPr>
            </w:pPr>
          </w:p>
        </w:tc>
        <w:tc>
          <w:tcPr>
            <w:tcW w:w="140" w:type="dxa"/>
            <w:vAlign w:val="bottom"/>
          </w:tcPr>
          <w:p>
            <w:pPr>
              <w:jc w:val="right"/>
              <w:spacing w:after="0" w:line="158" w:lineRule="exact"/>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line="158" w:lineRule="exact"/>
              <w:rPr>
                <w:sz w:val="20"/>
                <w:szCs w:val="20"/>
                <w:color w:val="auto"/>
              </w:rPr>
            </w:pPr>
            <w:r>
              <w:rPr>
                <w:rFonts w:ascii="Arial" w:cs="Arial" w:eastAsia="Arial" w:hAnsi="Arial"/>
                <w:sz w:val="15"/>
                <w:szCs w:val="15"/>
                <w:color w:val="auto"/>
              </w:rPr>
              <w:t>326</w:t>
            </w:r>
          </w:p>
        </w:tc>
        <w:tc>
          <w:tcPr>
            <w:tcW w:w="40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58" w:lineRule="exact"/>
              <w:rPr>
                <w:sz w:val="20"/>
                <w:szCs w:val="20"/>
                <w:color w:val="auto"/>
              </w:rPr>
            </w:pPr>
            <w:r>
              <w:rPr>
                <w:rFonts w:ascii="Arial" w:cs="Arial" w:eastAsia="Arial" w:hAnsi="Arial"/>
                <w:sz w:val="15"/>
                <w:szCs w:val="15"/>
                <w:color w:val="auto"/>
              </w:rPr>
              <w:t>16,794</w:t>
            </w:r>
          </w:p>
        </w:tc>
        <w:tc>
          <w:tcPr>
            <w:tcW w:w="100" w:type="dxa"/>
            <w:vAlign w:val="bottom"/>
          </w:tcPr>
          <w:p>
            <w:pPr>
              <w:spacing w:after="0"/>
              <w:rPr>
                <w:sz w:val="14"/>
                <w:szCs w:val="14"/>
                <w:color w:val="auto"/>
              </w:rPr>
            </w:pPr>
          </w:p>
        </w:tc>
      </w:tr>
      <w:tr>
        <w:trPr>
          <w:trHeight w:val="20"/>
        </w:trPr>
        <w:tc>
          <w:tcPr>
            <w:tcW w:w="3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2"/>
        </w:trPr>
        <w:tc>
          <w:tcPr>
            <w:tcW w:w="3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04"/>
              <w:spacing w:after="0"/>
              <w:rPr>
                <w:sz w:val="20"/>
                <w:szCs w:val="20"/>
                <w:color w:val="auto"/>
              </w:rPr>
            </w:pPr>
            <w:r>
              <w:rPr>
                <w:rFonts w:ascii="Arial" w:cs="Arial" w:eastAsia="Arial" w:hAnsi="Arial"/>
                <w:sz w:val="15"/>
                <w:szCs w:val="15"/>
                <w:color w:val="auto"/>
                <w:w w:val="95"/>
              </w:rPr>
              <w:t>41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6"/>
        </w:trPr>
        <w:tc>
          <w:tcPr>
            <w:tcW w:w="3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-982345</wp:posOffset>
            </wp:positionV>
            <wp:extent cx="723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-982345</wp:posOffset>
            </wp:positionV>
            <wp:extent cx="723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-982345</wp:posOffset>
            </wp:positionV>
            <wp:extent cx="723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-982345</wp:posOffset>
            </wp:positionV>
            <wp:extent cx="647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-982345</wp:posOffset>
            </wp:positionV>
            <wp:extent cx="647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-982345</wp:posOffset>
            </wp:positionV>
            <wp:extent cx="647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41" w:name="page42"/>
    <w:bookmarkEnd w:id="41"/>
    <w:p>
      <w:pPr>
        <w:ind w:left="220" w:hanging="218"/>
        <w:spacing w:after="0"/>
        <w:tabs>
          <w:tab w:leader="none" w:pos="22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consist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2025</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2024</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380"/>
              <w:spacing w:after="0" w:line="159" w:lineRule="exact"/>
              <w:rPr>
                <w:sz w:val="20"/>
                <w:szCs w:val="20"/>
                <w:color w:val="auto"/>
              </w:rPr>
            </w:pPr>
            <w:r>
              <w:rPr>
                <w:rFonts w:ascii="Arial" w:cs="Arial" w:eastAsia="Arial" w:hAnsi="Arial"/>
                <w:sz w:val="15"/>
                <w:szCs w:val="15"/>
                <w:b w:val="1"/>
                <w:bCs w:val="1"/>
                <w:color w:val="auto"/>
              </w:rPr>
              <w:t>Gross</w:t>
            </w:r>
          </w:p>
        </w:tc>
        <w:tc>
          <w:tcPr>
            <w:tcW w:w="140" w:type="dxa"/>
            <w:vAlign w:val="bottom"/>
          </w:tcPr>
          <w:p>
            <w:pPr>
              <w:spacing w:after="0"/>
              <w:rPr>
                <w:sz w:val="13"/>
                <w:szCs w:val="13"/>
                <w:color w:val="auto"/>
              </w:rPr>
            </w:pPr>
          </w:p>
        </w:tc>
        <w:tc>
          <w:tcPr>
            <w:tcW w:w="1300" w:type="dxa"/>
            <w:vAlign w:val="bottom"/>
            <w:gridSpan w:val="2"/>
          </w:tcPr>
          <w:p>
            <w:pPr>
              <w:jc w:val="right"/>
              <w:ind w:right="300"/>
              <w:spacing w:after="0" w:line="159" w:lineRule="exact"/>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4"/>
              <w:spacing w:after="0" w:line="159" w:lineRule="exact"/>
              <w:rPr>
                <w:sz w:val="20"/>
                <w:szCs w:val="20"/>
                <w:color w:val="auto"/>
              </w:rPr>
            </w:pPr>
            <w:r>
              <w:rPr>
                <w:rFonts w:ascii="Arial" w:cs="Arial" w:eastAsia="Arial" w:hAnsi="Arial"/>
                <w:sz w:val="15"/>
                <w:szCs w:val="15"/>
                <w:b w:val="1"/>
                <w:bCs w:val="1"/>
                <w:color w:val="auto"/>
              </w:rPr>
              <w:t>Net Book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20"/>
              <w:spacing w:after="0" w:line="159" w:lineRule="exact"/>
              <w:rPr>
                <w:sz w:val="20"/>
                <w:szCs w:val="20"/>
                <w:color w:val="auto"/>
              </w:rPr>
            </w:pPr>
            <w:r>
              <w:rPr>
                <w:rFonts w:ascii="Arial" w:cs="Arial" w:eastAsia="Arial" w:hAnsi="Arial"/>
                <w:sz w:val="15"/>
                <w:szCs w:val="15"/>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ind w:left="40"/>
              <w:spacing w:after="0" w:line="159" w:lineRule="exact"/>
              <w:rPr>
                <w:sz w:val="20"/>
                <w:szCs w:val="20"/>
                <w:color w:val="auto"/>
              </w:rPr>
            </w:pPr>
            <w:r>
              <w:rPr>
                <w:rFonts w:ascii="Arial" w:cs="Arial" w:eastAsia="Arial" w:hAnsi="Arial"/>
                <w:sz w:val="15"/>
                <w:szCs w:val="15"/>
                <w:color w:val="auto"/>
              </w:rPr>
              <w:t>Accumulated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64"/>
              <w:spacing w:after="0" w:line="159" w:lineRule="exact"/>
              <w:rPr>
                <w:sz w:val="20"/>
                <w:szCs w:val="20"/>
                <w:color w:val="auto"/>
              </w:rPr>
            </w:pPr>
            <w:r>
              <w:rPr>
                <w:rFonts w:ascii="Arial" w:cs="Arial" w:eastAsia="Arial" w:hAnsi="Arial"/>
                <w:sz w:val="15"/>
                <w:szCs w:val="15"/>
                <w:color w:val="auto"/>
              </w:rPr>
              <w:t>Net Book</w:t>
            </w:r>
          </w:p>
        </w:tc>
        <w:tc>
          <w:tcPr>
            <w:tcW w:w="100" w:type="dxa"/>
            <w:vAlign w:val="bottom"/>
          </w:tcPr>
          <w:p>
            <w:pPr>
              <w:spacing w:after="0"/>
              <w:rPr>
                <w:sz w:val="13"/>
                <w:szCs w:val="13"/>
                <w:color w:val="auto"/>
              </w:rPr>
            </w:pPr>
          </w:p>
        </w:tc>
      </w:tr>
      <w:tr>
        <w:trPr>
          <w:trHeight w:val="190"/>
        </w:trPr>
        <w:tc>
          <w:tcPr>
            <w:tcW w:w="3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rPr>
              <w:t>Book Value</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9"/>
              </w:rPr>
              <w:t>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Book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Amortization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rPr>
              <w:t>Value</w:t>
            </w:r>
          </w:p>
        </w:tc>
        <w:tc>
          <w:tcPr>
            <w:tcW w:w="100" w:type="dxa"/>
            <w:vAlign w:val="bottom"/>
          </w:tcPr>
          <w:p>
            <w:pPr>
              <w:spacing w:after="0"/>
              <w:rPr>
                <w:sz w:val="16"/>
                <w:szCs w:val="16"/>
                <w:color w:val="auto"/>
              </w:rPr>
            </w:pPr>
          </w:p>
        </w:tc>
      </w:tr>
      <w:tr>
        <w:trPr>
          <w:trHeight w:val="170"/>
        </w:trPr>
        <w:tc>
          <w:tcPr>
            <w:tcW w:w="31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Customer relationships</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FF0FC"/>
          </w:tcPr>
          <w:p>
            <w:pPr>
              <w:jc w:val="right"/>
              <w:ind w:right="240"/>
              <w:spacing w:after="0" w:line="171" w:lineRule="exact"/>
              <w:rPr>
                <w:sz w:val="20"/>
                <w:szCs w:val="20"/>
                <w:color w:val="auto"/>
              </w:rPr>
            </w:pPr>
            <w:r>
              <w:rPr>
                <w:rFonts w:ascii="Arial" w:cs="Arial" w:eastAsia="Arial" w:hAnsi="Arial"/>
                <w:sz w:val="15"/>
                <w:szCs w:val="15"/>
                <w:b w:val="1"/>
                <w:bCs w:val="1"/>
                <w:color w:val="auto"/>
              </w:rPr>
              <w:t>2,783</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849</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b w:val="1"/>
                <w:bCs w:val="1"/>
                <w:color w:val="auto"/>
              </w:rPr>
              <w:t>$</w:t>
            </w:r>
          </w:p>
        </w:tc>
        <w:tc>
          <w:tcPr>
            <w:tcW w:w="106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b w:val="1"/>
                <w:bCs w:val="1"/>
                <w:color w:val="auto"/>
              </w:rPr>
              <w:t>1,934</w:t>
            </w:r>
          </w:p>
        </w:tc>
        <w:tc>
          <w:tcPr>
            <w:tcW w:w="24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1,887</w:t>
            </w:r>
          </w:p>
        </w:tc>
        <w:tc>
          <w:tcPr>
            <w:tcW w:w="22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799</w:t>
            </w:r>
          </w:p>
        </w:tc>
        <w:tc>
          <w:tcPr>
            <w:tcW w:w="340" w:type="dxa"/>
            <w:vAlign w:val="bottom"/>
            <w:tcBorders>
              <w:left w:val="single" w:sz="8" w:color="CFF0FC"/>
            </w:tcBorders>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1,088</w:t>
            </w:r>
          </w:p>
        </w:tc>
      </w:tr>
      <w:tr>
        <w:trPr>
          <w:trHeight w:val="178"/>
        </w:trPr>
        <w:tc>
          <w:tcPr>
            <w:tcW w:w="3160" w:type="dxa"/>
            <w:vAlign w:val="bottom"/>
          </w:tcPr>
          <w:p>
            <w:pPr>
              <w:spacing w:after="0"/>
              <w:rPr>
                <w:sz w:val="20"/>
                <w:szCs w:val="20"/>
                <w:color w:val="auto"/>
              </w:rPr>
            </w:pPr>
            <w:r>
              <w:rPr>
                <w:rFonts w:ascii="Arial" w:cs="Arial" w:eastAsia="Arial" w:hAnsi="Arial"/>
                <w:sz w:val="15"/>
                <w:szCs w:val="15"/>
                <w:color w:val="auto"/>
              </w:rPr>
              <w:t>Technology/technical know-how</w:t>
            </w:r>
          </w:p>
        </w:tc>
        <w:tc>
          <w:tcPr>
            <w:tcW w:w="14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2,635</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998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1,637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1,588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872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716</w:t>
            </w:r>
          </w:p>
        </w:tc>
      </w:tr>
      <w:tr>
        <w:trPr>
          <w:trHeight w:val="178"/>
        </w:trPr>
        <w:tc>
          <w:tcPr>
            <w:tcW w:w="3160" w:type="dxa"/>
            <w:vAlign w:val="bottom"/>
            <w:shd w:val="clear" w:color="auto" w:fill="CFF0FC"/>
          </w:tcPr>
          <w:p>
            <w:pPr>
              <w:spacing w:after="0"/>
              <w:rPr>
                <w:sz w:val="20"/>
                <w:szCs w:val="20"/>
                <w:color w:val="auto"/>
              </w:rPr>
            </w:pPr>
            <w:r>
              <w:rPr>
                <w:rFonts w:ascii="Arial" w:cs="Arial" w:eastAsia="Arial" w:hAnsi="Arial"/>
                <w:sz w:val="15"/>
                <w:szCs w:val="15"/>
                <w:color w:val="auto"/>
              </w:rPr>
              <w:t>Trade names</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b w:val="1"/>
                <w:bCs w:val="1"/>
                <w:color w:val="auto"/>
              </w:rPr>
              <w:t>1,067</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283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784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w:t>
            </w:r>
          </w:p>
        </w:tc>
        <w:tc>
          <w:tcPr>
            <w:tcW w:w="200" w:type="dxa"/>
            <w:vAlign w:val="bottom"/>
            <w:tcBorders>
              <w:lef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496</w:t>
            </w:r>
          </w:p>
        </w:tc>
      </w:tr>
      <w:tr>
        <w:trPr>
          <w:trHeight w:val="178"/>
        </w:trPr>
        <w:tc>
          <w:tcPr>
            <w:tcW w:w="3160" w:type="dxa"/>
            <w:vAlign w:val="bottom"/>
          </w:tcPr>
          <w:p>
            <w:pPr>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1,637</w:t>
            </w:r>
          </w:p>
        </w:tc>
        <w:tc>
          <w:tcPr>
            <w:tcW w:w="14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1,004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1,604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892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712</w:t>
            </w:r>
          </w:p>
        </w:tc>
      </w:tr>
      <w:tr>
        <w:trPr>
          <w:trHeight w:val="20"/>
        </w:trPr>
        <w:tc>
          <w:tcPr>
            <w:tcW w:w="3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1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FF0FC"/>
          </w:tcPr>
          <w:p>
            <w:pPr>
              <w:jc w:val="right"/>
              <w:ind w:right="240"/>
              <w:spacing w:after="0" w:line="171" w:lineRule="exact"/>
              <w:rPr>
                <w:sz w:val="20"/>
                <w:szCs w:val="20"/>
                <w:color w:val="auto"/>
              </w:rPr>
            </w:pPr>
            <w:r>
              <w:rPr>
                <w:rFonts w:ascii="Arial" w:cs="Arial" w:eastAsia="Arial" w:hAnsi="Arial"/>
                <w:sz w:val="15"/>
                <w:szCs w:val="15"/>
                <w:b w:val="1"/>
                <w:bCs w:val="1"/>
                <w:color w:val="auto"/>
              </w:rPr>
              <w:t>8,122</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b w:val="1"/>
                <w:bCs w:val="1"/>
                <w:color w:val="auto"/>
              </w:rPr>
              <w:t>3,134</w:t>
            </w:r>
          </w:p>
        </w:tc>
        <w:tc>
          <w:tcPr>
            <w:tcW w:w="26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b w:val="1"/>
                <w:bCs w:val="1"/>
                <w:color w:val="auto"/>
              </w:rPr>
              <w:t>$</w:t>
            </w:r>
          </w:p>
        </w:tc>
        <w:tc>
          <w:tcPr>
            <w:tcW w:w="106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b w:val="1"/>
                <w:bCs w:val="1"/>
                <w:color w:val="auto"/>
              </w:rPr>
              <w:t>4,988</w:t>
            </w:r>
          </w:p>
        </w:tc>
        <w:tc>
          <w:tcPr>
            <w:tcW w:w="24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5,874</w:t>
            </w:r>
          </w:p>
        </w:tc>
        <w:tc>
          <w:tcPr>
            <w:tcW w:w="22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2,862</w:t>
            </w:r>
          </w:p>
        </w:tc>
        <w:tc>
          <w:tcPr>
            <w:tcW w:w="340" w:type="dxa"/>
            <w:vAlign w:val="bottom"/>
            <w:tcBorders>
              <w:left w:val="single" w:sz="8" w:color="CFF0FC"/>
            </w:tcBorders>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3,012</w:t>
            </w: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-23495</wp:posOffset>
            </wp:positionV>
            <wp:extent cx="723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723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-23495</wp:posOffset>
            </wp:positionV>
            <wp:extent cx="723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-7620</wp:posOffset>
            </wp:positionV>
            <wp:extent cx="723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-23495</wp:posOffset>
            </wp:positionV>
            <wp:extent cx="723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723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-23495</wp:posOffset>
            </wp:positionV>
            <wp:extent cx="723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-7620</wp:posOffset>
            </wp:positionV>
            <wp:extent cx="723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-23495</wp:posOffset>
            </wp:positionV>
            <wp:extent cx="647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-7620</wp:posOffset>
            </wp:positionV>
            <wp:extent cx="647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Customer relationships are generally amortized over periods ranging from 18 to 28 years, technology/technical know-how are generally amortized over periods ranging from 10 to 18 years, and trade names are generally amortized over periods ranging from 15 to 30 years.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was $376 million in 2025, $334 million in 2024, and $314 million in 2023.</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Based on the carrying value of intangible assets at December 31, 2025, amortization expense for the subsequent five years is estimated to be as follows: 2026: $437</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million, 2027: $433 million, 2028: $423 million, 2029: $410 million and 2030: $404 million.</w:t>
      </w:r>
    </w:p>
    <w:p>
      <w:pPr>
        <w:spacing w:after="0" w:line="194" w:lineRule="exact"/>
        <w:rPr>
          <w:sz w:val="20"/>
          <w:szCs w:val="20"/>
          <w:color w:val="auto"/>
        </w:rPr>
      </w:pPr>
    </w:p>
    <w:p>
      <w:pPr>
        <w:ind w:left="220" w:hanging="218"/>
        <w:spacing w:after="0"/>
        <w:tabs>
          <w:tab w:leader="none" w:pos="22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Long-term Debt and Debt Facility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Long-term Debt </w:t>
      </w:r>
      <w:r>
        <w:rPr>
          <w:rFonts w:ascii="Arial" w:cs="Arial" w:eastAsia="Arial" w:hAnsi="Arial"/>
          <w:sz w:val="15"/>
          <w:szCs w:val="15"/>
          <w:color w:val="auto"/>
        </w:rPr>
        <w:t>consists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4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2025</w:t>
            </w:r>
          </w:p>
        </w:tc>
        <w:tc>
          <w:tcPr>
            <w:tcW w:w="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r>
      <w:tr>
        <w:trPr>
          <w:trHeight w:val="170"/>
        </w:trPr>
        <w:tc>
          <w:tcPr>
            <w:tcW w:w="4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3.90%</w:t>
            </w:r>
          </w:p>
        </w:tc>
        <w:tc>
          <w:tcPr>
            <w:tcW w:w="7200" w:type="dxa"/>
            <w:vAlign w:val="bottom"/>
            <w:shd w:val="clear" w:color="auto" w:fill="CFF0FC"/>
          </w:tcPr>
          <w:p>
            <w:pPr>
              <w:ind w:left="20"/>
              <w:spacing w:after="0" w:line="171" w:lineRule="exact"/>
              <w:rPr>
                <w:sz w:val="20"/>
                <w:szCs w:val="20"/>
                <w:color w:val="auto"/>
              </w:rPr>
            </w:pPr>
            <w:r>
              <w:rPr>
                <w:rFonts w:ascii="Arial" w:cs="Arial" w:eastAsia="Arial" w:hAnsi="Arial"/>
                <w:sz w:val="15"/>
                <w:szCs w:val="15"/>
                <w:color w:val="auto"/>
              </w:rPr>
              <w:t>Senior Notes due 2028</w:t>
            </w:r>
          </w:p>
        </w:tc>
        <w:tc>
          <w:tcPr>
            <w:tcW w:w="1100" w:type="dxa"/>
            <w:vAlign w:val="bottom"/>
            <w:shd w:val="clear" w:color="auto" w:fill="CFF0FC"/>
          </w:tcPr>
          <w:p>
            <w:pPr>
              <w:jc w:val="right"/>
              <w:ind w:right="924"/>
              <w:spacing w:after="0" w:line="171" w:lineRule="exact"/>
              <w:rPr>
                <w:sz w:val="20"/>
                <w:szCs w:val="20"/>
                <w:color w:val="auto"/>
              </w:rPr>
            </w:pPr>
            <w:r>
              <w:rPr>
                <w:rFonts w:ascii="Arial" w:cs="Arial" w:eastAsia="Arial" w:hAnsi="Arial"/>
                <w:sz w:val="15"/>
                <w:szCs w:val="15"/>
                <w:b w:val="1"/>
                <w:bCs w:val="1"/>
                <w:color w:val="auto"/>
                <w:w w:val="95"/>
              </w:rPr>
              <w:t>$</w:t>
            </w:r>
          </w:p>
        </w:tc>
        <w:tc>
          <w:tcPr>
            <w:tcW w:w="5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1,484</w:t>
            </w:r>
          </w:p>
        </w:tc>
        <w:tc>
          <w:tcPr>
            <w:tcW w:w="580" w:type="dxa"/>
            <w:vAlign w:val="bottom"/>
            <w:gridSpan w:val="2"/>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rPr>
              <w:t>$</w:t>
            </w:r>
          </w:p>
        </w:tc>
        <w:tc>
          <w:tcPr>
            <w:tcW w:w="13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1,478</w:t>
            </w:r>
          </w:p>
        </w:tc>
        <w:tc>
          <w:tcPr>
            <w:tcW w:w="100" w:type="dxa"/>
            <w:vAlign w:val="bottom"/>
            <w:shd w:val="clear" w:color="auto" w:fill="CFF0FC"/>
          </w:tcPr>
          <w:p>
            <w:pPr>
              <w:spacing w:after="0"/>
              <w:rPr>
                <w:sz w:val="14"/>
                <w:szCs w:val="14"/>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2.65%</w:t>
            </w:r>
          </w:p>
        </w:tc>
        <w:tc>
          <w:tcPr>
            <w:tcW w:w="7200" w:type="dxa"/>
            <w:vAlign w:val="bottom"/>
          </w:tcPr>
          <w:p>
            <w:pPr>
              <w:ind w:left="20"/>
              <w:spacing w:after="0"/>
              <w:rPr>
                <w:sz w:val="20"/>
                <w:szCs w:val="20"/>
                <w:color w:val="auto"/>
              </w:rPr>
            </w:pPr>
            <w:r>
              <w:rPr>
                <w:rFonts w:ascii="Arial" w:cs="Arial" w:eastAsia="Arial" w:hAnsi="Arial"/>
                <w:sz w:val="15"/>
                <w:szCs w:val="15"/>
                <w:color w:val="auto"/>
              </w:rPr>
              <w:t>Senior Notes due 2030</w:t>
            </w: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1,247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1,250</w:t>
            </w:r>
          </w:p>
        </w:tc>
        <w:tc>
          <w:tcPr>
            <w:tcW w:w="10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2.00%</w:t>
            </w:r>
          </w:p>
        </w:tc>
        <w:tc>
          <w:tcPr>
            <w:tcW w:w="7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Guaranteed Notes due 2032</w:t>
            </w: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1,172</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FF0FC"/>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0.25%</w:t>
            </w:r>
          </w:p>
        </w:tc>
        <w:tc>
          <w:tcPr>
            <w:tcW w:w="7200" w:type="dxa"/>
            <w:vAlign w:val="bottom"/>
          </w:tcPr>
          <w:p>
            <w:pPr>
              <w:ind w:left="20"/>
              <w:spacing w:after="0"/>
              <w:rPr>
                <w:sz w:val="20"/>
                <w:szCs w:val="20"/>
                <w:color w:val="auto"/>
              </w:rPr>
            </w:pPr>
            <w:r>
              <w:rPr>
                <w:rFonts w:ascii="Arial" w:cs="Arial" w:eastAsia="Arial" w:hAnsi="Arial"/>
                <w:sz w:val="15"/>
                <w:szCs w:val="15"/>
                <w:color w:val="auto"/>
              </w:rPr>
              <w:t>Notes due 2027</w:t>
            </w: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1,059</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0.50%</w:t>
            </w:r>
          </w:p>
        </w:tc>
        <w:tc>
          <w:tcPr>
            <w:tcW w:w="7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Notes due 2031</w:t>
            </w: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1,058</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935</w:t>
            </w:r>
          </w:p>
        </w:tc>
        <w:tc>
          <w:tcPr>
            <w:tcW w:w="100" w:type="dxa"/>
            <w:vAlign w:val="bottom"/>
            <w:shd w:val="clear" w:color="auto" w:fill="CFF0FC"/>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4.30%</w:t>
            </w:r>
          </w:p>
        </w:tc>
        <w:tc>
          <w:tcPr>
            <w:tcW w:w="7200" w:type="dxa"/>
            <w:vAlign w:val="bottom"/>
          </w:tcPr>
          <w:p>
            <w:pPr>
              <w:ind w:left="20"/>
              <w:spacing w:after="0"/>
              <w:rPr>
                <w:sz w:val="20"/>
                <w:szCs w:val="20"/>
                <w:color w:val="auto"/>
              </w:rPr>
            </w:pPr>
            <w:r>
              <w:rPr>
                <w:rFonts w:ascii="Arial" w:cs="Arial" w:eastAsia="Arial" w:hAnsi="Arial"/>
                <w:sz w:val="15"/>
                <w:szCs w:val="15"/>
                <w:color w:val="auto"/>
              </w:rPr>
              <w:t>Senior Notes due 2029</w:t>
            </w: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848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848</w:t>
            </w:r>
          </w:p>
        </w:tc>
        <w:tc>
          <w:tcPr>
            <w:tcW w:w="10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4.50%</w:t>
            </w:r>
          </w:p>
        </w:tc>
        <w:tc>
          <w:tcPr>
            <w:tcW w:w="7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Senior Notes due 2028</w:t>
            </w: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497</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w:t>
            </w:r>
          </w:p>
        </w:tc>
        <w:tc>
          <w:tcPr>
            <w:tcW w:w="100" w:type="dxa"/>
            <w:vAlign w:val="bottom"/>
            <w:shd w:val="clear" w:color="auto" w:fill="CFF0FC"/>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5.00%</w:t>
            </w:r>
          </w:p>
        </w:tc>
        <w:tc>
          <w:tcPr>
            <w:tcW w:w="7200" w:type="dxa"/>
            <w:vAlign w:val="bottom"/>
          </w:tcPr>
          <w:p>
            <w:pPr>
              <w:ind w:left="20"/>
              <w:spacing w:after="0"/>
              <w:rPr>
                <w:sz w:val="20"/>
                <w:szCs w:val="20"/>
                <w:color w:val="auto"/>
              </w:rPr>
            </w:pPr>
            <w:r>
              <w:rPr>
                <w:rFonts w:ascii="Arial" w:cs="Arial" w:eastAsia="Arial" w:hAnsi="Arial"/>
                <w:sz w:val="15"/>
                <w:szCs w:val="15"/>
                <w:color w:val="auto"/>
              </w:rPr>
              <w:t>Senior Notes due 2027</w:t>
            </w: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497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495</w:t>
            </w:r>
          </w:p>
        </w:tc>
        <w:tc>
          <w:tcPr>
            <w:tcW w:w="10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4.85%</w:t>
            </w:r>
          </w:p>
        </w:tc>
        <w:tc>
          <w:tcPr>
            <w:tcW w:w="7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Senior Notes due 2033</w:t>
            </w: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495</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w:t>
            </w:r>
          </w:p>
        </w:tc>
        <w:tc>
          <w:tcPr>
            <w:tcW w:w="100" w:type="dxa"/>
            <w:vAlign w:val="bottom"/>
            <w:shd w:val="clear" w:color="auto" w:fill="CFF0FC"/>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5.00%</w:t>
            </w:r>
          </w:p>
        </w:tc>
        <w:tc>
          <w:tcPr>
            <w:tcW w:w="7200" w:type="dxa"/>
            <w:vAlign w:val="bottom"/>
          </w:tcPr>
          <w:p>
            <w:pPr>
              <w:ind w:left="20"/>
              <w:spacing w:after="0"/>
              <w:rPr>
                <w:sz w:val="20"/>
                <w:szCs w:val="20"/>
                <w:color w:val="auto"/>
              </w:rPr>
            </w:pPr>
            <w:r>
              <w:rPr>
                <w:rFonts w:ascii="Arial" w:cs="Arial" w:eastAsia="Arial" w:hAnsi="Arial"/>
                <w:sz w:val="15"/>
                <w:szCs w:val="15"/>
                <w:color w:val="auto"/>
              </w:rPr>
              <w:t>Senior Notes due 2029</w:t>
            </w: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494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493</w:t>
            </w:r>
          </w:p>
        </w:tc>
        <w:tc>
          <w:tcPr>
            <w:tcW w:w="10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5.00%</w:t>
            </w:r>
          </w:p>
        </w:tc>
        <w:tc>
          <w:tcPr>
            <w:tcW w:w="7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Senior Notes due 2034</w:t>
            </w: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487</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489</w:t>
            </w:r>
          </w:p>
        </w:tc>
        <w:tc>
          <w:tcPr>
            <w:tcW w:w="100" w:type="dxa"/>
            <w:vAlign w:val="bottom"/>
            <w:shd w:val="clear" w:color="auto" w:fill="CFF0FC"/>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7.00%</w:t>
            </w:r>
          </w:p>
        </w:tc>
        <w:tc>
          <w:tcPr>
            <w:tcW w:w="7200" w:type="dxa"/>
            <w:vAlign w:val="bottom"/>
          </w:tcPr>
          <w:p>
            <w:pPr>
              <w:ind w:left="20"/>
              <w:spacing w:after="0"/>
              <w:rPr>
                <w:sz w:val="20"/>
                <w:szCs w:val="20"/>
                <w:color w:val="auto"/>
              </w:rPr>
            </w:pPr>
            <w:r>
              <w:rPr>
                <w:rFonts w:ascii="Arial" w:cs="Arial" w:eastAsia="Arial" w:hAnsi="Arial"/>
                <w:sz w:val="15"/>
                <w:szCs w:val="15"/>
                <w:color w:val="auto"/>
              </w:rPr>
              <w:t>Notes due 2038</w:t>
            </w: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195</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15"/>
                <w:szCs w:val="15"/>
                <w:color w:val="auto"/>
              </w:rPr>
            </w:pPr>
          </w:p>
        </w:tc>
      </w:tr>
      <w:tr>
        <w:trPr>
          <w:trHeight w:val="178"/>
        </w:trPr>
        <w:tc>
          <w:tcPr>
            <w:tcW w:w="460" w:type="dxa"/>
            <w:vAlign w:val="bottom"/>
            <w:shd w:val="clear" w:color="auto" w:fill="CFF0FC"/>
          </w:tcPr>
          <w:p>
            <w:pPr>
              <w:spacing w:after="0"/>
              <w:rPr>
                <w:sz w:val="20"/>
                <w:szCs w:val="20"/>
                <w:color w:val="auto"/>
              </w:rPr>
            </w:pPr>
            <w:r>
              <w:rPr>
                <w:rFonts w:ascii="Arial" w:cs="Arial" w:eastAsia="Arial" w:hAnsi="Arial"/>
                <w:sz w:val="15"/>
                <w:szCs w:val="15"/>
                <w:color w:val="auto"/>
              </w:rPr>
              <w:t>5.95%</w:t>
            </w:r>
          </w:p>
        </w:tc>
        <w:tc>
          <w:tcPr>
            <w:tcW w:w="72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Notes due 2041</w:t>
            </w: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111</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FF0FC"/>
          </w:tcPr>
          <w:p>
            <w:pPr>
              <w:spacing w:after="0"/>
              <w:rPr>
                <w:sz w:val="15"/>
                <w:szCs w:val="15"/>
                <w:color w:val="auto"/>
              </w:rPr>
            </w:pPr>
          </w:p>
        </w:tc>
      </w:tr>
      <w:tr>
        <w:trPr>
          <w:trHeight w:val="178"/>
        </w:trPr>
        <w:tc>
          <w:tcPr>
            <w:tcW w:w="460" w:type="dxa"/>
            <w:vAlign w:val="bottom"/>
          </w:tcPr>
          <w:p>
            <w:pPr>
              <w:spacing w:after="0"/>
              <w:rPr>
                <w:sz w:val="20"/>
                <w:szCs w:val="20"/>
                <w:color w:val="auto"/>
              </w:rPr>
            </w:pPr>
            <w:r>
              <w:rPr>
                <w:rFonts w:ascii="Arial" w:cs="Arial" w:eastAsia="Arial" w:hAnsi="Arial"/>
                <w:sz w:val="15"/>
                <w:szCs w:val="15"/>
                <w:color w:val="auto"/>
              </w:rPr>
              <w:t>5.13%</w:t>
            </w:r>
          </w:p>
        </w:tc>
        <w:tc>
          <w:tcPr>
            <w:tcW w:w="7200" w:type="dxa"/>
            <w:vAlign w:val="bottom"/>
          </w:tcPr>
          <w:p>
            <w:pPr>
              <w:ind w:left="20"/>
              <w:spacing w:after="0"/>
              <w:rPr>
                <w:sz w:val="20"/>
                <w:szCs w:val="20"/>
                <w:color w:val="auto"/>
              </w:rPr>
            </w:pPr>
            <w:r>
              <w:rPr>
                <w:rFonts w:ascii="Arial" w:cs="Arial" w:eastAsia="Arial" w:hAnsi="Arial"/>
                <w:sz w:val="15"/>
                <w:szCs w:val="15"/>
                <w:color w:val="auto"/>
              </w:rPr>
              <w:t>Notes due 2043</w:t>
            </w: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98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5"/>
                <w:szCs w:val="15"/>
                <w:color w:val="auto"/>
              </w:rPr>
            </w:pPr>
          </w:p>
        </w:tc>
      </w:tr>
      <w:tr>
        <w:trPr>
          <w:trHeight w:val="178"/>
        </w:trPr>
        <w:tc>
          <w:tcPr>
            <w:tcW w:w="76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1.375% Guaranteed Notes due 2026</w:t>
            </w:r>
          </w:p>
        </w:tc>
        <w:tc>
          <w:tcPr>
            <w:tcW w:w="1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1,040</w:t>
            </w:r>
          </w:p>
        </w:tc>
        <w:tc>
          <w:tcPr>
            <w:tcW w:w="100" w:type="dxa"/>
            <w:vAlign w:val="bottom"/>
            <w:shd w:val="clear" w:color="auto" w:fill="CFF0FC"/>
          </w:tcPr>
          <w:p>
            <w:pPr>
              <w:spacing w:after="0"/>
              <w:rPr>
                <w:sz w:val="15"/>
                <w:szCs w:val="15"/>
                <w:color w:val="auto"/>
              </w:rPr>
            </w:pPr>
          </w:p>
        </w:tc>
      </w:tr>
      <w:tr>
        <w:trPr>
          <w:trHeight w:val="178"/>
        </w:trPr>
        <w:tc>
          <w:tcPr>
            <w:tcW w:w="4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1.00%</w:t>
            </w:r>
          </w:p>
        </w:tc>
        <w:tc>
          <w:tcPr>
            <w:tcW w:w="7200" w:type="dxa"/>
            <w:vAlign w:val="bottom"/>
            <w:tcBorders>
              <w:bottom w:val="single" w:sz="8" w:color="CFF0FC"/>
            </w:tcBorders>
          </w:tcPr>
          <w:p>
            <w:pPr>
              <w:ind w:left="20"/>
              <w:spacing w:after="0"/>
              <w:rPr>
                <w:sz w:val="20"/>
                <w:szCs w:val="20"/>
                <w:color w:val="auto"/>
              </w:rPr>
            </w:pPr>
            <w:r>
              <w:rPr>
                <w:rFonts w:ascii="Arial" w:cs="Arial" w:eastAsia="Arial" w:hAnsi="Arial"/>
                <w:sz w:val="15"/>
                <w:szCs w:val="15"/>
                <w:color w:val="auto"/>
              </w:rPr>
              <w:t>Guaranteed Notes due 2026</w:t>
            </w: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w:t>
            </w:r>
          </w:p>
        </w:tc>
        <w:tc>
          <w:tcPr>
            <w:tcW w:w="100" w:type="dxa"/>
            <w:vAlign w:val="bottom"/>
            <w:tcBorders>
              <w:bottom w:val="single" w:sz="8" w:color="CFF0FC"/>
            </w:tcBorders>
          </w:tcPr>
          <w:p>
            <w:pPr>
              <w:spacing w:after="0"/>
              <w:rPr>
                <w:sz w:val="15"/>
                <w:szCs w:val="15"/>
                <w:color w:val="auto"/>
              </w:rPr>
            </w:pPr>
          </w:p>
        </w:tc>
      </w:tr>
      <w:tr>
        <w:trPr>
          <w:trHeight w:val="210"/>
        </w:trPr>
        <w:tc>
          <w:tcPr>
            <w:tcW w:w="460" w:type="dxa"/>
            <w:vAlign w:val="bottom"/>
            <w:tcBorders>
              <w:bottom w:val="single" w:sz="8" w:color="CFF0FC"/>
            </w:tcBorders>
            <w:shd w:val="clear" w:color="auto" w:fill="CFF0FC"/>
          </w:tcPr>
          <w:p>
            <w:pPr>
              <w:spacing w:after="0"/>
              <w:rPr>
                <w:sz w:val="18"/>
                <w:szCs w:val="18"/>
                <w:color w:val="auto"/>
              </w:rPr>
            </w:pPr>
          </w:p>
        </w:tc>
        <w:tc>
          <w:tcPr>
            <w:tcW w:w="7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24"/>
              <w:spacing w:after="0" w:line="171" w:lineRule="exact"/>
              <w:rPr>
                <w:sz w:val="20"/>
                <w:szCs w:val="20"/>
                <w:color w:val="auto"/>
              </w:rPr>
            </w:pPr>
            <w:r>
              <w:rPr>
                <w:rFonts w:ascii="Arial" w:cs="Arial" w:eastAsia="Arial" w:hAnsi="Arial"/>
                <w:sz w:val="15"/>
                <w:szCs w:val="15"/>
                <w:b w:val="1"/>
                <w:bCs w:val="1"/>
                <w:color w:val="auto"/>
                <w:w w:val="95"/>
              </w:rPr>
              <w:t>$</w:t>
            </w:r>
          </w:p>
        </w:tc>
        <w:tc>
          <w:tcPr>
            <w:tcW w:w="50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9,742</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11,023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-23495</wp:posOffset>
            </wp:positionV>
            <wp:extent cx="723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-7620</wp:posOffset>
            </wp:positionV>
            <wp:extent cx="723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-144145</wp:posOffset>
            </wp:positionV>
            <wp:extent cx="723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i w:val="1"/>
          <w:iCs w:val="1"/>
          <w:color w:val="auto"/>
        </w:rPr>
        <w:t xml:space="preserve">Long-term Debt </w:t>
      </w:r>
      <w:r>
        <w:rPr>
          <w:rFonts w:ascii="Arial" w:cs="Arial" w:eastAsia="Arial" w:hAnsi="Arial"/>
          <w:sz w:val="15"/>
          <w:szCs w:val="15"/>
          <w:color w:val="auto"/>
        </w:rPr>
        <w:t>as of December 31, 2025 is due as follows: $1.6 billion in 2027, $2.0 billion in 2028, $1.3 billion in 2029, $1.2 billion in 2030, $1.1 billion in 2031, and</w:t>
      </w:r>
      <w:r>
        <w:rPr>
          <w:rFonts w:ascii="Arial" w:cs="Arial" w:eastAsia="Arial" w:hAnsi="Arial"/>
          <w:sz w:val="15"/>
          <w:szCs w:val="15"/>
          <w:i w:val="1"/>
          <w:iCs w:val="1"/>
          <w:color w:val="auto"/>
        </w:rPr>
        <w:t xml:space="preserve"> </w:t>
      </w:r>
      <w:r>
        <w:rPr>
          <w:rFonts w:ascii="Arial" w:cs="Arial" w:eastAsia="Arial" w:hAnsi="Arial"/>
          <w:sz w:val="15"/>
          <w:szCs w:val="15"/>
          <w:color w:val="auto"/>
        </w:rPr>
        <w:t>$2.6 billion thereafter.</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The estimated fair value of SLB’s </w:t>
      </w:r>
      <w:r>
        <w:rPr>
          <w:rFonts w:ascii="Arial" w:cs="Arial" w:eastAsia="Arial" w:hAnsi="Arial"/>
          <w:sz w:val="15"/>
          <w:szCs w:val="15"/>
          <w:i w:val="1"/>
          <w:iCs w:val="1"/>
          <w:color w:val="auto"/>
        </w:rPr>
        <w:t>Long-term Debt</w:t>
      </w:r>
      <w:r>
        <w:rPr>
          <w:rFonts w:ascii="Arial" w:cs="Arial" w:eastAsia="Arial" w:hAnsi="Arial"/>
          <w:sz w:val="15"/>
          <w:szCs w:val="15"/>
          <w:color w:val="auto"/>
        </w:rPr>
        <w:t xml:space="preserve"> at December 31, 2025 and December 31, 2024 was $9.4 billion and $10.4 billion, respectively, and was estimated based on quoted market prices.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At December 31, 2025, SLB had committed credit facility agreements with commercial banks aggregating $5.0 billion, of which $2.0 billion matures in February 2029 and $3.0 billion matures in December 2030. These committed facilities support commercial paper programs in the United States and Europe. There were no borrowings under these facilities at December 31, 2025 and 2024.</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Commercial paper borrowings are classified as long-term debt to the extent they are backed up by available and unused committed credit facilities maturing in more than one year and to the extent it is SLB’s intent to maintain these obligations for longer than one year. There were no borrowings under the commercial paper programs at December 31, 2025 and 2024.</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42" w:name="page43"/>
    <w:bookmarkEnd w:id="42"/>
    <w:p>
      <w:pPr>
        <w:spacing w:after="0" w:line="262" w:lineRule="auto"/>
        <w:rPr>
          <w:sz w:val="20"/>
          <w:szCs w:val="20"/>
          <w:color w:val="auto"/>
        </w:rPr>
      </w:pPr>
      <w:r>
        <w:rPr>
          <w:rFonts w:ascii="Arial" w:cs="Arial" w:eastAsia="Arial" w:hAnsi="Arial"/>
          <w:sz w:val="15"/>
          <w:szCs w:val="15"/>
          <w:color w:val="auto"/>
        </w:rPr>
        <w:t>SLB Limited fully and unconditionally guarantees the publicly-held securities issued by Schlumberger Investment SA, an indirect wholly-owned subsidiary of SLB Limited.</w:t>
      </w:r>
    </w:p>
    <w:p>
      <w:pPr>
        <w:spacing w:after="0" w:line="370" w:lineRule="exact"/>
        <w:rPr>
          <w:sz w:val="20"/>
          <w:szCs w:val="20"/>
          <w:color w:val="auto"/>
        </w:rPr>
      </w:pPr>
    </w:p>
    <w:p>
      <w:pPr>
        <w:ind w:left="300" w:hanging="298"/>
        <w:spacing w:after="0"/>
        <w:tabs>
          <w:tab w:leader="none" w:pos="300"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Derivative Instruments and Hedging Activities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SLB’s functional currency is primarily the US dollar. Approximately 70% of SLB’s revenues in 2025 were denominated in US dollars.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 xml:space="preserve"> and in </w:t>
      </w:r>
      <w:r>
        <w:rPr>
          <w:rFonts w:ascii="Arial" w:cs="Arial" w:eastAsia="Arial" w:hAnsi="Arial"/>
          <w:sz w:val="15"/>
          <w:szCs w:val="15"/>
          <w:i w:val="1"/>
          <w:iCs w:val="1"/>
          <w:color w:val="auto"/>
        </w:rPr>
        <w:t>Accumulated other comprehensive loss.</w:t>
      </w:r>
      <w:r>
        <w:rPr>
          <w:rFonts w:ascii="Arial" w:cs="Arial" w:eastAsia="Arial" w:hAnsi="Arial"/>
          <w:sz w:val="15"/>
          <w:szCs w:val="15"/>
          <w:color w:val="auto"/>
        </w:rPr>
        <w:t xml:space="preserve"> Amounts recorded in </w:t>
      </w:r>
      <w:r>
        <w:rPr>
          <w:rFonts w:ascii="Arial" w:cs="Arial" w:eastAsia="Arial" w:hAnsi="Arial"/>
          <w:sz w:val="15"/>
          <w:szCs w:val="15"/>
          <w:i w:val="1"/>
          <w:iCs w:val="1"/>
          <w:color w:val="auto"/>
        </w:rPr>
        <w:t>Accumulated other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comprehensive loss </w:t>
      </w:r>
      <w:r>
        <w:rPr>
          <w:rFonts w:ascii="Arial" w:cs="Arial" w:eastAsia="Arial" w:hAnsi="Arial"/>
          <w:sz w:val="15"/>
          <w:szCs w:val="15"/>
          <w:color w:val="auto"/>
        </w:rPr>
        <w:t>are reclassified into earnings in the same period or periods that the hedged item is recognized in earnings.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Details regarding SLB’s outstanding cross-currency interest rate swaps as of December 31, 2025, were as follows:</w:t>
      </w:r>
    </w:p>
    <w:p>
      <w:pPr>
        <w:spacing w:after="0" w:line="183" w:lineRule="exact"/>
        <w:rPr>
          <w:sz w:val="20"/>
          <w:szCs w:val="20"/>
          <w:color w:val="auto"/>
        </w:rPr>
      </w:pPr>
    </w:p>
    <w:p>
      <w:pPr>
        <w:jc w:val="both"/>
        <w:ind w:left="760" w:hanging="384"/>
        <w:spacing w:after="0" w:line="265" w:lineRule="auto"/>
        <w:tabs>
          <w:tab w:leader="none" w:pos="76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During 2019, SLB entered into cross-currency interest rate swaps in order to hedge changes in the fair value of its €0.5 billion 0.25% Notes due 2027 and €0.5 billion 0.50% Notes due 2031 that were issued by a US-dollar functional currency subsidiary. These cross-currency interest rate swaps effectively convert the Euro-denominated notes to US-dollar denominated debt with fixed annual interest rates of 2.51% and 2.76%, respectively.</w:t>
      </w:r>
    </w:p>
    <w:p>
      <w:pPr>
        <w:spacing w:after="0" w:line="138" w:lineRule="exact"/>
        <w:rPr>
          <w:rFonts w:ascii="Times New Roman" w:cs="Times New Roman" w:eastAsia="Times New Roman" w:hAnsi="Times New Roman"/>
          <w:sz w:val="15"/>
          <w:szCs w:val="15"/>
          <w:color w:val="auto"/>
        </w:rPr>
      </w:pPr>
    </w:p>
    <w:p>
      <w:pPr>
        <w:jc w:val="both"/>
        <w:ind w:left="760" w:hanging="384"/>
        <w:spacing w:after="0" w:line="261" w:lineRule="auto"/>
        <w:tabs>
          <w:tab w:leader="none" w:pos="76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During 2020, a US-dollar functional currency subsidiary of SLB issued €0.8 billion of Euro-denominated debt. SLB entered into cross-currency interest rate swaps to hedge changes in the fair value of its €0.4 billion of 0.25% Notes due 2027 and €0.4 billion of 0.50% Notes due 2031. These cross-currency interest rate swaps effectively convert the Euro-denominated notes to US-dollar denominated debt with fixed annual interest rates of 1.87% and 2.20%, respectively.</w:t>
      </w:r>
    </w:p>
    <w:p>
      <w:pPr>
        <w:spacing w:after="0" w:line="324" w:lineRule="exact"/>
        <w:rPr>
          <w:rFonts w:ascii="Times New Roman" w:cs="Times New Roman" w:eastAsia="Times New Roman" w:hAnsi="Times New Roman"/>
          <w:sz w:val="15"/>
          <w:szCs w:val="15"/>
          <w:color w:val="auto"/>
        </w:rPr>
      </w:pPr>
    </w:p>
    <w:p>
      <w:pPr>
        <w:jc w:val="both"/>
        <w:ind w:left="760" w:hanging="384"/>
        <w:spacing w:after="0" w:line="259" w:lineRule="auto"/>
        <w:tabs>
          <w:tab w:leader="none" w:pos="76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During 2020, a US-dollar functional currency subsidiary of SLB issued €2.0 billion of Euro-denominated debt. SLB entered into cross-currency interest rate swaps to hedge changes in the fair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summary of the amounts included in the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 xml:space="preserve"> relating to cross currency interest rate swaps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7660" w:type="dxa"/>
            <w:vAlign w:val="bottom"/>
          </w:tcPr>
          <w:p>
            <w:pPr>
              <w:spacing w:after="0"/>
              <w:rPr>
                <w:sz w:val="24"/>
                <w:szCs w:val="24"/>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w w:val="99"/>
              </w:rPr>
              <w:t>Dec. 31, 2025</w:t>
            </w:r>
          </w:p>
        </w:tc>
        <w:tc>
          <w:tcPr>
            <w:tcW w:w="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color w:val="auto"/>
              </w:rPr>
              <w:t>Dec. 31, 2024</w:t>
            </w:r>
          </w:p>
        </w:tc>
      </w:tr>
      <w:tr>
        <w:trPr>
          <w:trHeight w:val="170"/>
        </w:trPr>
        <w:tc>
          <w:tcPr>
            <w:tcW w:w="900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i w:val="1"/>
                <w:iCs w:val="1"/>
                <w:color w:val="auto"/>
              </w:rPr>
              <w:t>Other current assets</w:t>
            </w:r>
          </w:p>
        </w:tc>
        <w:tc>
          <w:tcPr>
            <w:tcW w:w="3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$93</w:t>
            </w:r>
          </w:p>
        </w:tc>
        <w:tc>
          <w:tcPr>
            <w:tcW w:w="18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$37</w:t>
            </w:r>
          </w:p>
        </w:tc>
      </w:tr>
      <w:tr>
        <w:trPr>
          <w:trHeight w:val="178"/>
        </w:trPr>
        <w:tc>
          <w:tcPr>
            <w:tcW w:w="9000" w:type="dxa"/>
            <w:vAlign w:val="bottom"/>
            <w:gridSpan w:val="2"/>
          </w:tcPr>
          <w:p>
            <w:pPr>
              <w:spacing w:after="0"/>
              <w:rPr>
                <w:sz w:val="20"/>
                <w:szCs w:val="20"/>
                <w:color w:val="auto"/>
              </w:rPr>
            </w:pPr>
            <w:r>
              <w:rPr>
                <w:rFonts w:ascii="Arial" w:cs="Arial" w:eastAsia="Arial" w:hAnsi="Arial"/>
                <w:sz w:val="15"/>
                <w:szCs w:val="15"/>
                <w:i w:val="1"/>
                <w:iCs w:val="1"/>
                <w:color w:val="auto"/>
              </w:rPr>
              <w:t>Other Assets</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$110</w:t>
            </w: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$2</w:t>
            </w:r>
          </w:p>
        </w:tc>
      </w:tr>
      <w:tr>
        <w:trPr>
          <w:trHeight w:val="178"/>
        </w:trPr>
        <w:tc>
          <w:tcPr>
            <w:tcW w:w="9000" w:type="dxa"/>
            <w:vAlign w:val="bottom"/>
            <w:gridSpan w:val="2"/>
            <w:shd w:val="clear" w:color="auto" w:fill="CFF0FC"/>
          </w:tcPr>
          <w:p>
            <w:pPr>
              <w:spacing w:after="0"/>
              <w:rPr>
                <w:sz w:val="20"/>
                <w:szCs w:val="20"/>
                <w:color w:val="auto"/>
              </w:rPr>
            </w:pPr>
            <w:r>
              <w:rPr>
                <w:rFonts w:ascii="Arial" w:cs="Arial" w:eastAsia="Arial" w:hAnsi="Arial"/>
                <w:sz w:val="15"/>
                <w:szCs w:val="15"/>
                <w:i w:val="1"/>
                <w:iCs w:val="1"/>
                <w:color w:val="auto"/>
              </w:rPr>
              <w:t>Other Liabilities</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$183</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fair values were determined using a model with inputs that are observable in the market or can be derived or corroborated by observable data.</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 xml:space="preserve"> and changes in the fair value are recognized in the </w:t>
      </w:r>
      <w:r>
        <w:rPr>
          <w:rFonts w:ascii="Arial" w:cs="Arial" w:eastAsia="Arial" w:hAnsi="Arial"/>
          <w:sz w:val="15"/>
          <w:szCs w:val="15"/>
          <w:i w:val="1"/>
          <w:iCs w:val="1"/>
          <w:color w:val="auto"/>
        </w:rPr>
        <w:t>Consolidated Statement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Income, </w:t>
      </w:r>
      <w:r>
        <w:rPr>
          <w:rFonts w:ascii="Arial" w:cs="Arial" w:eastAsia="Arial" w:hAnsi="Arial"/>
          <w:sz w:val="15"/>
          <w:szCs w:val="15"/>
          <w:color w:val="auto"/>
        </w:rPr>
        <w:t>as are changes in the fair value of the hedged item. Transaction losses of $ 118 million in 2025, $139 million in 2024, $154 million (including $90 million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 the Argentina devaluation; see Note 3 – </w:t>
      </w:r>
      <w:r>
        <w:rPr>
          <w:rFonts w:ascii="Arial" w:cs="Arial" w:eastAsia="Arial" w:hAnsi="Arial"/>
          <w:sz w:val="15"/>
          <w:szCs w:val="15"/>
          <w:i w:val="1"/>
          <w:iCs w:val="1"/>
          <w:color w:val="auto"/>
        </w:rPr>
        <w:t>Charges and credits</w:t>
      </w:r>
      <w:r>
        <w:rPr>
          <w:rFonts w:ascii="Arial" w:cs="Arial" w:eastAsia="Arial" w:hAnsi="Arial"/>
          <w:sz w:val="15"/>
          <w:szCs w:val="15"/>
          <w:color w:val="auto"/>
        </w:rPr>
        <w:t xml:space="preserve"> for further details) in 2023 were recognized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net of related hedging activities.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Foreign currency forward contracts were outstanding for the US dollar equivalent of $6.3 billion and $5.5 billion in various foreign currencies as of December 31, 2025 and 2024, respectively.</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Other than the previously mentioned cross-currency interest rate swaps, the fair value of the other outstanding derivatives was not material as of December 31, 2025 and 2024.</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43" w:name="page44"/>
    <w:bookmarkEnd w:id="43"/>
    <w:p>
      <w:pPr>
        <w:spacing w:after="0"/>
        <w:rPr>
          <w:sz w:val="20"/>
          <w:szCs w:val="20"/>
          <w:color w:val="auto"/>
        </w:rPr>
      </w:pPr>
      <w:r>
        <w:rPr>
          <w:rFonts w:ascii="Arial" w:cs="Arial" w:eastAsia="Arial" w:hAnsi="Arial"/>
          <w:sz w:val="15"/>
          <w:szCs w:val="15"/>
          <w:color w:val="auto"/>
        </w:rPr>
        <w:t xml:space="preserve">The effect of derivative instruments designated as hedges and those not designated as hedges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ind w:left="1000"/>
              <w:spacing w:after="0"/>
              <w:rPr>
                <w:sz w:val="20"/>
                <w:szCs w:val="20"/>
                <w:color w:val="auto"/>
              </w:rPr>
            </w:pPr>
            <w:r>
              <w:rPr>
                <w:rFonts w:ascii="Arial" w:cs="Arial" w:eastAsia="Arial" w:hAnsi="Arial"/>
                <w:sz w:val="14"/>
                <w:szCs w:val="14"/>
                <w:i w:val="1"/>
                <w:iCs w:val="1"/>
                <w:color w:val="auto"/>
                <w:w w:val="95"/>
              </w:rPr>
              <w:t>(Stated in millions)</w:t>
            </w:r>
          </w:p>
        </w:tc>
      </w:tr>
      <w:tr>
        <w:trPr>
          <w:trHeight w:val="351"/>
        </w:trPr>
        <w:tc>
          <w:tcPr>
            <w:tcW w:w="47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5"/>
                <w:szCs w:val="15"/>
                <w:b w:val="1"/>
                <w:bCs w:val="1"/>
                <w:color w:val="auto"/>
              </w:rPr>
              <w:t>Gain (Loss) Recognized in Income</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5"/>
                <w:szCs w:val="15"/>
                <w:color w:val="auto"/>
              </w:rPr>
              <w:t>Consolidated Statement</w:t>
            </w:r>
          </w:p>
        </w:tc>
      </w:tr>
      <w:tr>
        <w:trPr>
          <w:trHeight w:val="170"/>
        </w:trPr>
        <w:tc>
          <w:tcPr>
            <w:tcW w:w="47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2025</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2024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2023</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ind w:left="40"/>
              <w:spacing w:after="0" w:line="171" w:lineRule="exact"/>
              <w:rPr>
                <w:sz w:val="20"/>
                <w:szCs w:val="20"/>
                <w:color w:val="auto"/>
              </w:rPr>
            </w:pPr>
            <w:r>
              <w:rPr>
                <w:rFonts w:ascii="Arial" w:cs="Arial" w:eastAsia="Arial" w:hAnsi="Arial"/>
                <w:sz w:val="15"/>
                <w:szCs w:val="15"/>
                <w:color w:val="auto"/>
              </w:rPr>
              <w:t>of Income Classification</w:t>
            </w:r>
          </w:p>
        </w:tc>
      </w:tr>
      <w:tr>
        <w:trPr>
          <w:trHeight w:val="170"/>
        </w:trPr>
        <w:tc>
          <w:tcPr>
            <w:tcW w:w="47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Derivatives designated as cash flow hedges:</w:t>
            </w:r>
          </w:p>
        </w:tc>
        <w:tc>
          <w:tcPr>
            <w:tcW w:w="78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120" w:type="dxa"/>
            <w:vAlign w:val="bottom"/>
            <w:tcBorders>
              <w:top w:val="single" w:sz="8" w:color="auto"/>
            </w:tcBorders>
            <w:shd w:val="clear" w:color="auto" w:fill="CFF0FC"/>
          </w:tcPr>
          <w:p>
            <w:pPr>
              <w:spacing w:after="0"/>
              <w:rPr>
                <w:sz w:val="14"/>
                <w:szCs w:val="14"/>
                <w:color w:val="auto"/>
              </w:rPr>
            </w:pPr>
          </w:p>
        </w:tc>
      </w:tr>
      <w:tr>
        <w:trPr>
          <w:trHeight w:val="178"/>
        </w:trPr>
        <w:tc>
          <w:tcPr>
            <w:tcW w:w="4780" w:type="dxa"/>
            <w:vAlign w:val="bottom"/>
          </w:tcPr>
          <w:p>
            <w:pPr>
              <w:spacing w:after="0"/>
              <w:rPr>
                <w:sz w:val="20"/>
                <w:szCs w:val="20"/>
                <w:color w:val="auto"/>
              </w:rPr>
            </w:pPr>
            <w:r>
              <w:rPr>
                <w:rFonts w:ascii="Arial" w:cs="Arial" w:eastAsia="Arial" w:hAnsi="Arial"/>
                <w:sz w:val="15"/>
                <w:szCs w:val="15"/>
                <w:color w:val="auto"/>
              </w:rPr>
              <w:t>Cross-currency interest rate swaps</w:t>
            </w:r>
          </w:p>
        </w:tc>
        <w:tc>
          <w:tcPr>
            <w:tcW w:w="780" w:type="dxa"/>
            <w:vAlign w:val="bottom"/>
          </w:tcPr>
          <w:p>
            <w:pPr>
              <w:jc w:val="right"/>
              <w:ind w:right="604"/>
              <w:spacing w:after="0"/>
              <w:rPr>
                <w:sz w:val="20"/>
                <w:szCs w:val="20"/>
                <w:color w:val="auto"/>
              </w:rPr>
            </w:pPr>
            <w:r>
              <w:rPr>
                <w:rFonts w:ascii="Arial" w:cs="Arial" w:eastAsia="Arial" w:hAnsi="Arial"/>
                <w:sz w:val="15"/>
                <w:szCs w:val="15"/>
                <w:b w:val="1"/>
                <w:bCs w:val="1"/>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488</w:t>
            </w:r>
          </w:p>
        </w:tc>
        <w:tc>
          <w:tcPr>
            <w:tcW w:w="140" w:type="dxa"/>
            <w:vAlign w:val="bottom"/>
          </w:tcPr>
          <w:p>
            <w:pPr>
              <w:spacing w:after="0"/>
              <w:rPr>
                <w:sz w:val="15"/>
                <w:szCs w:val="15"/>
                <w:color w:val="auto"/>
              </w:rPr>
            </w:pPr>
          </w:p>
        </w:tc>
        <w:tc>
          <w:tcPr>
            <w:tcW w:w="920" w:type="dxa"/>
            <w:vAlign w:val="bottom"/>
            <w:gridSpan w:val="2"/>
          </w:tcPr>
          <w:p>
            <w:pPr>
              <w:jc w:val="right"/>
              <w:ind w:right="7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(199)</w:t>
            </w:r>
          </w:p>
        </w:tc>
        <w:tc>
          <w:tcPr>
            <w:tcW w:w="960" w:type="dxa"/>
            <w:vAlign w:val="bottom"/>
            <w:gridSpan w:val="2"/>
          </w:tcPr>
          <w:p>
            <w:pPr>
              <w:jc w:val="right"/>
              <w:ind w:right="78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173</w:t>
            </w:r>
          </w:p>
        </w:tc>
        <w:tc>
          <w:tcPr>
            <w:tcW w:w="2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5"/>
                <w:szCs w:val="15"/>
                <w:i w:val="1"/>
                <w:iCs w:val="1"/>
                <w:color w:val="auto"/>
              </w:rPr>
              <w:t>Cost of services/sales</w:t>
            </w:r>
          </w:p>
        </w:tc>
      </w:tr>
      <w:tr>
        <w:trPr>
          <w:trHeight w:val="178"/>
        </w:trPr>
        <w:tc>
          <w:tcPr>
            <w:tcW w:w="4780" w:type="dxa"/>
            <w:vAlign w:val="bottom"/>
            <w:shd w:val="clear" w:color="auto" w:fill="CFF0FC"/>
          </w:tcPr>
          <w:p>
            <w:pPr>
              <w:spacing w:after="0"/>
              <w:rPr>
                <w:sz w:val="20"/>
                <w:szCs w:val="20"/>
                <w:color w:val="auto"/>
              </w:rPr>
            </w:pPr>
            <w:r>
              <w:rPr>
                <w:rFonts w:ascii="Arial" w:cs="Arial" w:eastAsia="Arial" w:hAnsi="Arial"/>
                <w:sz w:val="15"/>
                <w:szCs w:val="15"/>
                <w:color w:val="auto"/>
              </w:rPr>
              <w:t>Cross-currency interest rate swaps</w:t>
            </w:r>
          </w:p>
        </w:tc>
        <w:tc>
          <w:tcPr>
            <w:tcW w:w="78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(72)</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(88)</w:t>
            </w:r>
          </w:p>
        </w:tc>
        <w:tc>
          <w:tcPr>
            <w:tcW w:w="212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Interest expense</w:t>
            </w:r>
          </w:p>
        </w:tc>
      </w:tr>
      <w:tr>
        <w:trPr>
          <w:trHeight w:val="178"/>
        </w:trPr>
        <w:tc>
          <w:tcPr>
            <w:tcW w:w="4780" w:type="dxa"/>
            <w:vAlign w:val="bottom"/>
          </w:tcPr>
          <w:p>
            <w:pPr>
              <w:spacing w:after="0"/>
              <w:rPr>
                <w:sz w:val="20"/>
                <w:szCs w:val="20"/>
                <w:color w:val="auto"/>
              </w:rPr>
            </w:pPr>
            <w:r>
              <w:rPr>
                <w:rFonts w:ascii="Arial" w:cs="Arial" w:eastAsia="Arial" w:hAnsi="Arial"/>
                <w:sz w:val="15"/>
                <w:szCs w:val="15"/>
                <w:color w:val="auto"/>
              </w:rPr>
              <w:t>Commodity contracts</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5"/>
                <w:szCs w:val="15"/>
                <w:i w:val="1"/>
                <w:iCs w:val="1"/>
                <w:color w:val="auto"/>
              </w:rPr>
              <w:t>Revenue</w:t>
            </w:r>
          </w:p>
        </w:tc>
      </w:tr>
      <w:tr>
        <w:trPr>
          <w:trHeight w:val="178"/>
        </w:trPr>
        <w:tc>
          <w:tcPr>
            <w:tcW w:w="4780" w:type="dxa"/>
            <w:vAlign w:val="bottom"/>
            <w:shd w:val="clear" w:color="auto" w:fill="CFF0FC"/>
          </w:tcPr>
          <w:p>
            <w:pPr>
              <w:spacing w:after="0"/>
              <w:rPr>
                <w:sz w:val="20"/>
                <w:szCs w:val="20"/>
                <w:color w:val="auto"/>
              </w:rPr>
            </w:pPr>
            <w:r>
              <w:rPr>
                <w:rFonts w:ascii="Arial" w:cs="Arial" w:eastAsia="Arial" w:hAnsi="Arial"/>
                <w:sz w:val="15"/>
                <w:szCs w:val="15"/>
                <w:color w:val="auto"/>
              </w:rPr>
              <w:t>Foreign currency forward contracts</w:t>
            </w:r>
          </w:p>
        </w:tc>
        <w:tc>
          <w:tcPr>
            <w:tcW w:w="7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24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Cost of services/sales</w:t>
            </w:r>
          </w:p>
        </w:tc>
      </w:tr>
      <w:tr>
        <w:trPr>
          <w:trHeight w:val="178"/>
        </w:trPr>
        <w:tc>
          <w:tcPr>
            <w:tcW w:w="4780" w:type="dxa"/>
            <w:vAlign w:val="bottom"/>
          </w:tcPr>
          <w:p>
            <w:pPr>
              <w:spacing w:after="0"/>
              <w:rPr>
                <w:sz w:val="20"/>
                <w:szCs w:val="20"/>
                <w:color w:val="auto"/>
              </w:rPr>
            </w:pPr>
            <w:r>
              <w:rPr>
                <w:rFonts w:ascii="Arial" w:cs="Arial" w:eastAsia="Arial" w:hAnsi="Arial"/>
                <w:sz w:val="15"/>
                <w:szCs w:val="15"/>
                <w:color w:val="auto"/>
              </w:rPr>
              <w:t>Foreign exchange contract</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5"/>
                <w:szCs w:val="15"/>
                <w:i w:val="1"/>
                <w:iCs w:val="1"/>
                <w:color w:val="auto"/>
              </w:rPr>
              <w:t>Revenue</w:t>
            </w:r>
          </w:p>
        </w:tc>
      </w:tr>
      <w:tr>
        <w:trPr>
          <w:trHeight w:val="20"/>
        </w:trPr>
        <w:tc>
          <w:tcPr>
            <w:tcW w:w="4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0"/>
        </w:trPr>
        <w:tc>
          <w:tcPr>
            <w:tcW w:w="47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04"/>
              <w:spacing w:after="0" w:line="171" w:lineRule="exact"/>
              <w:rPr>
                <w:sz w:val="20"/>
                <w:szCs w:val="20"/>
                <w:color w:val="auto"/>
              </w:rPr>
            </w:pPr>
            <w:r>
              <w:rPr>
                <w:rFonts w:ascii="Arial" w:cs="Arial" w:eastAsia="Arial" w:hAnsi="Arial"/>
                <w:sz w:val="15"/>
                <w:szCs w:val="15"/>
                <w:b w:val="1"/>
                <w:bCs w:val="1"/>
                <w:color w:val="auto"/>
                <w:w w:val="95"/>
              </w:rPr>
              <w:t>$</w:t>
            </w:r>
          </w:p>
        </w:tc>
        <w:tc>
          <w:tcPr>
            <w:tcW w:w="4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433</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740"/>
              <w:spacing w:after="0" w:line="171"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(280)</w:t>
            </w:r>
          </w:p>
        </w:tc>
        <w:tc>
          <w:tcPr>
            <w:tcW w:w="960" w:type="dxa"/>
            <w:vAlign w:val="bottom"/>
            <w:gridSpan w:val="2"/>
            <w:shd w:val="clear" w:color="auto" w:fill="CFF0FC"/>
          </w:tcPr>
          <w:p>
            <w:pPr>
              <w:jc w:val="right"/>
              <w:ind w:right="780"/>
              <w:spacing w:after="0" w:line="171" w:lineRule="exact"/>
              <w:rPr>
                <w:sz w:val="20"/>
                <w:szCs w:val="20"/>
                <w:color w:val="auto"/>
              </w:rPr>
            </w:pPr>
            <w:r>
              <w:rPr>
                <w:rFonts w:ascii="Arial" w:cs="Arial" w:eastAsia="Arial" w:hAnsi="Arial"/>
                <w:sz w:val="15"/>
                <w:szCs w:val="15"/>
                <w:color w:val="auto"/>
              </w:rPr>
              <w:t>$</w:t>
            </w:r>
          </w:p>
        </w:tc>
        <w:tc>
          <w:tcPr>
            <w:tcW w:w="3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103</w:t>
            </w: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156"/>
        </w:trPr>
        <w:tc>
          <w:tcPr>
            <w:tcW w:w="4780" w:type="dxa"/>
            <w:vAlign w:val="bottom"/>
            <w:tcBorders>
              <w:top w:val="single" w:sz="8" w:color="CFF0FC"/>
            </w:tcBorders>
          </w:tcPr>
          <w:p>
            <w:pPr>
              <w:spacing w:after="0" w:line="156" w:lineRule="exact"/>
              <w:rPr>
                <w:sz w:val="20"/>
                <w:szCs w:val="20"/>
                <w:color w:val="auto"/>
              </w:rPr>
            </w:pPr>
            <w:r>
              <w:rPr>
                <w:rFonts w:ascii="Arial" w:cs="Arial" w:eastAsia="Arial" w:hAnsi="Arial"/>
                <w:sz w:val="15"/>
                <w:szCs w:val="15"/>
                <w:color w:val="auto"/>
              </w:rPr>
              <w:t>Derivatives not designated as hedges:</w:t>
            </w:r>
          </w:p>
        </w:tc>
        <w:tc>
          <w:tcPr>
            <w:tcW w:w="7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120" w:type="dxa"/>
            <w:vAlign w:val="bottom"/>
            <w:tcBorders>
              <w:top w:val="single" w:sz="8" w:color="CFF0FC"/>
            </w:tcBorders>
          </w:tcPr>
          <w:p>
            <w:pPr>
              <w:spacing w:after="0"/>
              <w:rPr>
                <w:sz w:val="13"/>
                <w:szCs w:val="13"/>
                <w:color w:val="auto"/>
              </w:rPr>
            </w:pPr>
          </w:p>
        </w:tc>
      </w:tr>
      <w:tr>
        <w:trPr>
          <w:trHeight w:val="198"/>
        </w:trPr>
        <w:tc>
          <w:tcPr>
            <w:tcW w:w="4780" w:type="dxa"/>
            <w:vAlign w:val="bottom"/>
            <w:shd w:val="clear" w:color="auto" w:fill="CFF0FC"/>
          </w:tcPr>
          <w:p>
            <w:pPr>
              <w:spacing w:after="0" w:line="158" w:lineRule="exact"/>
              <w:rPr>
                <w:sz w:val="20"/>
                <w:szCs w:val="20"/>
                <w:color w:val="auto"/>
              </w:rPr>
            </w:pPr>
            <w:r>
              <w:rPr>
                <w:rFonts w:ascii="Arial" w:cs="Arial" w:eastAsia="Arial" w:hAnsi="Arial"/>
                <w:sz w:val="15"/>
                <w:szCs w:val="15"/>
                <w:color w:val="auto"/>
              </w:rPr>
              <w:t>Foreign currency forward contracts</w:t>
            </w:r>
          </w:p>
        </w:tc>
        <w:tc>
          <w:tcPr>
            <w:tcW w:w="780" w:type="dxa"/>
            <w:vAlign w:val="bottom"/>
            <w:shd w:val="clear" w:color="auto" w:fill="CFF0FC"/>
          </w:tcPr>
          <w:p>
            <w:pPr>
              <w:jc w:val="right"/>
              <w:ind w:right="604"/>
              <w:spacing w:after="0" w:line="158" w:lineRule="exact"/>
              <w:rPr>
                <w:sz w:val="20"/>
                <w:szCs w:val="20"/>
                <w:color w:val="auto"/>
              </w:rPr>
            </w:pPr>
            <w:r>
              <w:rPr>
                <w:rFonts w:ascii="Arial" w:cs="Arial" w:eastAsia="Arial" w:hAnsi="Arial"/>
                <w:sz w:val="15"/>
                <w:szCs w:val="15"/>
                <w:b w:val="1"/>
                <w:bCs w:val="1"/>
                <w:color w:val="auto"/>
                <w:w w:val="95"/>
              </w:rPr>
              <w:t>$</w:t>
            </w:r>
          </w:p>
        </w:tc>
        <w:tc>
          <w:tcPr>
            <w:tcW w:w="44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b w:val="1"/>
                <w:bCs w:val="1"/>
                <w:color w:val="auto"/>
              </w:rPr>
              <w:t>26</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740"/>
              <w:spacing w:after="0" w:line="158" w:lineRule="exact"/>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5</w:t>
            </w: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780"/>
              <w:spacing w:after="0" w:line="158"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5"/>
                <w:szCs w:val="15"/>
                <w:color w:val="auto"/>
              </w:rPr>
              <w:t>(9)</w:t>
            </w:r>
          </w:p>
        </w:tc>
        <w:tc>
          <w:tcPr>
            <w:tcW w:w="2120" w:type="dxa"/>
            <w:vAlign w:val="bottom"/>
            <w:shd w:val="clear" w:color="auto" w:fill="CFF0FC"/>
          </w:tcPr>
          <w:p>
            <w:pPr>
              <w:spacing w:after="0" w:line="158" w:lineRule="exact"/>
              <w:rPr>
                <w:sz w:val="20"/>
                <w:szCs w:val="20"/>
                <w:color w:val="auto"/>
              </w:rPr>
            </w:pPr>
            <w:r>
              <w:rPr>
                <w:rFonts w:ascii="Arial" w:cs="Arial" w:eastAsia="Arial" w:hAnsi="Arial"/>
                <w:sz w:val="15"/>
                <w:szCs w:val="15"/>
                <w:i w:val="1"/>
                <w:iCs w:val="1"/>
                <w:color w:val="auto"/>
              </w:rPr>
              <w:t>Cost of services/sales</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-273685</wp:posOffset>
            </wp:positionV>
            <wp:extent cx="647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-257175</wp:posOffset>
            </wp:positionV>
            <wp:extent cx="647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-273685</wp:posOffset>
            </wp:positionV>
            <wp:extent cx="647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-257175</wp:posOffset>
            </wp:positionV>
            <wp:extent cx="647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-273685</wp:posOffset>
            </wp:positionV>
            <wp:extent cx="647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-257175</wp:posOffset>
            </wp:positionV>
            <wp:extent cx="647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-23495</wp:posOffset>
            </wp:positionV>
            <wp:extent cx="647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-7620</wp:posOffset>
            </wp:positionV>
            <wp:extent cx="647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-23495</wp:posOffset>
            </wp:positionV>
            <wp:extent cx="647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-7620</wp:posOffset>
            </wp:positionV>
            <wp:extent cx="647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-23495</wp:posOffset>
            </wp:positionV>
            <wp:extent cx="647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-7620</wp:posOffset>
            </wp:positionV>
            <wp:extent cx="647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SLB has issued credit default swaps (“CDSs”) to certain third-party financial institutions that have an aggregate notional amount outstanding of approximately $0.6 billion as of December 31, 2025 ($1.15 billion as of December 31, 2024). The CDSs relate to borrowings provided by the financial institutions to SLB’s primary customer in Mexico. The borrowings were used by this customer to pay certain of SLB’s outstanding receivables. Approximately $0.1 billion of the outstanding CDSs will reduce on a monthly basis over its remaining 2-month term while the remaining $0.5 billion will reduce on a monthly basis over its remaining 6-month term. The fair value of these derivative liabilities was not material at December 31, 2025 or December 31, 2024.</w:t>
      </w:r>
    </w:p>
    <w:p>
      <w:pPr>
        <w:spacing w:after="0" w:line="172" w:lineRule="exact"/>
        <w:rPr>
          <w:sz w:val="20"/>
          <w:szCs w:val="20"/>
          <w:color w:val="auto"/>
        </w:rPr>
      </w:pPr>
    </w:p>
    <w:p>
      <w:pPr>
        <w:ind w:left="300" w:hanging="298"/>
        <w:spacing w:after="0"/>
        <w:tabs>
          <w:tab w:leader="none" w:pos="300"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Stockholders’ Equity</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SLB is authorized to issue 4,500,000,000 shares of common stock, par value $0.01 per share, of which 1,495,331,485 and 1,400,850,420 shares were outstanding on December 31, 2025 and 2024, respectively. Holders of common stock are entitled to one vote for each share of stock held. SLB is also authorized to issue 200,000,000 shares of preferred stock, par value $0.01 per share, which may be issued in series with terms and conditions determined by the SLB Board of Directors. No shares of preferred stock have been issued.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Accumulated Other Comprehensive Loss </w:t>
      </w:r>
      <w:r>
        <w:rPr>
          <w:rFonts w:ascii="Arial" w:cs="Arial" w:eastAsia="Arial" w:hAnsi="Arial"/>
          <w:sz w:val="15"/>
          <w:szCs w:val="15"/>
          <w:color w:val="auto"/>
        </w:rPr>
        <w:t>consists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5340" w:type="dxa"/>
            <w:vAlign w:val="bottom"/>
          </w:tcPr>
          <w:p>
            <w:pPr>
              <w:spacing w:after="0"/>
              <w:rPr>
                <w:sz w:val="24"/>
                <w:szCs w:val="24"/>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2025</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rPr>
              <w:t>2024</w:t>
            </w: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53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Currency translation adjustments</w:t>
            </w:r>
          </w:p>
        </w:tc>
        <w:tc>
          <w:tcPr>
            <w:tcW w:w="1160" w:type="dxa"/>
            <w:vAlign w:val="bottom"/>
            <w:shd w:val="clear" w:color="auto" w:fill="CFF0FC"/>
          </w:tcPr>
          <w:p>
            <w:pPr>
              <w:jc w:val="right"/>
              <w:ind w:right="1004"/>
              <w:spacing w:after="0" w:line="171" w:lineRule="exact"/>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FF0FC"/>
          </w:tcPr>
          <w:p>
            <w:pPr>
              <w:jc w:val="right"/>
              <w:ind w:right="260"/>
              <w:spacing w:after="0" w:line="171" w:lineRule="exact"/>
              <w:rPr>
                <w:sz w:val="20"/>
                <w:szCs w:val="20"/>
                <w:color w:val="auto"/>
              </w:rPr>
            </w:pPr>
            <w:r>
              <w:rPr>
                <w:rFonts w:ascii="Arial" w:cs="Arial" w:eastAsia="Arial" w:hAnsi="Arial"/>
                <w:sz w:val="15"/>
                <w:szCs w:val="15"/>
                <w:b w:val="1"/>
                <w:bCs w:val="1"/>
                <w:color w:val="auto"/>
              </w:rPr>
              <w:t>(2,397)</w:t>
            </w:r>
          </w:p>
        </w:tc>
        <w:tc>
          <w:tcPr>
            <w:tcW w:w="400" w:type="dxa"/>
            <w:vAlign w:val="bottom"/>
            <w:shd w:val="clear" w:color="auto" w:fill="CFF0FC"/>
          </w:tcPr>
          <w:p>
            <w:pPr>
              <w:jc w:val="right"/>
              <w:ind w:right="224"/>
              <w:spacing w:after="0" w:line="171" w:lineRule="exact"/>
              <w:rPr>
                <w:sz w:val="20"/>
                <w:szCs w:val="20"/>
                <w:color w:val="auto"/>
              </w:rPr>
            </w:pPr>
            <w:r>
              <w:rPr>
                <w:rFonts w:ascii="Arial" w:cs="Arial" w:eastAsia="Arial" w:hAnsi="Arial"/>
                <w:sz w:val="15"/>
                <w:szCs w:val="15"/>
                <w:color w:val="auto"/>
                <w:w w:val="95"/>
              </w:rPr>
              <w:t>$</w:t>
            </w:r>
          </w:p>
        </w:tc>
        <w:tc>
          <w:tcPr>
            <w:tcW w:w="1660" w:type="dxa"/>
            <w:vAlign w:val="bottom"/>
            <w:gridSpan w:val="2"/>
            <w:shd w:val="clear" w:color="auto" w:fill="CFF0FC"/>
          </w:tcPr>
          <w:p>
            <w:pPr>
              <w:jc w:val="right"/>
              <w:ind w:right="280"/>
              <w:spacing w:after="0" w:line="171" w:lineRule="exact"/>
              <w:rPr>
                <w:sz w:val="20"/>
                <w:szCs w:val="20"/>
                <w:color w:val="auto"/>
              </w:rPr>
            </w:pPr>
            <w:r>
              <w:rPr>
                <w:rFonts w:ascii="Arial" w:cs="Arial" w:eastAsia="Arial" w:hAnsi="Arial"/>
                <w:sz w:val="15"/>
                <w:szCs w:val="15"/>
                <w:color w:val="auto"/>
              </w:rPr>
              <w:t>(2,697)</w:t>
            </w:r>
          </w:p>
        </w:tc>
        <w:tc>
          <w:tcPr>
            <w:tcW w:w="340" w:type="dxa"/>
            <w:vAlign w:val="bottom"/>
            <w:shd w:val="clear" w:color="auto" w:fill="CFF0FC"/>
          </w:tcPr>
          <w:p>
            <w:pPr>
              <w:jc w:val="right"/>
              <w:ind w:right="184"/>
              <w:spacing w:after="0" w:line="171" w:lineRule="exact"/>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(2,557)</w:t>
            </w:r>
          </w:p>
        </w:tc>
      </w:tr>
      <w:tr>
        <w:trPr>
          <w:trHeight w:val="178"/>
        </w:trPr>
        <w:tc>
          <w:tcPr>
            <w:tcW w:w="5340" w:type="dxa"/>
            <w:vAlign w:val="bottom"/>
          </w:tcPr>
          <w:p>
            <w:pPr>
              <w:spacing w:after="0"/>
              <w:rPr>
                <w:sz w:val="20"/>
                <w:szCs w:val="20"/>
                <w:color w:val="auto"/>
              </w:rPr>
            </w:pPr>
            <w:r>
              <w:rPr>
                <w:rFonts w:ascii="Arial" w:cs="Arial" w:eastAsia="Arial" w:hAnsi="Arial"/>
                <w:sz w:val="15"/>
                <w:szCs w:val="15"/>
                <w:color w:val="auto"/>
              </w:rPr>
              <w:t>Pension and other postretirement benefit plans</w:t>
            </w:r>
          </w:p>
        </w:tc>
        <w:tc>
          <w:tcPr>
            <w:tcW w:w="116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(2,283)</w:t>
            </w:r>
          </w:p>
        </w:tc>
        <w:tc>
          <w:tcPr>
            <w:tcW w:w="400" w:type="dxa"/>
            <w:vAlign w:val="bottom"/>
          </w:tcPr>
          <w:p>
            <w:pPr>
              <w:spacing w:after="0"/>
              <w:rPr>
                <w:sz w:val="15"/>
                <w:szCs w:val="15"/>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5"/>
                <w:szCs w:val="15"/>
                <w:color w:val="auto"/>
              </w:rPr>
              <w:t>(2,275)</w:t>
            </w:r>
          </w:p>
        </w:tc>
        <w:tc>
          <w:tcPr>
            <w:tcW w:w="34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5"/>
                <w:szCs w:val="15"/>
                <w:color w:val="auto"/>
              </w:rPr>
              <w:t>(1,709)</w:t>
            </w:r>
          </w:p>
        </w:tc>
      </w:tr>
      <w:tr>
        <w:trPr>
          <w:trHeight w:val="178"/>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Cash flow hedges</w:t>
            </w:r>
          </w:p>
        </w:tc>
        <w:tc>
          <w:tcPr>
            <w:tcW w:w="1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(43)</w:t>
            </w: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w:t>
            </w: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42</w:t>
            </w:r>
          </w:p>
        </w:tc>
      </w:tr>
      <w:tr>
        <w:trPr>
          <w:trHeight w:val="178"/>
        </w:trPr>
        <w:tc>
          <w:tcPr>
            <w:tcW w:w="5340" w:type="dxa"/>
            <w:vAlign w:val="bottom"/>
          </w:tcPr>
          <w:p>
            <w:pPr>
              <w:spacing w:after="0"/>
              <w:rPr>
                <w:sz w:val="20"/>
                <w:szCs w:val="20"/>
                <w:color w:val="auto"/>
              </w:rPr>
            </w:pPr>
            <w:r>
              <w:rPr>
                <w:rFonts w:ascii="Arial" w:cs="Arial" w:eastAsia="Arial" w:hAnsi="Arial"/>
                <w:sz w:val="15"/>
                <w:szCs w:val="15"/>
                <w:color w:val="auto"/>
              </w:rPr>
              <w:t>Other</w:t>
            </w:r>
          </w:p>
        </w:tc>
        <w:tc>
          <w:tcPr>
            <w:tcW w:w="116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(13)</w:t>
            </w:r>
          </w:p>
        </w:tc>
        <w:tc>
          <w:tcPr>
            <w:tcW w:w="400" w:type="dxa"/>
            <w:vAlign w:val="bottom"/>
          </w:tcPr>
          <w:p>
            <w:pPr>
              <w:spacing w:after="0"/>
              <w:rPr>
                <w:sz w:val="15"/>
                <w:szCs w:val="15"/>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5"/>
                <w:szCs w:val="15"/>
                <w:color w:val="auto"/>
              </w:rPr>
              <w:t>(24)</w:t>
            </w:r>
          </w:p>
        </w:tc>
        <w:tc>
          <w:tcPr>
            <w:tcW w:w="34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5"/>
                <w:szCs w:val="15"/>
                <w:color w:val="auto"/>
              </w:rPr>
              <w:t>(30)</w:t>
            </w:r>
          </w:p>
        </w:tc>
      </w:tr>
      <w:tr>
        <w:trPr>
          <w:trHeight w:val="20"/>
        </w:trPr>
        <w:tc>
          <w:tcPr>
            <w:tcW w:w="5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5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04"/>
              <w:spacing w:after="0" w:line="171" w:lineRule="exact"/>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FF0FC"/>
          </w:tcPr>
          <w:p>
            <w:pPr>
              <w:jc w:val="right"/>
              <w:ind w:right="260"/>
              <w:spacing w:after="0" w:line="171" w:lineRule="exact"/>
              <w:rPr>
                <w:sz w:val="20"/>
                <w:szCs w:val="20"/>
                <w:color w:val="auto"/>
              </w:rPr>
            </w:pPr>
            <w:r>
              <w:rPr>
                <w:rFonts w:ascii="Arial" w:cs="Arial" w:eastAsia="Arial" w:hAnsi="Arial"/>
                <w:sz w:val="15"/>
                <w:szCs w:val="15"/>
                <w:b w:val="1"/>
                <w:bCs w:val="1"/>
                <w:color w:val="auto"/>
              </w:rPr>
              <w:t>(4,736)</w:t>
            </w:r>
          </w:p>
        </w:tc>
        <w:tc>
          <w:tcPr>
            <w:tcW w:w="400" w:type="dxa"/>
            <w:vAlign w:val="bottom"/>
            <w:shd w:val="clear" w:color="auto" w:fill="CFF0FC"/>
          </w:tcPr>
          <w:p>
            <w:pPr>
              <w:jc w:val="right"/>
              <w:ind w:right="224"/>
              <w:spacing w:after="0" w:line="171" w:lineRule="exact"/>
              <w:rPr>
                <w:sz w:val="20"/>
                <w:szCs w:val="20"/>
                <w:color w:val="auto"/>
              </w:rPr>
            </w:pPr>
            <w:r>
              <w:rPr>
                <w:rFonts w:ascii="Arial" w:cs="Arial" w:eastAsia="Arial" w:hAnsi="Arial"/>
                <w:sz w:val="15"/>
                <w:szCs w:val="15"/>
                <w:color w:val="auto"/>
                <w:w w:val="95"/>
              </w:rPr>
              <w:t>$</w:t>
            </w:r>
          </w:p>
        </w:tc>
        <w:tc>
          <w:tcPr>
            <w:tcW w:w="1660" w:type="dxa"/>
            <w:vAlign w:val="bottom"/>
            <w:gridSpan w:val="2"/>
            <w:shd w:val="clear" w:color="auto" w:fill="CFF0FC"/>
          </w:tcPr>
          <w:p>
            <w:pPr>
              <w:jc w:val="right"/>
              <w:ind w:right="280"/>
              <w:spacing w:after="0" w:line="171" w:lineRule="exact"/>
              <w:rPr>
                <w:sz w:val="20"/>
                <w:szCs w:val="20"/>
                <w:color w:val="auto"/>
              </w:rPr>
            </w:pPr>
            <w:r>
              <w:rPr>
                <w:rFonts w:ascii="Arial" w:cs="Arial" w:eastAsia="Arial" w:hAnsi="Arial"/>
                <w:sz w:val="15"/>
                <w:szCs w:val="15"/>
                <w:color w:val="auto"/>
              </w:rPr>
              <w:t>(4,950)</w:t>
            </w:r>
          </w:p>
        </w:tc>
        <w:tc>
          <w:tcPr>
            <w:tcW w:w="340" w:type="dxa"/>
            <w:vAlign w:val="bottom"/>
            <w:shd w:val="clear" w:color="auto" w:fill="CFF0FC"/>
          </w:tcPr>
          <w:p>
            <w:pPr>
              <w:jc w:val="right"/>
              <w:ind w:right="184"/>
              <w:spacing w:after="0" w:line="171" w:lineRule="exact"/>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(4,254)</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-23495</wp:posOffset>
            </wp:positionV>
            <wp:extent cx="723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-7620</wp:posOffset>
            </wp:positionV>
            <wp:extent cx="723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-23495</wp:posOffset>
            </wp:positionV>
            <wp:extent cx="723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-7620</wp:posOffset>
            </wp:positionV>
            <wp:extent cx="723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374" w:lineRule="exact"/>
        <w:rPr>
          <w:sz w:val="20"/>
          <w:szCs w:val="20"/>
          <w:color w:val="auto"/>
        </w:rPr>
      </w:pPr>
    </w:p>
    <w:p>
      <w:pPr>
        <w:ind w:left="300" w:hanging="298"/>
        <w:spacing w:after="0"/>
        <w:tabs>
          <w:tab w:leader="none" w:pos="30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Stock-based Compensation Plans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has three types of stock-based compensation programs: (i) a restricted stock unit and performance share unit program (collectively referred to as “restricted stock”), (ii) a discounted stock purchase plan (“DSPP”), and (iii) stock options.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SLB grants performance share units to certain key employees. The number of shares earned is determined at the end of each performance period based on SLB’s achievement of certain predefined targets as described in the underlying performance share unit agreement. In the event SLB exceeds the predefined target, shares for up to a maximum of 250% of the target award may be awarded. In the event SLB falls below the predefined target, a reduced number of shares may be awarded. If SLB falls below the threshold award performance level, no shares will be awarded. As of December 31, 2025, 2.4 million performance share units were outstanding assuming the achievement of 100% of target.</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Restricted stock awards do not pay dividends or have voting rights prior to vesting and generally vest at the end of three years or ratably in equal tranches over a three-year period. The fair value of a restricted stock award is generally the quoted market price of SLB’s stock on the date of grant less the present value of the expected dividends not received prior to vesting.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44" w:name="page45"/>
    <w:bookmarkEnd w:id="44"/>
    <w:p>
      <w:pPr>
        <w:spacing w:after="0"/>
        <w:rPr>
          <w:sz w:val="20"/>
          <w:szCs w:val="20"/>
          <w:color w:val="auto"/>
        </w:rPr>
      </w:pPr>
      <w:r>
        <w:rPr>
          <w:rFonts w:ascii="Arial" w:cs="Arial" w:eastAsia="Arial" w:hAnsi="Arial"/>
          <w:sz w:val="15"/>
          <w:szCs w:val="15"/>
          <w:color w:val="auto"/>
        </w:rPr>
        <w:t>The following table summarizes information related to restricted stock activity: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ind w:left="480"/>
              <w:spacing w:after="0"/>
              <w:rPr>
                <w:sz w:val="20"/>
                <w:szCs w:val="20"/>
                <w:color w:val="auto"/>
              </w:rPr>
            </w:pPr>
            <w:r>
              <w:rPr>
                <w:rFonts w:ascii="Arial" w:cs="Arial" w:eastAsia="Arial" w:hAnsi="Arial"/>
                <w:sz w:val="14"/>
                <w:szCs w:val="14"/>
                <w:i w:val="1"/>
                <w:iCs w:val="1"/>
                <w:color w:val="auto"/>
              </w:rPr>
              <w:t>(Shares stated in millions)</w:t>
            </w:r>
          </w:p>
        </w:tc>
      </w:tr>
      <w:tr>
        <w:trPr>
          <w:trHeight w:val="351"/>
        </w:trPr>
        <w:tc>
          <w:tcPr>
            <w:tcW w:w="45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4"/>
          </w:tcPr>
          <w:p>
            <w:pPr>
              <w:jc w:val="right"/>
              <w:spacing w:after="0"/>
              <w:rPr>
                <w:sz w:val="20"/>
                <w:szCs w:val="20"/>
                <w:color w:val="auto"/>
              </w:rPr>
            </w:pPr>
            <w:r>
              <w:rPr>
                <w:rFonts w:ascii="Arial" w:cs="Arial" w:eastAsia="Arial" w:hAnsi="Arial"/>
                <w:sz w:val="15"/>
                <w:szCs w:val="15"/>
                <w:color w:val="auto"/>
              </w:rPr>
              <w:t>2023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45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center"/>
              <w:spacing w:after="0" w:line="159" w:lineRule="exact"/>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center"/>
              <w:spacing w:after="0" w:line="159" w:lineRule="exact"/>
              <w:rPr>
                <w:sz w:val="20"/>
                <w:szCs w:val="20"/>
                <w:color w:val="auto"/>
              </w:rPr>
            </w:pPr>
            <w:r>
              <w:rPr>
                <w:rFonts w:ascii="Arial" w:cs="Arial" w:eastAsia="Arial" w:hAnsi="Arial"/>
                <w:sz w:val="15"/>
                <w:szCs w:val="15"/>
                <w:color w:val="auto"/>
              </w:rPr>
              <w:t>Weighted-</w:t>
            </w:r>
          </w:p>
        </w:tc>
        <w:tc>
          <w:tcPr>
            <w:tcW w:w="2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24"/>
              <w:spacing w:after="0" w:line="159" w:lineRule="exact"/>
              <w:rPr>
                <w:sz w:val="20"/>
                <w:szCs w:val="20"/>
                <w:color w:val="auto"/>
              </w:rPr>
            </w:pPr>
            <w:r>
              <w:rPr>
                <w:rFonts w:ascii="Arial" w:cs="Arial" w:eastAsia="Arial" w:hAnsi="Arial"/>
                <w:sz w:val="15"/>
                <w:szCs w:val="15"/>
                <w:color w:val="auto"/>
              </w:rPr>
              <w:t>Weighted-</w:t>
            </w:r>
          </w:p>
        </w:tc>
        <w:tc>
          <w:tcPr>
            <w:tcW w:w="100" w:type="dxa"/>
            <w:vAlign w:val="bottom"/>
          </w:tcPr>
          <w:p>
            <w:pPr>
              <w:spacing w:after="0"/>
              <w:rPr>
                <w:sz w:val="13"/>
                <w:szCs w:val="13"/>
                <w:color w:val="auto"/>
              </w:rPr>
            </w:pPr>
          </w:p>
        </w:tc>
      </w:tr>
      <w:tr>
        <w:trPr>
          <w:trHeight w:val="178"/>
        </w:trPr>
        <w:tc>
          <w:tcPr>
            <w:tcW w:w="4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24"/>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4"/>
              <w:spacing w:after="0"/>
              <w:rPr>
                <w:sz w:val="20"/>
                <w:szCs w:val="20"/>
                <w:color w:val="auto"/>
              </w:rPr>
            </w:pPr>
            <w:r>
              <w:rPr>
                <w:rFonts w:ascii="Arial" w:cs="Arial" w:eastAsia="Arial" w:hAnsi="Arial"/>
                <w:sz w:val="15"/>
                <w:szCs w:val="15"/>
                <w:color w:val="auto"/>
              </w:rPr>
              <w:t>Average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5"/>
                <w:szCs w:val="15"/>
                <w:color w:val="auto"/>
              </w:rPr>
              <w:t>Average</w:t>
            </w:r>
          </w:p>
        </w:tc>
      </w:tr>
      <w:tr>
        <w:trPr>
          <w:trHeight w:val="178"/>
        </w:trPr>
        <w:tc>
          <w:tcPr>
            <w:tcW w:w="454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Restricted</w:t>
            </w:r>
          </w:p>
        </w:tc>
        <w:tc>
          <w:tcPr>
            <w:tcW w:w="860" w:type="dxa"/>
            <w:vAlign w:val="bottom"/>
            <w:gridSpan w:val="2"/>
          </w:tcPr>
          <w:p>
            <w:pPr>
              <w:jc w:val="center"/>
              <w:spacing w:after="0"/>
              <w:rPr>
                <w:sz w:val="20"/>
                <w:szCs w:val="20"/>
                <w:color w:val="auto"/>
              </w:rPr>
            </w:pPr>
            <w:r>
              <w:rPr>
                <w:rFonts w:ascii="Arial" w:cs="Arial" w:eastAsia="Arial" w:hAnsi="Arial"/>
                <w:sz w:val="15"/>
                <w:szCs w:val="15"/>
                <w:b w:val="1"/>
                <w:bCs w:val="1"/>
                <w:color w:val="auto"/>
              </w:rPr>
              <w:t>Grant Date</w:t>
            </w:r>
          </w:p>
        </w:tc>
        <w:tc>
          <w:tcPr>
            <w:tcW w:w="240" w:type="dxa"/>
            <w:vAlign w:val="bottom"/>
          </w:tcPr>
          <w:p>
            <w:pPr>
              <w:spacing w:after="0"/>
              <w:rPr>
                <w:sz w:val="15"/>
                <w:szCs w:val="15"/>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Restricted</w:t>
            </w:r>
          </w:p>
        </w:tc>
        <w:tc>
          <w:tcPr>
            <w:tcW w:w="860" w:type="dxa"/>
            <w:vAlign w:val="bottom"/>
            <w:gridSpan w:val="2"/>
          </w:tcPr>
          <w:p>
            <w:pPr>
              <w:jc w:val="center"/>
              <w:spacing w:after="0"/>
              <w:rPr>
                <w:sz w:val="20"/>
                <w:szCs w:val="20"/>
                <w:color w:val="auto"/>
              </w:rPr>
            </w:pPr>
            <w:r>
              <w:rPr>
                <w:rFonts w:ascii="Arial" w:cs="Arial" w:eastAsia="Arial" w:hAnsi="Arial"/>
                <w:sz w:val="15"/>
                <w:szCs w:val="15"/>
                <w:color w:val="auto"/>
              </w:rPr>
              <w:t>Grant Date</w:t>
            </w:r>
          </w:p>
        </w:tc>
        <w:tc>
          <w:tcPr>
            <w:tcW w:w="22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5"/>
                <w:szCs w:val="15"/>
                <w:color w:val="auto"/>
              </w:rPr>
              <w:t>Restricted</w:t>
            </w:r>
          </w:p>
        </w:tc>
        <w:tc>
          <w:tcPr>
            <w:tcW w:w="980" w:type="dxa"/>
            <w:vAlign w:val="bottom"/>
            <w:gridSpan w:val="3"/>
          </w:tcPr>
          <w:p>
            <w:pPr>
              <w:jc w:val="center"/>
              <w:ind w:right="120"/>
              <w:spacing w:after="0"/>
              <w:rPr>
                <w:sz w:val="20"/>
                <w:szCs w:val="20"/>
                <w:color w:val="auto"/>
              </w:rPr>
            </w:pPr>
            <w:r>
              <w:rPr>
                <w:rFonts w:ascii="Arial" w:cs="Arial" w:eastAsia="Arial" w:hAnsi="Arial"/>
                <w:sz w:val="15"/>
                <w:szCs w:val="15"/>
                <w:color w:val="auto"/>
              </w:rPr>
              <w:t>Grant Date</w:t>
            </w:r>
          </w:p>
        </w:tc>
      </w:tr>
      <w:tr>
        <w:trPr>
          <w:trHeight w:val="190"/>
        </w:trPr>
        <w:tc>
          <w:tcPr>
            <w:tcW w:w="4540" w:type="dxa"/>
            <w:vAlign w:val="bottom"/>
          </w:tcPr>
          <w:p>
            <w:pPr>
              <w:spacing w:after="0"/>
              <w:rPr>
                <w:sz w:val="16"/>
                <w:szCs w:val="16"/>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Stock</w:t>
            </w:r>
          </w:p>
        </w:tc>
        <w:tc>
          <w:tcPr>
            <w:tcW w:w="22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Fair Value</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Stock</w:t>
            </w:r>
          </w:p>
        </w:tc>
        <w:tc>
          <w:tcPr>
            <w:tcW w:w="24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rPr>
              <w:t>Fair Value</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Stock</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Fair Value</w:t>
            </w:r>
          </w:p>
        </w:tc>
        <w:tc>
          <w:tcPr>
            <w:tcW w:w="100" w:type="dxa"/>
            <w:vAlign w:val="bottom"/>
          </w:tcPr>
          <w:p>
            <w:pPr>
              <w:spacing w:after="0"/>
              <w:rPr>
                <w:sz w:val="16"/>
                <w:szCs w:val="16"/>
                <w:color w:val="auto"/>
              </w:rPr>
            </w:pPr>
          </w:p>
        </w:tc>
      </w:tr>
      <w:tr>
        <w:trPr>
          <w:trHeight w:val="170"/>
        </w:trPr>
        <w:tc>
          <w:tcPr>
            <w:tcW w:w="45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Unvested at beginning of year</w:t>
            </w:r>
          </w:p>
        </w:tc>
        <w:tc>
          <w:tcPr>
            <w:tcW w:w="9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w w:val="95"/>
              </w:rPr>
              <w:t>$</w:t>
            </w:r>
          </w:p>
        </w:tc>
        <w:tc>
          <w:tcPr>
            <w:tcW w:w="7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46.12</w:t>
            </w:r>
          </w:p>
        </w:tc>
        <w:tc>
          <w:tcPr>
            <w:tcW w:w="12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14</w:t>
            </w: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39.88</w:t>
            </w:r>
          </w:p>
        </w:tc>
        <w:tc>
          <w:tcPr>
            <w:tcW w:w="11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30.24</w:t>
            </w:r>
          </w:p>
        </w:tc>
        <w:tc>
          <w:tcPr>
            <w:tcW w:w="100" w:type="dxa"/>
            <w:vAlign w:val="bottom"/>
            <w:shd w:val="clear" w:color="auto" w:fill="CFF0FC"/>
          </w:tcPr>
          <w:p>
            <w:pPr>
              <w:spacing w:after="0"/>
              <w:rPr>
                <w:sz w:val="14"/>
                <w:szCs w:val="14"/>
                <w:color w:val="auto"/>
              </w:rPr>
            </w:pPr>
          </w:p>
        </w:tc>
      </w:tr>
      <w:tr>
        <w:trPr>
          <w:trHeight w:val="178"/>
        </w:trPr>
        <w:tc>
          <w:tcPr>
            <w:tcW w:w="4540" w:type="dxa"/>
            <w:vAlign w:val="bottom"/>
          </w:tcPr>
          <w:p>
            <w:pPr>
              <w:spacing w:after="0"/>
              <w:rPr>
                <w:sz w:val="20"/>
                <w:szCs w:val="20"/>
                <w:color w:val="auto"/>
              </w:rPr>
            </w:pPr>
            <w:r>
              <w:rPr>
                <w:rFonts w:ascii="Arial" w:cs="Arial" w:eastAsia="Arial" w:hAnsi="Arial"/>
                <w:sz w:val="15"/>
                <w:szCs w:val="15"/>
                <w:color w:val="auto"/>
              </w:rPr>
              <w:t>Granted</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36.13</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45.44</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56.24</w:t>
            </w:r>
          </w:p>
        </w:tc>
        <w:tc>
          <w:tcPr>
            <w:tcW w:w="100" w:type="dxa"/>
            <w:vAlign w:val="bottom"/>
          </w:tcPr>
          <w:p>
            <w:pPr>
              <w:spacing w:after="0"/>
              <w:rPr>
                <w:sz w:val="15"/>
                <w:szCs w:val="15"/>
                <w:color w:val="auto"/>
              </w:rPr>
            </w:pPr>
          </w:p>
        </w:tc>
      </w:tr>
      <w:tr>
        <w:trPr>
          <w:trHeight w:val="178"/>
        </w:trPr>
        <w:tc>
          <w:tcPr>
            <w:tcW w:w="4540" w:type="dxa"/>
            <w:vAlign w:val="bottom"/>
            <w:shd w:val="clear" w:color="auto" w:fill="CFF0FC"/>
          </w:tcPr>
          <w:p>
            <w:pPr>
              <w:spacing w:after="0"/>
              <w:rPr>
                <w:sz w:val="20"/>
                <w:szCs w:val="20"/>
                <w:color w:val="auto"/>
              </w:rPr>
            </w:pPr>
            <w:r>
              <w:rPr>
                <w:rFonts w:ascii="Arial" w:cs="Arial" w:eastAsia="Arial" w:hAnsi="Arial"/>
                <w:sz w:val="15"/>
                <w:szCs w:val="15"/>
                <w:color w:val="auto"/>
              </w:rPr>
              <w:t>Assumed in ChampionX transaction</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25.81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r>
      <w:tr>
        <w:trPr>
          <w:trHeight w:val="178"/>
        </w:trPr>
        <w:tc>
          <w:tcPr>
            <w:tcW w:w="4540" w:type="dxa"/>
            <w:vAlign w:val="bottom"/>
          </w:tcPr>
          <w:p>
            <w:pPr>
              <w:spacing w:after="0"/>
              <w:rPr>
                <w:sz w:val="20"/>
                <w:szCs w:val="20"/>
                <w:color w:val="auto"/>
              </w:rPr>
            </w:pPr>
            <w:r>
              <w:rPr>
                <w:rFonts w:ascii="Arial" w:cs="Arial" w:eastAsia="Arial" w:hAnsi="Arial"/>
                <w:sz w:val="15"/>
                <w:szCs w:val="15"/>
                <w:color w:val="auto"/>
              </w:rPr>
              <w:t>Adjustments for performance achieved</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22.85</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32.47</w:t>
            </w:r>
          </w:p>
        </w:tc>
        <w:tc>
          <w:tcPr>
            <w:tcW w:w="100" w:type="dxa"/>
            <w:vAlign w:val="bottom"/>
          </w:tcPr>
          <w:p>
            <w:pPr>
              <w:spacing w:after="0"/>
              <w:rPr>
                <w:sz w:val="15"/>
                <w:szCs w:val="15"/>
                <w:color w:val="auto"/>
              </w:rPr>
            </w:pPr>
          </w:p>
        </w:tc>
      </w:tr>
      <w:tr>
        <w:trPr>
          <w:trHeight w:val="178"/>
        </w:trPr>
        <w:tc>
          <w:tcPr>
            <w:tcW w:w="4540" w:type="dxa"/>
            <w:vAlign w:val="bottom"/>
            <w:shd w:val="clear" w:color="auto" w:fill="CFF0FC"/>
          </w:tcPr>
          <w:p>
            <w:pPr>
              <w:spacing w:after="0"/>
              <w:rPr>
                <w:sz w:val="20"/>
                <w:szCs w:val="20"/>
                <w:color w:val="auto"/>
              </w:rPr>
            </w:pPr>
            <w:r>
              <w:rPr>
                <w:rFonts w:ascii="Arial" w:cs="Arial" w:eastAsia="Arial" w:hAnsi="Arial"/>
                <w:sz w:val="15"/>
                <w:szCs w:val="15"/>
                <w:color w:val="auto"/>
              </w:rPr>
              <w:t>Vested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b w:val="1"/>
                <w:bCs w:val="1"/>
                <w:color w:val="auto"/>
              </w:rPr>
              <w:t>(6)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42.42</w:t>
            </w:r>
          </w:p>
        </w:tc>
        <w:tc>
          <w:tcPr>
            <w:tcW w:w="14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5"/>
                <w:szCs w:val="15"/>
                <w:color w:val="auto"/>
              </w:rPr>
              <w:t>(8)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32.50</w:t>
            </w:r>
          </w:p>
        </w:tc>
        <w:tc>
          <w:tcPr>
            <w:tcW w:w="1380" w:type="dxa"/>
            <w:vAlign w:val="bottom"/>
            <w:gridSpan w:val="3"/>
            <w:shd w:val="clear" w:color="auto" w:fill="CFF0FC"/>
          </w:tcPr>
          <w:p>
            <w:pPr>
              <w:jc w:val="right"/>
              <w:ind w:right="16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29.82</w:t>
            </w:r>
          </w:p>
        </w:tc>
        <w:tc>
          <w:tcPr>
            <w:tcW w:w="100" w:type="dxa"/>
            <w:vAlign w:val="bottom"/>
            <w:shd w:val="clear" w:color="auto" w:fill="CFF0FC"/>
          </w:tcPr>
          <w:p>
            <w:pPr>
              <w:spacing w:after="0"/>
              <w:rPr>
                <w:sz w:val="15"/>
                <w:szCs w:val="15"/>
                <w:color w:val="auto"/>
              </w:rPr>
            </w:pPr>
          </w:p>
        </w:tc>
      </w:tr>
      <w:tr>
        <w:trPr>
          <w:trHeight w:val="178"/>
        </w:trPr>
        <w:tc>
          <w:tcPr>
            <w:tcW w:w="4540" w:type="dxa"/>
            <w:vAlign w:val="bottom"/>
          </w:tcPr>
          <w:p>
            <w:pPr>
              <w:spacing w:after="0"/>
              <w:rPr>
                <w:sz w:val="20"/>
                <w:szCs w:val="20"/>
                <w:color w:val="auto"/>
              </w:rPr>
            </w:pPr>
            <w:r>
              <w:rPr>
                <w:rFonts w:ascii="Arial" w:cs="Arial" w:eastAsia="Arial" w:hAnsi="Arial"/>
                <w:sz w:val="15"/>
                <w:szCs w:val="15"/>
                <w:color w:val="auto"/>
              </w:rPr>
              <w:t>Forfeited</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39.60</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160"/>
              <w:spacing w:after="0"/>
              <w:rPr>
                <w:sz w:val="20"/>
                <w:szCs w:val="20"/>
                <w:color w:val="auto"/>
              </w:rPr>
            </w:pP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27.71</w:t>
            </w:r>
          </w:p>
        </w:tc>
        <w:tc>
          <w:tcPr>
            <w:tcW w:w="100" w:type="dxa"/>
            <w:vAlign w:val="bottom"/>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540" w:type="dxa"/>
            <w:vAlign w:val="bottom"/>
            <w:shd w:val="clear" w:color="auto" w:fill="CFF0FC"/>
          </w:tcPr>
          <w:p>
            <w:pPr>
              <w:spacing w:after="0" w:line="158" w:lineRule="exact"/>
              <w:rPr>
                <w:sz w:val="20"/>
                <w:szCs w:val="20"/>
                <w:color w:val="auto"/>
              </w:rPr>
            </w:pPr>
            <w:r>
              <w:rPr>
                <w:rFonts w:ascii="Arial" w:cs="Arial" w:eastAsia="Arial" w:hAnsi="Arial"/>
                <w:sz w:val="15"/>
                <w:szCs w:val="15"/>
                <w:color w:val="auto"/>
              </w:rPr>
              <w:t>Unvested at year-end</w:t>
            </w: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b w:val="1"/>
                <w:bCs w:val="1"/>
                <w:color w:val="auto"/>
              </w:rPr>
              <w:t>14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b w:val="1"/>
                <w:bCs w:val="1"/>
                <w:color w:val="auto"/>
                <w:w w:val="95"/>
              </w:rPr>
              <w:t>$</w:t>
            </w:r>
          </w:p>
        </w:tc>
        <w:tc>
          <w:tcPr>
            <w:tcW w:w="74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b w:val="1"/>
                <w:bCs w:val="1"/>
                <w:color w:val="auto"/>
              </w:rPr>
              <w:t>41.47</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13</w:t>
            </w: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46.12</w:t>
            </w:r>
          </w:p>
        </w:tc>
        <w:tc>
          <w:tcPr>
            <w:tcW w:w="11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5"/>
                <w:szCs w:val="15"/>
                <w:color w:val="auto"/>
              </w:rPr>
              <w:t>14</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5"/>
                <w:szCs w:val="15"/>
                <w:color w:val="auto"/>
              </w:rPr>
              <w:t>39.88</w:t>
            </w:r>
          </w:p>
        </w:tc>
        <w:tc>
          <w:tcPr>
            <w:tcW w:w="100" w:type="dxa"/>
            <w:vAlign w:val="bottom"/>
            <w:shd w:val="clear" w:color="auto" w:fill="CFF0FC"/>
          </w:tcPr>
          <w:p>
            <w:pPr>
              <w:spacing w:after="0"/>
              <w:rPr>
                <w:sz w:val="16"/>
                <w:szCs w:val="16"/>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-23495</wp:posOffset>
            </wp:positionV>
            <wp:extent cx="723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-7620</wp:posOffset>
            </wp:positionV>
            <wp:extent cx="723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-23495</wp:posOffset>
            </wp:positionV>
            <wp:extent cx="723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-7620</wp:posOffset>
            </wp:positionV>
            <wp:extent cx="723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-23495</wp:posOffset>
            </wp:positionV>
            <wp:extent cx="723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-7620</wp:posOffset>
            </wp:positionV>
            <wp:extent cx="723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-23495</wp:posOffset>
            </wp:positionV>
            <wp:extent cx="723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-7620</wp:posOffset>
            </wp:positionV>
            <wp:extent cx="723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-23495</wp:posOffset>
            </wp:positionV>
            <wp:extent cx="647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-7620</wp:posOffset>
            </wp:positionV>
            <wp:extent cx="647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Discounted Stock Purchase Plan</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Under the terms of the DSPP, employees can choose to have a portion of their earnings withheld, subject to certain restrictions, to purchase SLB common stock. The purchase price of the stock is 85% of the lower of the stock price at the beginning or end of the plan period at six-month intervals.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fair value of the employees’ purchase rights under the DSPP was estimated using the Black-Scholes model with the following assumptions and resulting weighted-average fair value per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2025</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2024</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2023</w:t>
            </w:r>
          </w:p>
        </w:tc>
        <w:tc>
          <w:tcPr>
            <w:tcW w:w="140" w:type="dxa"/>
            <w:vAlign w:val="bottom"/>
          </w:tcPr>
          <w:p>
            <w:pPr>
              <w:spacing w:after="0"/>
              <w:rPr>
                <w:sz w:val="16"/>
                <w:szCs w:val="16"/>
                <w:color w:val="auto"/>
              </w:rPr>
            </w:pPr>
          </w:p>
        </w:tc>
      </w:tr>
      <w:tr>
        <w:trPr>
          <w:trHeight w:val="170"/>
        </w:trPr>
        <w:tc>
          <w:tcPr>
            <w:tcW w:w="45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Dividend yield</w:t>
            </w:r>
          </w:p>
        </w:tc>
        <w:tc>
          <w:tcPr>
            <w:tcW w:w="19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b w:val="1"/>
                <w:bCs w:val="1"/>
                <w:color w:val="auto"/>
              </w:rPr>
              <w:t>3.1%</w:t>
            </w:r>
          </w:p>
        </w:tc>
        <w:tc>
          <w:tcPr>
            <w:tcW w:w="9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2.1%</w:t>
            </w: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1.7%</w:t>
            </w:r>
          </w:p>
        </w:tc>
      </w:tr>
      <w:tr>
        <w:trPr>
          <w:trHeight w:val="178"/>
        </w:trPr>
        <w:tc>
          <w:tcPr>
            <w:tcW w:w="4540" w:type="dxa"/>
            <w:vAlign w:val="bottom"/>
          </w:tcPr>
          <w:p>
            <w:pPr>
              <w:spacing w:after="0"/>
              <w:rPr>
                <w:sz w:val="20"/>
                <w:szCs w:val="20"/>
                <w:color w:val="auto"/>
              </w:rPr>
            </w:pPr>
            <w:r>
              <w:rPr>
                <w:rFonts w:ascii="Arial" w:cs="Arial" w:eastAsia="Arial" w:hAnsi="Arial"/>
                <w:sz w:val="15"/>
                <w:szCs w:val="15"/>
                <w:color w:val="auto"/>
              </w:rPr>
              <w:t>Expected volatility</w:t>
            </w:r>
          </w:p>
        </w:tc>
        <w:tc>
          <w:tcPr>
            <w:tcW w:w="1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33%</w:t>
            </w:r>
          </w:p>
        </w:tc>
        <w:tc>
          <w:tcPr>
            <w:tcW w:w="9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31%</w:t>
            </w:r>
          </w:p>
        </w:tc>
        <w:tc>
          <w:tcPr>
            <w:tcW w:w="3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50%</w:t>
            </w:r>
          </w:p>
        </w:tc>
      </w:tr>
      <w:tr>
        <w:trPr>
          <w:trHeight w:val="178"/>
        </w:trPr>
        <w:tc>
          <w:tcPr>
            <w:tcW w:w="4540" w:type="dxa"/>
            <w:vAlign w:val="bottom"/>
            <w:shd w:val="clear" w:color="auto" w:fill="CFF0FC"/>
          </w:tcPr>
          <w:p>
            <w:pPr>
              <w:spacing w:after="0"/>
              <w:rPr>
                <w:sz w:val="20"/>
                <w:szCs w:val="20"/>
                <w:color w:val="auto"/>
              </w:rPr>
            </w:pPr>
            <w:r>
              <w:rPr>
                <w:rFonts w:ascii="Arial" w:cs="Arial" w:eastAsia="Arial" w:hAnsi="Arial"/>
                <w:sz w:val="15"/>
                <w:szCs w:val="15"/>
                <w:color w:val="auto"/>
              </w:rPr>
              <w:t>Risk-free interest rate</w:t>
            </w:r>
          </w:p>
        </w:tc>
        <w:tc>
          <w:tcPr>
            <w:tcW w:w="19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4.27%</w:t>
            </w:r>
          </w:p>
        </w:tc>
        <w:tc>
          <w:tcPr>
            <w:tcW w:w="9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5.31%</w:t>
            </w: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5.13%</w:t>
            </w:r>
          </w:p>
        </w:tc>
      </w:tr>
      <w:tr>
        <w:trPr>
          <w:trHeight w:val="208"/>
        </w:trPr>
        <w:tc>
          <w:tcPr>
            <w:tcW w:w="4540" w:type="dxa"/>
            <w:vAlign w:val="bottom"/>
          </w:tcPr>
          <w:p>
            <w:pPr>
              <w:spacing w:after="0"/>
              <w:rPr>
                <w:sz w:val="20"/>
                <w:szCs w:val="20"/>
                <w:color w:val="auto"/>
              </w:rPr>
            </w:pPr>
            <w:r>
              <w:rPr>
                <w:rFonts w:ascii="Arial" w:cs="Arial" w:eastAsia="Arial" w:hAnsi="Arial"/>
                <w:sz w:val="15"/>
                <w:szCs w:val="15"/>
                <w:color w:val="auto"/>
              </w:rPr>
              <w:t>Weighted-average fair value per share</w:t>
            </w:r>
          </w:p>
        </w:tc>
        <w:tc>
          <w:tcPr>
            <w:tcW w:w="2920" w:type="dxa"/>
            <w:vAlign w:val="bottom"/>
            <w:gridSpan w:val="2"/>
          </w:tcPr>
          <w:p>
            <w:pPr>
              <w:jc w:val="right"/>
              <w:ind w:right="804"/>
              <w:spacing w:after="0"/>
              <w:rPr>
                <w:sz w:val="20"/>
                <w:szCs w:val="20"/>
                <w:color w:val="auto"/>
              </w:rPr>
            </w:pPr>
            <w:r>
              <w:rPr>
                <w:rFonts w:ascii="Arial" w:cs="Arial" w:eastAsia="Arial" w:hAnsi="Arial"/>
                <w:sz w:val="15"/>
                <w:szCs w:val="15"/>
                <w:b w:val="1"/>
                <w:bCs w:val="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8.96</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12.02</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14.93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Options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Key employees may be granted stock options under SLB stock option plans. The exercise price equals the average of the high and low sales prices of SLB stock on the date of grant. The maximum term is 10 years, and the options generally vest in increments over five years.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stock option activity:</w:t>
      </w:r>
    </w:p>
    <w:p>
      <w:pPr>
        <w:spacing w:after="0" w:line="226" w:lineRule="exact"/>
        <w:rPr>
          <w:sz w:val="20"/>
          <w:szCs w:val="20"/>
          <w:color w:val="auto"/>
        </w:rPr>
      </w:pPr>
    </w:p>
    <w:p>
      <w:pPr>
        <w:ind w:left="9580"/>
        <w:spacing w:after="0"/>
        <w:rPr>
          <w:sz w:val="20"/>
          <w:szCs w:val="20"/>
          <w:color w:val="auto"/>
        </w:rPr>
      </w:pPr>
      <w:r>
        <w:rPr>
          <w:rFonts w:ascii="Arial" w:cs="Arial" w:eastAsia="Arial" w:hAnsi="Arial"/>
          <w:sz w:val="14"/>
          <w:szCs w:val="14"/>
          <w:i w:val="1"/>
          <w:iCs w:val="1"/>
          <w:color w:val="auto"/>
        </w:rPr>
        <w:t>(Shares stated in millions)</w:t>
      </w:r>
    </w:p>
    <w:p>
      <w:pPr>
        <w:sectPr>
          <w:pgSz w:w="11900" w:h="16838" w:orient="portrait"/>
          <w:cols w:equalWidth="0" w:num="1">
            <w:col w:w="11240"/>
          </w:cols>
          <w:pgMar w:left="320" w:top="1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Outstanding at beginning of year</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Exercised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Forfeited / expired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Assumed in ChampionX acquisition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Outstanding at year-end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8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gridSpan w:val="4"/>
          </w:tcPr>
          <w:p>
            <w:pPr>
              <w:jc w:val="right"/>
              <w:spacing w:after="0"/>
              <w:rPr>
                <w:sz w:val="20"/>
                <w:szCs w:val="20"/>
                <w:color w:val="auto"/>
              </w:rPr>
            </w:pPr>
            <w:r>
              <w:rPr>
                <w:rFonts w:ascii="Arial" w:cs="Arial" w:eastAsia="Arial" w:hAnsi="Arial"/>
                <w:sz w:val="15"/>
                <w:szCs w:val="15"/>
                <w:color w:val="auto"/>
              </w:rPr>
              <w:t>2023</w:t>
            </w:r>
          </w:p>
        </w:tc>
        <w:tc>
          <w:tcPr>
            <w:tcW w:w="800" w:type="dxa"/>
            <w:vAlign w:val="bottom"/>
          </w:tcPr>
          <w:p>
            <w:pPr>
              <w:spacing w:after="0"/>
              <w:rPr>
                <w:sz w:val="16"/>
                <w:szCs w:val="16"/>
                <w:color w:val="auto"/>
              </w:rPr>
            </w:pPr>
          </w:p>
        </w:tc>
      </w:tr>
      <w:tr>
        <w:trPr>
          <w:trHeight w:val="158"/>
        </w:trPr>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center"/>
              <w:spacing w:after="0" w:line="159" w:lineRule="exact"/>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center"/>
              <w:spacing w:after="0" w:line="159" w:lineRule="exact"/>
              <w:rPr>
                <w:sz w:val="20"/>
                <w:szCs w:val="20"/>
                <w:color w:val="auto"/>
              </w:rPr>
            </w:pPr>
            <w:r>
              <w:rPr>
                <w:rFonts w:ascii="Arial" w:cs="Arial" w:eastAsia="Arial" w:hAnsi="Arial"/>
                <w:sz w:val="15"/>
                <w:szCs w:val="15"/>
                <w:color w:val="auto"/>
              </w:rPr>
              <w:t>Weighted-</w:t>
            </w:r>
          </w:p>
        </w:tc>
        <w:tc>
          <w:tcPr>
            <w:tcW w:w="2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24"/>
              <w:spacing w:after="0" w:line="159" w:lineRule="exact"/>
              <w:rPr>
                <w:sz w:val="20"/>
                <w:szCs w:val="20"/>
                <w:color w:val="auto"/>
              </w:rPr>
            </w:pPr>
            <w:r>
              <w:rPr>
                <w:rFonts w:ascii="Arial" w:cs="Arial" w:eastAsia="Arial" w:hAnsi="Arial"/>
                <w:sz w:val="15"/>
                <w:szCs w:val="15"/>
                <w:color w:val="auto"/>
              </w:rPr>
              <w:t>Weighted-</w:t>
            </w:r>
          </w:p>
        </w:tc>
      </w:tr>
      <w:tr>
        <w:trPr>
          <w:trHeight w:val="178"/>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4"/>
              <w:spacing w:after="0"/>
              <w:rPr>
                <w:sz w:val="20"/>
                <w:szCs w:val="20"/>
                <w:color w:val="auto"/>
              </w:rPr>
            </w:pPr>
            <w:r>
              <w:rPr>
                <w:rFonts w:ascii="Arial" w:cs="Arial" w:eastAsia="Arial" w:hAnsi="Arial"/>
                <w:sz w:val="15"/>
                <w:szCs w:val="15"/>
                <w:color w:val="auto"/>
              </w:rPr>
              <w:t>Average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4"/>
              <w:spacing w:after="0"/>
              <w:rPr>
                <w:sz w:val="20"/>
                <w:szCs w:val="20"/>
                <w:color w:val="auto"/>
              </w:rPr>
            </w:pPr>
            <w:r>
              <w:rPr>
                <w:rFonts w:ascii="Arial" w:cs="Arial" w:eastAsia="Arial" w:hAnsi="Arial"/>
                <w:sz w:val="15"/>
                <w:szCs w:val="15"/>
                <w:color w:val="auto"/>
              </w:rPr>
              <w:t>Average</w:t>
            </w:r>
          </w:p>
        </w:tc>
      </w:tr>
      <w:tr>
        <w:trPr>
          <w:trHeight w:val="178"/>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4"/>
              <w:spacing w:after="0"/>
              <w:rPr>
                <w:sz w:val="20"/>
                <w:szCs w:val="20"/>
                <w:color w:val="auto"/>
              </w:rPr>
            </w:pPr>
            <w:r>
              <w:rPr>
                <w:rFonts w:ascii="Arial" w:cs="Arial" w:eastAsia="Arial" w:hAnsi="Arial"/>
                <w:sz w:val="15"/>
                <w:szCs w:val="15"/>
                <w:b w:val="1"/>
                <w:bCs w:val="1"/>
                <w:color w:val="auto"/>
              </w:rPr>
              <w:t>Exercise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64"/>
              <w:spacing w:after="0"/>
              <w:rPr>
                <w:sz w:val="20"/>
                <w:szCs w:val="20"/>
                <w:color w:val="auto"/>
              </w:rPr>
            </w:pPr>
            <w:r>
              <w:rPr>
                <w:rFonts w:ascii="Arial" w:cs="Arial" w:eastAsia="Arial" w:hAnsi="Arial"/>
                <w:sz w:val="15"/>
                <w:szCs w:val="15"/>
                <w:color w:val="auto"/>
              </w:rPr>
              <w:t>Exercise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4"/>
              <w:spacing w:after="0"/>
              <w:rPr>
                <w:sz w:val="20"/>
                <w:szCs w:val="20"/>
                <w:color w:val="auto"/>
              </w:rPr>
            </w:pPr>
            <w:r>
              <w:rPr>
                <w:rFonts w:ascii="Arial" w:cs="Arial" w:eastAsia="Arial" w:hAnsi="Arial"/>
                <w:sz w:val="15"/>
                <w:szCs w:val="15"/>
                <w:color w:val="auto"/>
              </w:rPr>
              <w:t>Exercise</w:t>
            </w:r>
          </w:p>
        </w:tc>
      </w:tr>
      <w:tr>
        <w:trPr>
          <w:trHeight w:val="190"/>
        </w:trPr>
        <w:tc>
          <w:tcPr>
            <w:tcW w:w="11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6"/>
                <w:szCs w:val="16"/>
                <w:color w:val="auto"/>
              </w:rPr>
            </w:pPr>
          </w:p>
        </w:tc>
        <w:tc>
          <w:tcPr>
            <w:tcW w:w="760" w:type="dxa"/>
            <w:vAlign w:val="bottom"/>
          </w:tcPr>
          <w:p>
            <w:pPr>
              <w:jc w:val="center"/>
              <w:ind w:right="24"/>
              <w:spacing w:after="0"/>
              <w:rPr>
                <w:sz w:val="20"/>
                <w:szCs w:val="20"/>
                <w:color w:val="auto"/>
              </w:rPr>
            </w:pPr>
            <w:r>
              <w:rPr>
                <w:rFonts w:ascii="Arial" w:cs="Arial" w:eastAsia="Arial" w:hAnsi="Arial"/>
                <w:sz w:val="15"/>
                <w:szCs w:val="15"/>
                <w:b w:val="1"/>
                <w:bCs w:val="1"/>
                <w:color w:val="auto"/>
              </w:rPr>
              <w:t>Price</w:t>
            </w:r>
          </w:p>
        </w:tc>
        <w:tc>
          <w:tcPr>
            <w:tcW w:w="240" w:type="dxa"/>
            <w:vAlign w:val="bottom"/>
          </w:tcPr>
          <w:p>
            <w:pPr>
              <w:spacing w:after="0"/>
              <w:rPr>
                <w:sz w:val="16"/>
                <w:szCs w:val="16"/>
                <w:color w:val="auto"/>
              </w:rPr>
            </w:pPr>
          </w:p>
        </w:tc>
        <w:tc>
          <w:tcPr>
            <w:tcW w:w="740" w:type="dxa"/>
            <w:vAlign w:val="bottom"/>
          </w:tcPr>
          <w:p>
            <w:pPr>
              <w:ind w:left="240"/>
              <w:spacing w:after="0"/>
              <w:rPr>
                <w:sz w:val="20"/>
                <w:szCs w:val="20"/>
                <w:color w:val="auto"/>
              </w:rPr>
            </w:pPr>
            <w:r>
              <w:rPr>
                <w:rFonts w:ascii="Arial" w:cs="Arial" w:eastAsia="Arial" w:hAnsi="Arial"/>
                <w:sz w:val="15"/>
                <w:szCs w:val="15"/>
                <w:color w:val="auto"/>
              </w:rPr>
              <w:t>Shares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64"/>
              <w:spacing w:after="0"/>
              <w:rPr>
                <w:sz w:val="20"/>
                <w:szCs w:val="20"/>
                <w:color w:val="auto"/>
              </w:rPr>
            </w:pPr>
            <w:r>
              <w:rPr>
                <w:rFonts w:ascii="Arial" w:cs="Arial" w:eastAsia="Arial" w:hAnsi="Arial"/>
                <w:sz w:val="15"/>
                <w:szCs w:val="15"/>
                <w:color w:val="auto"/>
                <w:w w:val="99"/>
              </w:rPr>
              <w:t>Price</w:t>
            </w:r>
          </w:p>
        </w:tc>
        <w:tc>
          <w:tcPr>
            <w:tcW w:w="22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Shares</w:t>
            </w:r>
          </w:p>
        </w:tc>
        <w:tc>
          <w:tcPr>
            <w:tcW w:w="80" w:type="dxa"/>
            <w:vAlign w:val="bottom"/>
          </w:tcPr>
          <w:p>
            <w:pPr>
              <w:spacing w:after="0"/>
              <w:rPr>
                <w:sz w:val="16"/>
                <w:szCs w:val="16"/>
                <w:color w:val="auto"/>
              </w:rPr>
            </w:pPr>
          </w:p>
        </w:tc>
        <w:tc>
          <w:tcPr>
            <w:tcW w:w="800" w:type="dxa"/>
            <w:vAlign w:val="bottom"/>
          </w:tcPr>
          <w:p>
            <w:pPr>
              <w:jc w:val="center"/>
              <w:ind w:right="24"/>
              <w:spacing w:after="0"/>
              <w:rPr>
                <w:sz w:val="20"/>
                <w:szCs w:val="20"/>
                <w:color w:val="auto"/>
              </w:rPr>
            </w:pPr>
            <w:r>
              <w:rPr>
                <w:rFonts w:ascii="Arial" w:cs="Arial" w:eastAsia="Arial" w:hAnsi="Arial"/>
                <w:sz w:val="15"/>
                <w:szCs w:val="15"/>
                <w:color w:val="auto"/>
                <w:w w:val="99"/>
              </w:rPr>
              <w:t>Price</w:t>
            </w:r>
          </w:p>
        </w:tc>
      </w:tr>
      <w:tr>
        <w:trPr>
          <w:trHeight w:val="158"/>
        </w:trPr>
        <w:tc>
          <w:tcPr>
            <w:tcW w:w="9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rPr>
              <w:t>22</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auto"/>
              </w:rPr>
              <w:t>69.20</w:t>
            </w:r>
          </w:p>
        </w:tc>
        <w:tc>
          <w:tcPr>
            <w:tcW w:w="2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28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72.33</w:t>
            </w:r>
          </w:p>
        </w:tc>
        <w:tc>
          <w:tcPr>
            <w:tcW w:w="220" w:type="dxa"/>
            <w:vAlign w:val="bottom"/>
          </w:tcPr>
          <w:p>
            <w:pPr>
              <w:spacing w:after="0"/>
              <w:rPr>
                <w:sz w:val="13"/>
                <w:szCs w:val="13"/>
                <w:color w:val="auto"/>
              </w:rPr>
            </w:pPr>
          </w:p>
        </w:tc>
        <w:tc>
          <w:tcPr>
            <w:tcW w:w="9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35</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5"/>
                <w:szCs w:val="15"/>
                <w:color w:val="auto"/>
              </w:rPr>
              <w:t>70.31</w:t>
            </w:r>
          </w:p>
        </w:tc>
      </w:tr>
      <w:tr>
        <w:trPr>
          <w:trHeight w:val="178"/>
        </w:trPr>
        <w:tc>
          <w:tcPr>
            <w:tcW w:w="11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38.95</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39.91</w:t>
            </w:r>
          </w:p>
        </w:tc>
        <w:tc>
          <w:tcPr>
            <w:tcW w:w="1380" w:type="dxa"/>
            <w:vAlign w:val="bottom"/>
            <w:gridSpan w:val="3"/>
          </w:tcPr>
          <w:p>
            <w:pPr>
              <w:jc w:val="right"/>
              <w:ind w:right="160"/>
              <w:spacing w:after="0"/>
              <w:rPr>
                <w:sz w:val="20"/>
                <w:szCs w:val="20"/>
                <w:color w:val="auto"/>
              </w:rPr>
            </w:pPr>
            <w:r>
              <w:rPr>
                <w:rFonts w:ascii="Arial" w:cs="Arial" w:eastAsia="Arial" w:hAnsi="Arial"/>
                <w:sz w:val="15"/>
                <w:szCs w:val="15"/>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40.02</w:t>
            </w:r>
          </w:p>
        </w:tc>
      </w:tr>
      <w:tr>
        <w:trPr>
          <w:trHeight w:val="178"/>
        </w:trPr>
        <w:tc>
          <w:tcPr>
            <w:tcW w:w="11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84.21</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91.55</w:t>
            </w:r>
          </w:p>
        </w:tc>
        <w:tc>
          <w:tcPr>
            <w:tcW w:w="1380" w:type="dxa"/>
            <w:vAlign w:val="bottom"/>
            <w:gridSpan w:val="3"/>
          </w:tcPr>
          <w:p>
            <w:pPr>
              <w:jc w:val="right"/>
              <w:ind w:right="160"/>
              <w:spacing w:after="0"/>
              <w:rPr>
                <w:sz w:val="20"/>
                <w:szCs w:val="20"/>
                <w:color w:val="auto"/>
              </w:rPr>
            </w:pPr>
            <w:r>
              <w:rPr>
                <w:rFonts w:ascii="Arial" w:cs="Arial" w:eastAsia="Arial" w:hAnsi="Arial"/>
                <w:sz w:val="15"/>
                <w:szCs w:val="15"/>
                <w:color w:val="auto"/>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73.18</w:t>
            </w:r>
          </w:p>
        </w:tc>
      </w:tr>
      <w:tr>
        <w:trPr>
          <w:trHeight w:val="190"/>
        </w:trPr>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9.11</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0"/>
        </w:trPr>
        <w:tc>
          <w:tcPr>
            <w:tcW w:w="9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17</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62.06</w:t>
            </w:r>
          </w:p>
        </w:tc>
        <w:tc>
          <w:tcPr>
            <w:tcW w:w="240" w:type="dxa"/>
            <w:vAlign w:val="bottom"/>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69.20</w:t>
            </w:r>
          </w:p>
        </w:tc>
        <w:tc>
          <w:tcPr>
            <w:tcW w:w="2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28</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72.33</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-595630</wp:posOffset>
            </wp:positionV>
            <wp:extent cx="7140575" cy="1130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0575" cy="113030"/>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-370205</wp:posOffset>
            </wp:positionV>
            <wp:extent cx="7140575" cy="1130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0575" cy="113030"/>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-136525</wp:posOffset>
            </wp:positionV>
            <wp:extent cx="7140575"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05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117" w:right="339" w:bottom="144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457200</wp:posOffset>
            </wp:positionV>
            <wp:extent cx="7165975"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5"/>
          <w:szCs w:val="15"/>
          <w:color w:val="auto"/>
        </w:rPr>
        <w:t>The following table summarizes information related to options outstanding as of December 31, 2025, all of which are exercisable: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5"/>
              </w:rPr>
              <w:t>(Shares stated in millions)</w:t>
            </w:r>
          </w:p>
        </w:tc>
      </w:tr>
      <w:tr>
        <w:trPr>
          <w:trHeight w:val="339"/>
        </w:trPr>
        <w:tc>
          <w:tcPr>
            <w:tcW w:w="14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24"/>
              <w:spacing w:after="0"/>
              <w:rPr>
                <w:sz w:val="20"/>
                <w:szCs w:val="20"/>
                <w:color w:val="auto"/>
              </w:rPr>
            </w:pPr>
            <w:r>
              <w:rPr>
                <w:rFonts w:ascii="Arial" w:cs="Arial" w:eastAsia="Arial" w:hAnsi="Arial"/>
                <w:sz w:val="15"/>
                <w:szCs w:val="15"/>
                <w:color w:val="auto"/>
              </w:rPr>
              <w:t>Weighted-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14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24"/>
              <w:spacing w:after="0"/>
              <w:rPr>
                <w:sz w:val="20"/>
                <w:szCs w:val="20"/>
                <w:color w:val="auto"/>
              </w:rPr>
            </w:pPr>
            <w:r>
              <w:rPr>
                <w:rFonts w:ascii="Arial" w:cs="Arial" w:eastAsia="Arial" w:hAnsi="Arial"/>
                <w:sz w:val="15"/>
                <w:szCs w:val="15"/>
                <w:color w:val="auto"/>
              </w:rPr>
              <w:t>Average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5"/>
                <w:szCs w:val="15"/>
                <w:color w:val="auto"/>
              </w:rPr>
              <w:t>Weighted-</w:t>
            </w:r>
          </w:p>
        </w:tc>
      </w:tr>
      <w:tr>
        <w:trPr>
          <w:trHeight w:val="178"/>
        </w:trPr>
        <w:tc>
          <w:tcPr>
            <w:tcW w:w="14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24"/>
              <w:spacing w:after="0"/>
              <w:rPr>
                <w:sz w:val="20"/>
                <w:szCs w:val="20"/>
                <w:color w:val="auto"/>
              </w:rPr>
            </w:pPr>
            <w:r>
              <w:rPr>
                <w:rFonts w:ascii="Arial" w:cs="Arial" w:eastAsia="Arial" w:hAnsi="Arial"/>
                <w:sz w:val="15"/>
                <w:szCs w:val="15"/>
                <w:color w:val="auto"/>
              </w:rPr>
              <w:t>Options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24"/>
              <w:spacing w:after="0"/>
              <w:rPr>
                <w:sz w:val="20"/>
                <w:szCs w:val="20"/>
                <w:color w:val="auto"/>
              </w:rPr>
            </w:pPr>
            <w:r>
              <w:rPr>
                <w:rFonts w:ascii="Arial" w:cs="Arial" w:eastAsia="Arial" w:hAnsi="Arial"/>
                <w:sz w:val="15"/>
                <w:szCs w:val="15"/>
                <w:color w:val="auto"/>
              </w:rPr>
              <w:t>Remaining Life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5"/>
                <w:szCs w:val="15"/>
                <w:color w:val="auto"/>
              </w:rPr>
              <w:t>Average</w:t>
            </w:r>
          </w:p>
        </w:tc>
      </w:tr>
      <w:tr>
        <w:trPr>
          <w:trHeight w:val="183"/>
        </w:trPr>
        <w:tc>
          <w:tcPr>
            <w:tcW w:w="6560" w:type="dxa"/>
            <w:vAlign w:val="bottom"/>
            <w:gridSpan w:val="2"/>
          </w:tcPr>
          <w:p>
            <w:pPr>
              <w:spacing w:after="0"/>
              <w:rPr>
                <w:sz w:val="20"/>
                <w:szCs w:val="20"/>
                <w:color w:val="auto"/>
              </w:rPr>
            </w:pPr>
            <w:r>
              <w:rPr>
                <w:rFonts w:ascii="Arial" w:cs="Arial" w:eastAsia="Arial" w:hAnsi="Arial"/>
                <w:sz w:val="15"/>
                <w:szCs w:val="15"/>
                <w:color w:val="auto"/>
              </w:rPr>
              <w:t>Exercise prices range</w:t>
            </w:r>
          </w:p>
        </w:tc>
        <w:tc>
          <w:tcPr>
            <w:tcW w:w="180" w:type="dxa"/>
            <w:vAlign w:val="bottom"/>
          </w:tcPr>
          <w:p>
            <w:pPr>
              <w:spacing w:after="0"/>
              <w:rPr>
                <w:sz w:val="15"/>
                <w:szCs w:val="15"/>
                <w:color w:val="auto"/>
              </w:rPr>
            </w:pPr>
          </w:p>
        </w:tc>
        <w:tc>
          <w:tcPr>
            <w:tcW w:w="1200" w:type="dxa"/>
            <w:vAlign w:val="bottom"/>
          </w:tcPr>
          <w:p>
            <w:pPr>
              <w:jc w:val="center"/>
              <w:ind w:right="144"/>
              <w:spacing w:after="0"/>
              <w:rPr>
                <w:sz w:val="20"/>
                <w:szCs w:val="20"/>
                <w:color w:val="auto"/>
              </w:rPr>
            </w:pPr>
            <w:r>
              <w:rPr>
                <w:rFonts w:ascii="Arial" w:cs="Arial" w:eastAsia="Arial" w:hAnsi="Arial"/>
                <w:sz w:val="15"/>
                <w:szCs w:val="15"/>
                <w:color w:val="auto"/>
              </w:rPr>
              <w:t>Outstanding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24"/>
              <w:spacing w:after="0"/>
              <w:rPr>
                <w:sz w:val="20"/>
                <w:szCs w:val="20"/>
                <w:color w:val="auto"/>
              </w:rPr>
            </w:pPr>
            <w:r>
              <w:rPr>
                <w:rFonts w:ascii="Arial" w:cs="Arial" w:eastAsia="Arial" w:hAnsi="Arial"/>
                <w:sz w:val="15"/>
                <w:szCs w:val="15"/>
                <w:color w:val="auto"/>
                <w:w w:val="99"/>
              </w:rPr>
              <w:t>(in years)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5"/>
                <w:szCs w:val="15"/>
                <w:color w:val="auto"/>
              </w:rPr>
              <w:t>Exercise Price</w:t>
            </w:r>
          </w:p>
        </w:tc>
      </w:tr>
      <w:tr>
        <w:trPr>
          <w:trHeight w:val="178"/>
        </w:trPr>
        <w:tc>
          <w:tcPr>
            <w:tcW w:w="1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rPr>
              <w:t>$7.62 - $10.26</w:t>
            </w:r>
          </w:p>
        </w:tc>
        <w:tc>
          <w:tcPr>
            <w:tcW w:w="5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right w:val="single" w:sz="8" w:color="CFF0FC"/>
            </w:tcBorders>
            <w:shd w:val="clear" w:color="auto" w:fill="CFF0FC"/>
          </w:tcPr>
          <w:p>
            <w:pPr>
              <w:ind w:left="1000"/>
              <w:spacing w:after="0"/>
              <w:rPr>
                <w:sz w:val="20"/>
                <w:szCs w:val="20"/>
                <w:color w:val="auto"/>
              </w:rPr>
            </w:pPr>
            <w:r>
              <w:rPr>
                <w:rFonts w:ascii="Arial" w:cs="Arial" w:eastAsia="Arial" w:hAnsi="Arial"/>
                <w:sz w:val="15"/>
                <w:szCs w:val="15"/>
                <w:color w:val="auto"/>
              </w:rPr>
              <w:t>1.6</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FF0FC"/>
          </w:tcPr>
          <w:p>
            <w:pPr>
              <w:spacing w:after="0"/>
              <w:rPr>
                <w:sz w:val="15"/>
                <w:szCs w:val="15"/>
                <w:color w:val="auto"/>
              </w:rPr>
            </w:pPr>
          </w:p>
        </w:tc>
      </w:tr>
      <w:tr>
        <w:trPr>
          <w:trHeight w:val="178"/>
        </w:trPr>
        <w:tc>
          <w:tcPr>
            <w:tcW w:w="1460" w:type="dxa"/>
            <w:vAlign w:val="bottom"/>
          </w:tcPr>
          <w:p>
            <w:pPr>
              <w:spacing w:after="0"/>
              <w:rPr>
                <w:sz w:val="20"/>
                <w:szCs w:val="20"/>
                <w:color w:val="auto"/>
              </w:rPr>
            </w:pPr>
            <w:r>
              <w:rPr>
                <w:rFonts w:ascii="Arial" w:cs="Arial" w:eastAsia="Arial" w:hAnsi="Arial"/>
                <w:sz w:val="15"/>
                <w:szCs w:val="15"/>
                <w:color w:val="auto"/>
              </w:rPr>
              <w:t>$38.75 - $47.55</w:t>
            </w: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ind w:left="1000"/>
              <w:spacing w:after="0"/>
              <w:rPr>
                <w:sz w:val="20"/>
                <w:szCs w:val="20"/>
                <w:color w:val="auto"/>
              </w:rPr>
            </w:pPr>
            <w:r>
              <w:rPr>
                <w:rFonts w:ascii="Arial" w:cs="Arial" w:eastAsia="Arial" w:hAnsi="Arial"/>
                <w:sz w:val="15"/>
                <w:szCs w:val="15"/>
                <w:color w:val="auto"/>
              </w:rPr>
              <w:t>3.6</w:t>
            </w:r>
          </w:p>
        </w:tc>
        <w:tc>
          <w:tcPr>
            <w:tcW w:w="38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39.81</w:t>
            </w:r>
          </w:p>
        </w:tc>
        <w:tc>
          <w:tcPr>
            <w:tcW w:w="100" w:type="dxa"/>
            <w:vAlign w:val="bottom"/>
          </w:tcPr>
          <w:p>
            <w:pPr>
              <w:spacing w:after="0"/>
              <w:rPr>
                <w:sz w:val="15"/>
                <w:szCs w:val="15"/>
                <w:color w:val="auto"/>
              </w:rPr>
            </w:pPr>
          </w:p>
        </w:tc>
      </w:tr>
      <w:tr>
        <w:trPr>
          <w:trHeight w:val="178"/>
        </w:trPr>
        <w:tc>
          <w:tcPr>
            <w:tcW w:w="1460" w:type="dxa"/>
            <w:vAlign w:val="bottom"/>
            <w:shd w:val="clear" w:color="auto" w:fill="CFF0FC"/>
          </w:tcPr>
          <w:p>
            <w:pPr>
              <w:spacing w:after="0"/>
              <w:rPr>
                <w:sz w:val="20"/>
                <w:szCs w:val="20"/>
                <w:color w:val="auto"/>
              </w:rPr>
            </w:pPr>
            <w:r>
              <w:rPr>
                <w:rFonts w:ascii="Arial" w:cs="Arial" w:eastAsia="Arial" w:hAnsi="Arial"/>
                <w:sz w:val="15"/>
                <w:szCs w:val="15"/>
                <w:color w:val="auto"/>
              </w:rPr>
              <w:t>$61.92 - $79.85</w:t>
            </w:r>
          </w:p>
        </w:tc>
        <w:tc>
          <w:tcPr>
            <w:tcW w:w="5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shd w:val="clear" w:color="auto" w:fill="CFF0FC"/>
          </w:tcPr>
          <w:p>
            <w:pPr>
              <w:ind w:left="1000"/>
              <w:spacing w:after="0"/>
              <w:rPr>
                <w:sz w:val="20"/>
                <w:szCs w:val="20"/>
                <w:color w:val="auto"/>
              </w:rPr>
            </w:pPr>
            <w:r>
              <w:rPr>
                <w:rFonts w:ascii="Arial" w:cs="Arial" w:eastAsia="Arial" w:hAnsi="Arial"/>
                <w:sz w:val="15"/>
                <w:szCs w:val="15"/>
                <w:color w:val="auto"/>
              </w:rPr>
              <w:t>1.0</w:t>
            </w:r>
          </w:p>
        </w:tc>
        <w:tc>
          <w:tcPr>
            <w:tcW w:w="380" w:type="dxa"/>
            <w:vAlign w:val="bottom"/>
            <w:gridSpan w:val="2"/>
            <w:shd w:val="clear" w:color="auto" w:fill="CFF0FC"/>
          </w:tcPr>
          <w:p>
            <w:pPr>
              <w:jc w:val="right"/>
              <w:ind w:right="11"/>
              <w:spacing w:after="0"/>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70.23</w:t>
            </w:r>
          </w:p>
        </w:tc>
        <w:tc>
          <w:tcPr>
            <w:tcW w:w="100" w:type="dxa"/>
            <w:vAlign w:val="bottom"/>
            <w:shd w:val="clear" w:color="auto" w:fill="CFF0FC"/>
          </w:tcPr>
          <w:p>
            <w:pPr>
              <w:spacing w:after="0"/>
              <w:rPr>
                <w:sz w:val="15"/>
                <w:szCs w:val="15"/>
                <w:color w:val="auto"/>
              </w:rPr>
            </w:pPr>
          </w:p>
        </w:tc>
      </w:tr>
      <w:tr>
        <w:trPr>
          <w:trHeight w:val="178"/>
        </w:trPr>
        <w:tc>
          <w:tcPr>
            <w:tcW w:w="1460" w:type="dxa"/>
            <w:vAlign w:val="bottom"/>
          </w:tcPr>
          <w:p>
            <w:pPr>
              <w:spacing w:after="0"/>
              <w:rPr>
                <w:sz w:val="20"/>
                <w:szCs w:val="20"/>
                <w:color w:val="auto"/>
              </w:rPr>
            </w:pPr>
            <w:r>
              <w:rPr>
                <w:rFonts w:ascii="Arial" w:cs="Arial" w:eastAsia="Arial" w:hAnsi="Arial"/>
                <w:sz w:val="15"/>
                <w:szCs w:val="15"/>
                <w:color w:val="auto"/>
              </w:rPr>
              <w:t>$80.52 - $87.38</w:t>
            </w:r>
          </w:p>
        </w:tc>
        <w:tc>
          <w:tcPr>
            <w:tcW w:w="5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5"/>
                <w:szCs w:val="15"/>
                <w:color w:val="auto"/>
              </w:rPr>
              <w:t>0.7</w:t>
            </w:r>
          </w:p>
        </w:tc>
        <w:tc>
          <w:tcPr>
            <w:tcW w:w="260" w:type="dxa"/>
            <w:vAlign w:val="bottom"/>
          </w:tcPr>
          <w:p>
            <w:pPr>
              <w:spacing w:after="0"/>
              <w:rPr>
                <w:sz w:val="15"/>
                <w:szCs w:val="15"/>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83.92</w:t>
            </w:r>
          </w:p>
        </w:tc>
        <w:tc>
          <w:tcPr>
            <w:tcW w:w="100" w:type="dxa"/>
            <w:vAlign w:val="bottom"/>
          </w:tcPr>
          <w:p>
            <w:pPr>
              <w:spacing w:after="0"/>
              <w:rPr>
                <w:sz w:val="15"/>
                <w:szCs w:val="15"/>
                <w:color w:val="auto"/>
              </w:rPr>
            </w:pPr>
          </w:p>
        </w:tc>
      </w:tr>
      <w:tr>
        <w:trPr>
          <w:trHeight w:val="210"/>
        </w:trPr>
        <w:tc>
          <w:tcPr>
            <w:tcW w:w="1460" w:type="dxa"/>
            <w:vAlign w:val="bottom"/>
            <w:shd w:val="clear" w:color="auto" w:fill="CFF0FC"/>
          </w:tcPr>
          <w:p>
            <w:pPr>
              <w:spacing w:after="0"/>
              <w:rPr>
                <w:sz w:val="18"/>
                <w:szCs w:val="18"/>
                <w:color w:val="auto"/>
              </w:rPr>
            </w:pPr>
          </w:p>
        </w:tc>
        <w:tc>
          <w:tcPr>
            <w:tcW w:w="5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ind w:left="1000"/>
              <w:spacing w:after="0" w:line="171" w:lineRule="exact"/>
              <w:rPr>
                <w:sz w:val="20"/>
                <w:szCs w:val="20"/>
                <w:color w:val="auto"/>
              </w:rPr>
            </w:pPr>
            <w:r>
              <w:rPr>
                <w:rFonts w:ascii="Arial" w:cs="Arial" w:eastAsia="Arial" w:hAnsi="Arial"/>
                <w:sz w:val="15"/>
                <w:szCs w:val="15"/>
                <w:color w:val="auto"/>
              </w:rPr>
              <w:t>1.9</w:t>
            </w:r>
          </w:p>
        </w:tc>
        <w:tc>
          <w:tcPr>
            <w:tcW w:w="380" w:type="dxa"/>
            <w:vAlign w:val="bottom"/>
            <w:gridSpan w:val="2"/>
            <w:shd w:val="clear" w:color="auto" w:fill="CFF0FC"/>
          </w:tcPr>
          <w:p>
            <w:pPr>
              <w:jc w:val="right"/>
              <w:ind w:right="11"/>
              <w:spacing w:after="0" w:line="171"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62.06</w:t>
            </w:r>
          </w:p>
        </w:tc>
        <w:tc>
          <w:tcPr>
            <w:tcW w:w="100" w:type="dxa"/>
            <w:vAlign w:val="bottom"/>
            <w:shd w:val="clear" w:color="auto" w:fill="CFF0FC"/>
          </w:tcPr>
          <w:p>
            <w:pPr>
              <w:spacing w:after="0"/>
              <w:rPr>
                <w:sz w:val="18"/>
                <w:szCs w:val="18"/>
                <w:color w:val="auto"/>
              </w:rPr>
            </w:pPr>
          </w:p>
        </w:tc>
      </w:tr>
      <w:tr>
        <w:trPr>
          <w:trHeight w:val="343"/>
        </w:trPr>
        <w:tc>
          <w:tcPr>
            <w:tcW w:w="6560" w:type="dxa"/>
            <w:vAlign w:val="bottom"/>
            <w:tcBorders>
              <w:top w:val="single" w:sz="8" w:color="CFF0FC"/>
            </w:tcBorders>
            <w:gridSpan w:val="2"/>
          </w:tcPr>
          <w:p>
            <w:pPr>
              <w:spacing w:after="0"/>
              <w:rPr>
                <w:sz w:val="20"/>
                <w:szCs w:val="20"/>
                <w:color w:val="auto"/>
              </w:rPr>
            </w:pPr>
            <w:r>
              <w:rPr>
                <w:rFonts w:ascii="Arial" w:cs="Arial" w:eastAsia="Arial" w:hAnsi="Arial"/>
                <w:sz w:val="15"/>
                <w:szCs w:val="15"/>
                <w:color w:val="auto"/>
              </w:rPr>
              <w:t>Stock options outstanding as of December 31, 2025 had an intrinsic value of $22 million.</w:t>
            </w: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81"/>
        </w:trPr>
        <w:tc>
          <w:tcPr>
            <w:tcW w:w="6560" w:type="dxa"/>
            <w:vAlign w:val="bottom"/>
            <w:gridSpan w:val="2"/>
          </w:tcPr>
          <w:p>
            <w:pPr>
              <w:spacing w:after="0"/>
              <w:rPr>
                <w:sz w:val="20"/>
                <w:szCs w:val="20"/>
                <w:color w:val="auto"/>
              </w:rPr>
            </w:pPr>
            <w:r>
              <w:rPr>
                <w:rFonts w:ascii="Arial" w:cs="Arial" w:eastAsia="Arial" w:hAnsi="Arial"/>
                <w:sz w:val="15"/>
                <w:szCs w:val="15"/>
                <w:i w:val="1"/>
                <w:iCs w:val="1"/>
                <w:color w:val="auto"/>
              </w:rPr>
              <w:t>Total Stock-based Compensation Expense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6560" w:type="dxa"/>
            <w:vAlign w:val="bottom"/>
            <w:gridSpan w:val="2"/>
          </w:tcPr>
          <w:p>
            <w:pPr>
              <w:spacing w:after="0"/>
              <w:rPr>
                <w:sz w:val="20"/>
                <w:szCs w:val="20"/>
                <w:color w:val="auto"/>
              </w:rPr>
            </w:pPr>
            <w:r>
              <w:rPr>
                <w:rFonts w:ascii="Arial" w:cs="Arial" w:eastAsia="Arial" w:hAnsi="Arial"/>
                <w:sz w:val="15"/>
                <w:szCs w:val="15"/>
                <w:color w:val="auto"/>
              </w:rPr>
              <w:t>The following summarizes stock-based compensation expense recognized in income: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14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14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2025</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2024</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656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color w:val="auto"/>
              </w:rPr>
              <w:t>Restricted stock</w:t>
            </w:r>
          </w:p>
        </w:tc>
        <w:tc>
          <w:tcPr>
            <w:tcW w:w="1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268</w:t>
            </w:r>
          </w:p>
        </w:tc>
        <w:tc>
          <w:tcPr>
            <w:tcW w:w="3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CFF0FC"/>
            </w:tcBorders>
            <w:shd w:val="clear" w:color="auto" w:fill="CFF0FC"/>
          </w:tcPr>
          <w:p>
            <w:pPr>
              <w:ind w:left="1000"/>
              <w:spacing w:after="0" w:line="171" w:lineRule="exact"/>
              <w:rPr>
                <w:sz w:val="20"/>
                <w:szCs w:val="20"/>
                <w:color w:val="auto"/>
              </w:rPr>
            </w:pPr>
            <w:r>
              <w:rPr>
                <w:rFonts w:ascii="Arial" w:cs="Arial" w:eastAsia="Arial" w:hAnsi="Arial"/>
                <w:sz w:val="15"/>
                <w:szCs w:val="15"/>
                <w:color w:val="auto"/>
                <w:w w:val="87"/>
              </w:rPr>
              <w:t>250</w:t>
            </w:r>
          </w:p>
        </w:tc>
        <w:tc>
          <w:tcPr>
            <w:tcW w:w="3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225</w:t>
            </w:r>
          </w:p>
        </w:tc>
      </w:tr>
      <w:tr>
        <w:trPr>
          <w:trHeight w:val="178"/>
        </w:trPr>
        <w:tc>
          <w:tcPr>
            <w:tcW w:w="6560" w:type="dxa"/>
            <w:vAlign w:val="bottom"/>
            <w:gridSpan w:val="2"/>
          </w:tcPr>
          <w:p>
            <w:pPr>
              <w:spacing w:after="0"/>
              <w:rPr>
                <w:sz w:val="20"/>
                <w:szCs w:val="20"/>
                <w:color w:val="auto"/>
              </w:rPr>
            </w:pPr>
            <w:r>
              <w:rPr>
                <w:rFonts w:ascii="Arial" w:cs="Arial" w:eastAsia="Arial" w:hAnsi="Arial"/>
                <w:sz w:val="15"/>
                <w:szCs w:val="15"/>
                <w:color w:val="auto"/>
              </w:rPr>
              <w:t>DSPP</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64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56</w:t>
            </w:r>
          </w:p>
        </w:tc>
      </w:tr>
      <w:tr>
        <w:trPr>
          <w:trHeight w:val="178"/>
        </w:trPr>
        <w:tc>
          <w:tcPr>
            <w:tcW w:w="65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Stock options</w:t>
            </w:r>
          </w:p>
        </w:tc>
        <w:tc>
          <w:tcPr>
            <w:tcW w:w="1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w:t>
            </w:r>
          </w:p>
        </w:tc>
      </w:tr>
      <w:tr>
        <w:trPr>
          <w:trHeight w:val="20"/>
        </w:trPr>
        <w:tc>
          <w:tcPr>
            <w:tcW w:w="1460" w:type="dxa"/>
            <w:vAlign w:val="bottom"/>
            <w:shd w:val="clear" w:color="auto" w:fill="CFF0FC"/>
          </w:tcPr>
          <w:p>
            <w:pPr>
              <w:spacing w:after="0" w:line="20" w:lineRule="exact"/>
              <w:rPr>
                <w:sz w:val="1"/>
                <w:szCs w:val="1"/>
                <w:color w:val="auto"/>
              </w:rPr>
            </w:pPr>
          </w:p>
        </w:tc>
        <w:tc>
          <w:tcPr>
            <w:tcW w:w="5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14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jc w:val="right"/>
              <w:ind w:right="24"/>
              <w:spacing w:after="0" w:line="171" w:lineRule="exact"/>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332</w:t>
            </w:r>
          </w:p>
        </w:tc>
        <w:tc>
          <w:tcPr>
            <w:tcW w:w="260" w:type="dxa"/>
            <w:vAlign w:val="bottom"/>
          </w:tcPr>
          <w:p>
            <w:pPr>
              <w:spacing w:after="0"/>
              <w:rPr>
                <w:sz w:val="14"/>
                <w:szCs w:val="14"/>
                <w:color w:val="auto"/>
              </w:rPr>
            </w:pP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1260" w:type="dxa"/>
            <w:vAlign w:val="bottom"/>
          </w:tcPr>
          <w:p>
            <w:pPr>
              <w:ind w:left="1000"/>
              <w:spacing w:after="0" w:line="171" w:lineRule="exact"/>
              <w:rPr>
                <w:sz w:val="20"/>
                <w:szCs w:val="20"/>
                <w:color w:val="auto"/>
              </w:rPr>
            </w:pPr>
            <w:r>
              <w:rPr>
                <w:rFonts w:ascii="Arial" w:cs="Arial" w:eastAsia="Arial" w:hAnsi="Arial"/>
                <w:sz w:val="15"/>
                <w:szCs w:val="15"/>
                <w:color w:val="auto"/>
                <w:w w:val="87"/>
              </w:rPr>
              <w:t>316</w:t>
            </w:r>
          </w:p>
        </w:tc>
        <w:tc>
          <w:tcPr>
            <w:tcW w:w="38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293</w:t>
            </w:r>
          </w:p>
        </w:tc>
      </w:tr>
      <w:tr>
        <w:trPr>
          <w:trHeight w:val="20"/>
        </w:trPr>
        <w:tc>
          <w:tcPr>
            <w:tcW w:w="14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-1595120</wp:posOffset>
            </wp:positionV>
            <wp:extent cx="647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-1579245</wp:posOffset>
            </wp:positionV>
            <wp:extent cx="647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-1595120</wp:posOffset>
            </wp:positionV>
            <wp:extent cx="647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-1579245</wp:posOffset>
            </wp:positionV>
            <wp:extent cx="647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-1595120</wp:posOffset>
            </wp:positionV>
            <wp:extent cx="723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-1579245</wp:posOffset>
            </wp:positionV>
            <wp:extent cx="723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-144145</wp:posOffset>
            </wp:positionV>
            <wp:extent cx="723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-144145</wp:posOffset>
            </wp:positionV>
            <wp:extent cx="647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At December 31, 2025, there was $307 million of total unrecognized compensation cost related to nonvested stock-based compensation arrangements, of which $190 million is expected to be recognized in 2026, $96 million in 2027, $18 million in 2028, and $3 million in 2029.</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2025, approximately 10 million shares of SLB common stock were available for future grants under SLB’s stock-based compensation programs.</w:t>
      </w:r>
    </w:p>
    <w:p>
      <w:pPr>
        <w:spacing w:after="0" w:line="208" w:lineRule="exact"/>
        <w:rPr>
          <w:sz w:val="20"/>
          <w:szCs w:val="20"/>
          <w:color w:val="auto"/>
        </w:rPr>
      </w:pPr>
    </w:p>
    <w:p>
      <w:pPr>
        <w:ind w:left="300" w:hanging="298"/>
        <w:spacing w:after="0"/>
        <w:tabs>
          <w:tab w:leader="none" w:pos="300"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Income Taxes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Income before taxes </w:t>
      </w:r>
      <w:r>
        <w:rPr>
          <w:rFonts w:ascii="Arial" w:cs="Arial" w:eastAsia="Arial" w:hAnsi="Arial"/>
          <w:sz w:val="15"/>
          <w:szCs w:val="15"/>
          <w:color w:val="auto"/>
        </w:rPr>
        <w:t>subject to United States and non-United States income taxes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6140" w:type="dxa"/>
            <w:vAlign w:val="bottom"/>
          </w:tcPr>
          <w:p>
            <w:pPr>
              <w:spacing w:after="0"/>
              <w:rPr>
                <w:sz w:val="24"/>
                <w:szCs w:val="24"/>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2025</w:t>
            </w:r>
          </w:p>
        </w:tc>
        <w:tc>
          <w:tcPr>
            <w:tcW w:w="4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rPr>
              <w:t>2024</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61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United States</w:t>
            </w:r>
          </w:p>
        </w:tc>
        <w:tc>
          <w:tcPr>
            <w:tcW w:w="1020" w:type="dxa"/>
            <w:vAlign w:val="bottom"/>
            <w:shd w:val="clear" w:color="auto" w:fill="CFF0FC"/>
          </w:tcPr>
          <w:p>
            <w:pPr>
              <w:jc w:val="right"/>
              <w:ind w:right="864"/>
              <w:spacing w:after="0" w:line="171" w:lineRule="exact"/>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b w:val="1"/>
                <w:bCs w:val="1"/>
                <w:color w:val="auto"/>
              </w:rPr>
              <w:t>(68)</w:t>
            </w:r>
          </w:p>
        </w:tc>
        <w:tc>
          <w:tcPr>
            <w:tcW w:w="460" w:type="dxa"/>
            <w:vAlign w:val="bottom"/>
            <w:gridSpan w:val="2"/>
            <w:shd w:val="clear" w:color="auto" w:fill="CFF0FC"/>
          </w:tcPr>
          <w:p>
            <w:pPr>
              <w:jc w:val="right"/>
              <w:ind w:right="260"/>
              <w:spacing w:after="0" w:line="171" w:lineRule="exact"/>
              <w:rPr>
                <w:sz w:val="20"/>
                <w:szCs w:val="20"/>
                <w:color w:val="auto"/>
              </w:rPr>
            </w:pPr>
            <w:r>
              <w:rPr>
                <w:rFonts w:ascii="Arial" w:cs="Arial" w:eastAsia="Arial" w:hAnsi="Arial"/>
                <w:sz w:val="15"/>
                <w:szCs w:val="15"/>
                <w:color w:val="auto"/>
              </w:rPr>
              <w:t>$</w:t>
            </w:r>
          </w:p>
        </w:tc>
        <w:tc>
          <w:tcPr>
            <w:tcW w:w="1420" w:type="dxa"/>
            <w:vAlign w:val="bottom"/>
            <w:gridSpan w:val="2"/>
            <w:shd w:val="clear" w:color="auto" w:fill="CFF0FC"/>
          </w:tcPr>
          <w:p>
            <w:pPr>
              <w:jc w:val="right"/>
              <w:ind w:right="280"/>
              <w:spacing w:after="0" w:line="171" w:lineRule="exact"/>
              <w:rPr>
                <w:sz w:val="20"/>
                <w:szCs w:val="20"/>
                <w:color w:val="auto"/>
              </w:rPr>
            </w:pPr>
            <w:r>
              <w:rPr>
                <w:rFonts w:ascii="Arial" w:cs="Arial" w:eastAsia="Arial" w:hAnsi="Arial"/>
                <w:sz w:val="15"/>
                <w:szCs w:val="15"/>
                <w:color w:val="auto"/>
              </w:rPr>
              <w:t>641</w:t>
            </w:r>
          </w:p>
        </w:tc>
        <w:tc>
          <w:tcPr>
            <w:tcW w:w="220" w:type="dxa"/>
            <w:vAlign w:val="bottom"/>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355</w:t>
            </w:r>
          </w:p>
        </w:tc>
      </w:tr>
      <w:tr>
        <w:trPr>
          <w:trHeight w:val="178"/>
        </w:trPr>
        <w:tc>
          <w:tcPr>
            <w:tcW w:w="6140" w:type="dxa"/>
            <w:vAlign w:val="bottom"/>
          </w:tcPr>
          <w:p>
            <w:pPr>
              <w:spacing w:after="0"/>
              <w:rPr>
                <w:sz w:val="20"/>
                <w:szCs w:val="20"/>
                <w:color w:val="auto"/>
              </w:rPr>
            </w:pPr>
            <w:r>
              <w:rPr>
                <w:rFonts w:ascii="Arial" w:cs="Arial" w:eastAsia="Arial" w:hAnsi="Arial"/>
                <w:sz w:val="15"/>
                <w:szCs w:val="15"/>
                <w:color w:val="auto"/>
              </w:rPr>
              <w:t>Outside United States</w:t>
            </w:r>
          </w:p>
        </w:tc>
        <w:tc>
          <w:tcPr>
            <w:tcW w:w="10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4,359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5,031</w:t>
            </w:r>
          </w:p>
        </w:tc>
        <w:tc>
          <w:tcPr>
            <w:tcW w:w="2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4,927</w:t>
            </w:r>
          </w:p>
        </w:tc>
      </w:tr>
      <w:tr>
        <w:trPr>
          <w:trHeight w:val="20"/>
        </w:trPr>
        <w:tc>
          <w:tcPr>
            <w:tcW w:w="6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64"/>
              <w:spacing w:after="0" w:line="171" w:lineRule="exact"/>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FF0FC"/>
          </w:tcPr>
          <w:p>
            <w:pPr>
              <w:jc w:val="right"/>
              <w:ind w:right="180"/>
              <w:spacing w:after="0" w:line="171" w:lineRule="exact"/>
              <w:rPr>
                <w:sz w:val="20"/>
                <w:szCs w:val="20"/>
                <w:color w:val="auto"/>
              </w:rPr>
            </w:pPr>
            <w:r>
              <w:rPr>
                <w:rFonts w:ascii="Arial" w:cs="Arial" w:eastAsia="Arial" w:hAnsi="Arial"/>
                <w:sz w:val="15"/>
                <w:szCs w:val="15"/>
                <w:b w:val="1"/>
                <w:bCs w:val="1"/>
                <w:color w:val="auto"/>
              </w:rPr>
              <w:t>4,291</w:t>
            </w:r>
          </w:p>
        </w:tc>
        <w:tc>
          <w:tcPr>
            <w:tcW w:w="460" w:type="dxa"/>
            <w:vAlign w:val="bottom"/>
            <w:gridSpan w:val="2"/>
            <w:shd w:val="clear" w:color="auto" w:fill="CFF0FC"/>
          </w:tcPr>
          <w:p>
            <w:pPr>
              <w:jc w:val="right"/>
              <w:ind w:right="260"/>
              <w:spacing w:after="0" w:line="171" w:lineRule="exact"/>
              <w:rPr>
                <w:sz w:val="20"/>
                <w:szCs w:val="20"/>
                <w:color w:val="auto"/>
              </w:rPr>
            </w:pPr>
            <w:r>
              <w:rPr>
                <w:rFonts w:ascii="Arial" w:cs="Arial" w:eastAsia="Arial" w:hAnsi="Arial"/>
                <w:sz w:val="15"/>
                <w:szCs w:val="15"/>
                <w:color w:val="auto"/>
              </w:rPr>
              <w:t>$</w:t>
            </w:r>
          </w:p>
        </w:tc>
        <w:tc>
          <w:tcPr>
            <w:tcW w:w="1420" w:type="dxa"/>
            <w:vAlign w:val="bottom"/>
            <w:gridSpan w:val="2"/>
            <w:shd w:val="clear" w:color="auto" w:fill="CFF0FC"/>
          </w:tcPr>
          <w:p>
            <w:pPr>
              <w:jc w:val="right"/>
              <w:ind w:right="280"/>
              <w:spacing w:after="0" w:line="171" w:lineRule="exact"/>
              <w:rPr>
                <w:sz w:val="20"/>
                <w:szCs w:val="20"/>
                <w:color w:val="auto"/>
              </w:rPr>
            </w:pPr>
            <w:r>
              <w:rPr>
                <w:rFonts w:ascii="Arial" w:cs="Arial" w:eastAsia="Arial" w:hAnsi="Arial"/>
                <w:sz w:val="15"/>
                <w:szCs w:val="15"/>
                <w:color w:val="auto"/>
              </w:rPr>
              <w:t>5,672</w:t>
            </w:r>
          </w:p>
        </w:tc>
        <w:tc>
          <w:tcPr>
            <w:tcW w:w="220" w:type="dxa"/>
            <w:vAlign w:val="bottom"/>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5,282</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-23495</wp:posOffset>
            </wp:positionV>
            <wp:extent cx="723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-7620</wp:posOffset>
            </wp:positionV>
            <wp:extent cx="723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-23495</wp:posOffset>
            </wp:positionV>
            <wp:extent cx="723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723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SLB recorded net pretax charges of $1.107 billion in 2025 ($565 million of charges in the US and $542 million of net charges outside the US); $540 million in 2024 ($188 million of charges in the US and $352 million of net charges outside the US); and $110 million in 2023 ($2 million of net credits in the US and $112 million of charges outside the US). These charges and credits are included in the table above and are more fully described in Note 3 – </w:t>
      </w:r>
      <w:r>
        <w:rPr>
          <w:rFonts w:ascii="Arial" w:cs="Arial" w:eastAsia="Arial" w:hAnsi="Arial"/>
          <w:sz w:val="15"/>
          <w:szCs w:val="15"/>
          <w:i w:val="1"/>
          <w:iCs w:val="1"/>
          <w:color w:val="auto"/>
        </w:rPr>
        <w:t>Charges and Credits</w:t>
      </w:r>
      <w:r>
        <w:rPr>
          <w:rFonts w:ascii="Arial" w:cs="Arial" w:eastAsia="Arial" w:hAnsi="Arial"/>
          <w:sz w:val="15"/>
          <w:szCs w:val="15"/>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46" w:name="page47"/>
    <w:bookmarkEnd w:id="46"/>
    <w:p>
      <w:pPr>
        <w:spacing w:after="0"/>
        <w:rPr>
          <w:sz w:val="20"/>
          <w:szCs w:val="20"/>
          <w:color w:val="auto"/>
        </w:rPr>
      </w:pPr>
      <w:r>
        <w:rPr>
          <w:rFonts w:ascii="Arial" w:cs="Arial" w:eastAsia="Arial" w:hAnsi="Arial"/>
          <w:sz w:val="15"/>
          <w:szCs w:val="15"/>
          <w:color w:val="auto"/>
        </w:rPr>
        <w:t>The components of net deferred tax liabilities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7660" w:type="dxa"/>
            <w:vAlign w:val="bottom"/>
          </w:tcPr>
          <w:p>
            <w:pPr>
              <w:spacing w:after="0"/>
              <w:rPr>
                <w:sz w:val="24"/>
                <w:szCs w:val="24"/>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r>
      <w:tr>
        <w:trPr>
          <w:trHeight w:val="170"/>
        </w:trPr>
        <w:tc>
          <w:tcPr>
            <w:tcW w:w="76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Intangible assets</w:t>
            </w:r>
          </w:p>
        </w:tc>
        <w:tc>
          <w:tcPr>
            <w:tcW w:w="1060" w:type="dxa"/>
            <w:vAlign w:val="bottom"/>
            <w:shd w:val="clear" w:color="auto" w:fill="CFF0FC"/>
          </w:tcPr>
          <w:p>
            <w:pPr>
              <w:jc w:val="right"/>
              <w:ind w:right="884"/>
              <w:spacing w:after="0" w:line="171" w:lineRule="exact"/>
              <w:rPr>
                <w:sz w:val="20"/>
                <w:szCs w:val="20"/>
                <w:color w:val="auto"/>
              </w:rPr>
            </w:pPr>
            <w:r>
              <w:rPr>
                <w:rFonts w:ascii="Arial" w:cs="Arial" w:eastAsia="Arial" w:hAnsi="Arial"/>
                <w:sz w:val="15"/>
                <w:szCs w:val="15"/>
                <w:b w:val="1"/>
                <w:bCs w:val="1"/>
                <w:color w:val="auto"/>
                <w:w w:val="95"/>
              </w:rPr>
              <w:t>$</w:t>
            </w:r>
          </w:p>
        </w:tc>
        <w:tc>
          <w:tcPr>
            <w:tcW w:w="860" w:type="dxa"/>
            <w:vAlign w:val="bottom"/>
            <w:gridSpan w:val="2"/>
            <w:shd w:val="clear" w:color="auto" w:fill="CFF0FC"/>
          </w:tcPr>
          <w:p>
            <w:pPr>
              <w:jc w:val="right"/>
              <w:ind w:right="260"/>
              <w:spacing w:after="0" w:line="171" w:lineRule="exact"/>
              <w:rPr>
                <w:sz w:val="20"/>
                <w:szCs w:val="20"/>
                <w:color w:val="auto"/>
              </w:rPr>
            </w:pPr>
            <w:r>
              <w:rPr>
                <w:rFonts w:ascii="Arial" w:cs="Arial" w:eastAsia="Arial" w:hAnsi="Arial"/>
                <w:sz w:val="15"/>
                <w:szCs w:val="15"/>
                <w:b w:val="1"/>
                <w:bCs w:val="1"/>
                <w:color w:val="auto"/>
              </w:rPr>
              <w:t>(1,208)</w:t>
            </w:r>
          </w:p>
        </w:tc>
        <w:tc>
          <w:tcPr>
            <w:tcW w:w="260" w:type="dxa"/>
            <w:vAlign w:val="bottom"/>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40"/>
              <w:spacing w:after="0" w:line="171" w:lineRule="exact"/>
              <w:rPr>
                <w:sz w:val="20"/>
                <w:szCs w:val="20"/>
                <w:color w:val="auto"/>
              </w:rPr>
            </w:pPr>
            <w:r>
              <w:rPr>
                <w:rFonts w:ascii="Arial" w:cs="Arial" w:eastAsia="Arial" w:hAnsi="Arial"/>
                <w:sz w:val="15"/>
                <w:szCs w:val="15"/>
                <w:color w:val="auto"/>
              </w:rPr>
              <w:t>(758)</w:t>
            </w: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Net operating losses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153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5"/>
                <w:szCs w:val="15"/>
                <w:color w:val="auto"/>
              </w:rPr>
            </w:pP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Fixed assets, net</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106</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FF0FC"/>
          </w:tcPr>
          <w:p>
            <w:pPr>
              <w:spacing w:after="0"/>
              <w:rPr>
                <w:sz w:val="15"/>
                <w:szCs w:val="15"/>
                <w:color w:val="auto"/>
              </w:rPr>
            </w:pP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Research and development credits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87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5"/>
                <w:szCs w:val="15"/>
                <w:color w:val="auto"/>
              </w:rPr>
            </w:pP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Capitalized research and development costs</w:t>
            </w: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255</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w:t>
            </w:r>
          </w:p>
        </w:tc>
        <w:tc>
          <w:tcPr>
            <w:tcW w:w="100" w:type="dxa"/>
            <w:vAlign w:val="bottom"/>
            <w:shd w:val="clear" w:color="auto" w:fill="CFF0FC"/>
          </w:tcPr>
          <w:p>
            <w:pPr>
              <w:spacing w:after="0"/>
              <w:rPr>
                <w:sz w:val="15"/>
                <w:szCs w:val="15"/>
                <w:color w:val="auto"/>
              </w:rPr>
            </w:pP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Pension and other postretirement benefits</w:t>
            </w:r>
          </w:p>
        </w:tc>
        <w:tc>
          <w:tcPr>
            <w:tcW w:w="106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(71)</w:t>
            </w:r>
          </w:p>
        </w:tc>
        <w:tc>
          <w:tcPr>
            <w:tcW w:w="26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(62)</w:t>
            </w: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Investments in non-US subsidiaries</w:t>
            </w:r>
          </w:p>
        </w:tc>
        <w:tc>
          <w:tcPr>
            <w:tcW w:w="10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(194)</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(69)</w:t>
            </w: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Foreign tax credits</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63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 net</w:t>
            </w:r>
          </w:p>
        </w:tc>
        <w:tc>
          <w:tcPr>
            <w:tcW w:w="10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165</w:t>
            </w:r>
          </w:p>
        </w:tc>
        <w:tc>
          <w:tcPr>
            <w:tcW w:w="3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7660" w:type="dxa"/>
            <w:vAlign w:val="bottom"/>
          </w:tcPr>
          <w:p>
            <w:pPr>
              <w:spacing w:after="0"/>
              <w:rPr>
                <w:sz w:val="14"/>
                <w:szCs w:val="14"/>
                <w:color w:val="auto"/>
              </w:rPr>
            </w:pPr>
          </w:p>
        </w:tc>
        <w:tc>
          <w:tcPr>
            <w:tcW w:w="1060" w:type="dxa"/>
            <w:vAlign w:val="bottom"/>
          </w:tcPr>
          <w:p>
            <w:pPr>
              <w:jc w:val="right"/>
              <w:ind w:right="884"/>
              <w:spacing w:after="0" w:line="171" w:lineRule="exact"/>
              <w:rPr>
                <w:sz w:val="20"/>
                <w:szCs w:val="20"/>
                <w:color w:val="auto"/>
              </w:rPr>
            </w:pPr>
            <w:r>
              <w:rPr>
                <w:rFonts w:ascii="Arial" w:cs="Arial" w:eastAsia="Arial" w:hAnsi="Arial"/>
                <w:sz w:val="15"/>
                <w:szCs w:val="15"/>
                <w:b w:val="1"/>
                <w:bCs w:val="1"/>
                <w:color w:val="auto"/>
                <w:w w:val="95"/>
              </w:rPr>
              <w:t>$</w:t>
            </w:r>
          </w:p>
        </w:tc>
        <w:tc>
          <w:tcPr>
            <w:tcW w:w="860" w:type="dxa"/>
            <w:vAlign w:val="bottom"/>
            <w:gridSpan w:val="2"/>
          </w:tcPr>
          <w:p>
            <w:pPr>
              <w:jc w:val="right"/>
              <w:ind w:right="260"/>
              <w:spacing w:after="0" w:line="171" w:lineRule="exact"/>
              <w:rPr>
                <w:sz w:val="20"/>
                <w:szCs w:val="20"/>
                <w:color w:val="auto"/>
              </w:rPr>
            </w:pPr>
            <w:r>
              <w:rPr>
                <w:rFonts w:ascii="Arial" w:cs="Arial" w:eastAsia="Arial" w:hAnsi="Arial"/>
                <w:sz w:val="15"/>
                <w:szCs w:val="15"/>
                <w:b w:val="1"/>
                <w:bCs w:val="1"/>
                <w:color w:val="auto"/>
              </w:rPr>
              <w:t>(644)</w:t>
            </w:r>
          </w:p>
        </w:tc>
        <w:tc>
          <w:tcPr>
            <w:tcW w:w="260" w:type="dxa"/>
            <w:vAlign w:val="bottom"/>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(67)</w:t>
            </w:r>
          </w:p>
        </w:tc>
      </w:tr>
      <w:tr>
        <w:trPr>
          <w:trHeight w:val="20"/>
        </w:trPr>
        <w:tc>
          <w:tcPr>
            <w:tcW w:w="7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5884545</wp:posOffset>
            </wp:positionH>
            <wp:positionV relativeFrom="paragraph">
              <wp:posOffset>-144145</wp:posOffset>
            </wp:positionV>
            <wp:extent cx="723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Approximately $105 million of the $153 million deferred tax asset relating to net operating losses at December 31, 2025 can be carried forward indefinitely.</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The deferred tax balance at December 31, 2025 and 2024 was net of valuation allowances relating to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4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w w:val="95"/>
              </w:rPr>
              <w:t>2025</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r>
      <w:tr>
        <w:trPr>
          <w:trHeight w:val="170"/>
        </w:trPr>
        <w:tc>
          <w:tcPr>
            <w:tcW w:w="4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Foreign tax credits</w:t>
            </w:r>
          </w:p>
        </w:tc>
        <w:tc>
          <w:tcPr>
            <w:tcW w:w="17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line="171"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69</w:t>
            </w:r>
          </w:p>
        </w:tc>
        <w:tc>
          <w:tcPr>
            <w:tcW w:w="600" w:type="dxa"/>
            <w:vAlign w:val="bottom"/>
            <w:gridSpan w:val="2"/>
            <w:shd w:val="clear" w:color="auto" w:fill="CFF0FC"/>
          </w:tcPr>
          <w:p>
            <w:pPr>
              <w:jc w:val="right"/>
              <w:ind w:right="220"/>
              <w:spacing w:after="0" w:line="171"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162</w:t>
            </w:r>
          </w:p>
        </w:tc>
        <w:tc>
          <w:tcPr>
            <w:tcW w:w="100" w:type="dxa"/>
            <w:vAlign w:val="bottom"/>
            <w:shd w:val="clear" w:color="auto" w:fill="CFF0FC"/>
          </w:tcPr>
          <w:p>
            <w:pPr>
              <w:spacing w:after="0"/>
              <w:rPr>
                <w:sz w:val="14"/>
                <w:szCs w:val="14"/>
                <w:color w:val="auto"/>
              </w:rPr>
            </w:pPr>
          </w:p>
        </w:tc>
      </w:tr>
      <w:tr>
        <w:trPr>
          <w:trHeight w:val="208"/>
        </w:trPr>
        <w:tc>
          <w:tcPr>
            <w:tcW w:w="4440" w:type="dxa"/>
            <w:vAlign w:val="bottom"/>
          </w:tcPr>
          <w:p>
            <w:pPr>
              <w:spacing w:after="0"/>
              <w:rPr>
                <w:sz w:val="20"/>
                <w:szCs w:val="20"/>
                <w:color w:val="auto"/>
              </w:rPr>
            </w:pPr>
            <w:r>
              <w:rPr>
                <w:rFonts w:ascii="Arial" w:cs="Arial" w:eastAsia="Arial" w:hAnsi="Arial"/>
                <w:sz w:val="15"/>
                <w:szCs w:val="15"/>
                <w:color w:val="auto"/>
              </w:rPr>
              <w:t>Net operating losses</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8"/>
                <w:szCs w:val="18"/>
                <w:color w:val="auto"/>
              </w:rPr>
            </w:pPr>
          </w:p>
        </w:tc>
      </w:tr>
      <w:tr>
        <w:trPr>
          <w:trHeight w:val="792"/>
        </w:trPr>
        <w:tc>
          <w:tcPr>
            <w:tcW w:w="4440" w:type="dxa"/>
            <w:vAlign w:val="bottom"/>
          </w:tcPr>
          <w:p>
            <w:pPr>
              <w:spacing w:after="0"/>
              <w:rPr>
                <w:sz w:val="20"/>
                <w:szCs w:val="20"/>
                <w:color w:val="auto"/>
              </w:rPr>
            </w:pPr>
            <w:r>
              <w:rPr>
                <w:rFonts w:ascii="Arial" w:cs="Arial" w:eastAsia="Arial" w:hAnsi="Arial"/>
                <w:sz w:val="15"/>
                <w:szCs w:val="15"/>
                <w:color w:val="auto"/>
              </w:rPr>
              <w:t xml:space="preserve">The components of </w:t>
            </w:r>
            <w:r>
              <w:rPr>
                <w:rFonts w:ascii="Arial" w:cs="Arial" w:eastAsia="Arial" w:hAnsi="Arial"/>
                <w:sz w:val="15"/>
                <w:szCs w:val="15"/>
                <w:i w:val="1"/>
                <w:iCs w:val="1"/>
                <w:color w:val="auto"/>
              </w:rPr>
              <w:t>Tax expense</w:t>
            </w:r>
            <w:r>
              <w:rPr>
                <w:rFonts w:ascii="Arial" w:cs="Arial" w:eastAsia="Arial" w:hAnsi="Arial"/>
                <w:sz w:val="15"/>
                <w:szCs w:val="15"/>
                <w:color w:val="auto"/>
              </w:rPr>
              <w:t xml:space="preserve"> were as follows:</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4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4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2024</w:t>
            </w:r>
          </w:p>
        </w:tc>
        <w:tc>
          <w:tcPr>
            <w:tcW w:w="3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44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Current:</w:t>
            </w:r>
          </w:p>
        </w:tc>
        <w:tc>
          <w:tcPr>
            <w:tcW w:w="17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4440" w:type="dxa"/>
            <w:vAlign w:val="bottom"/>
          </w:tcPr>
          <w:p>
            <w:pPr>
              <w:spacing w:after="0"/>
              <w:rPr>
                <w:sz w:val="20"/>
                <w:szCs w:val="20"/>
                <w:color w:val="auto"/>
              </w:rPr>
            </w:pPr>
            <w:r>
              <w:rPr>
                <w:rFonts w:ascii="Arial" w:cs="Arial" w:eastAsia="Arial" w:hAnsi="Arial"/>
                <w:sz w:val="15"/>
                <w:szCs w:val="15"/>
                <w:color w:val="auto"/>
              </w:rPr>
              <w:t>United States-Federal</w:t>
            </w:r>
          </w:p>
        </w:tc>
        <w:tc>
          <w:tcPr>
            <w:tcW w:w="2040" w:type="dxa"/>
            <w:vAlign w:val="bottom"/>
            <w:gridSpan w:val="2"/>
          </w:tcPr>
          <w:p>
            <w:pPr>
              <w:jc w:val="right"/>
              <w:ind w:right="184"/>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7</w:t>
            </w:r>
          </w:p>
        </w:tc>
        <w:tc>
          <w:tcPr>
            <w:tcW w:w="1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10</w:t>
            </w:r>
          </w:p>
        </w:tc>
        <w:tc>
          <w:tcPr>
            <w:tcW w:w="280" w:type="dxa"/>
            <w:vAlign w:val="bottom"/>
          </w:tcPr>
          <w:p>
            <w:pPr>
              <w:spacing w:after="0"/>
              <w:rPr>
                <w:sz w:val="15"/>
                <w:szCs w:val="15"/>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gridSpan w:val="2"/>
          </w:tcPr>
          <w:p>
            <w:pPr>
              <w:jc w:val="right"/>
              <w:ind w:right="40"/>
              <w:spacing w:after="0"/>
              <w:rPr>
                <w:sz w:val="20"/>
                <w:szCs w:val="20"/>
                <w:color w:val="auto"/>
              </w:rPr>
            </w:pPr>
            <w:r>
              <w:rPr>
                <w:rFonts w:ascii="Arial" w:cs="Arial" w:eastAsia="Arial" w:hAnsi="Arial"/>
                <w:sz w:val="15"/>
                <w:szCs w:val="15"/>
                <w:color w:val="auto"/>
              </w:rPr>
              <w:t>(23)</w:t>
            </w:r>
          </w:p>
        </w:tc>
      </w:tr>
      <w:tr>
        <w:trPr>
          <w:trHeight w:val="178"/>
        </w:trPr>
        <w:tc>
          <w:tcPr>
            <w:tcW w:w="4440" w:type="dxa"/>
            <w:vAlign w:val="bottom"/>
            <w:shd w:val="clear" w:color="auto" w:fill="CFF0FC"/>
          </w:tcPr>
          <w:p>
            <w:pPr>
              <w:spacing w:after="0"/>
              <w:rPr>
                <w:sz w:val="20"/>
                <w:szCs w:val="20"/>
                <w:color w:val="auto"/>
              </w:rPr>
            </w:pPr>
            <w:r>
              <w:rPr>
                <w:rFonts w:ascii="Arial" w:cs="Arial" w:eastAsia="Arial" w:hAnsi="Arial"/>
                <w:sz w:val="15"/>
                <w:szCs w:val="15"/>
                <w:color w:val="auto"/>
              </w:rPr>
              <w:t>United States-State</w:t>
            </w:r>
          </w:p>
        </w:tc>
        <w:tc>
          <w:tcPr>
            <w:tcW w:w="1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FF0FC"/>
          </w:tcPr>
          <w:p>
            <w:pPr>
              <w:spacing w:after="0"/>
              <w:rPr>
                <w:sz w:val="15"/>
                <w:szCs w:val="15"/>
                <w:color w:val="auto"/>
              </w:rPr>
            </w:pPr>
          </w:p>
        </w:tc>
      </w:tr>
      <w:tr>
        <w:trPr>
          <w:trHeight w:val="178"/>
        </w:trPr>
        <w:tc>
          <w:tcPr>
            <w:tcW w:w="4440" w:type="dxa"/>
            <w:vAlign w:val="bottom"/>
          </w:tcPr>
          <w:p>
            <w:pPr>
              <w:spacing w:after="0"/>
              <w:rPr>
                <w:sz w:val="20"/>
                <w:szCs w:val="20"/>
                <w:color w:val="auto"/>
              </w:rPr>
            </w:pPr>
            <w:r>
              <w:rPr>
                <w:rFonts w:ascii="Arial" w:cs="Arial" w:eastAsia="Arial" w:hAnsi="Arial"/>
                <w:sz w:val="15"/>
                <w:szCs w:val="15"/>
                <w:color w:val="auto"/>
              </w:rPr>
              <w:t>Outside United States</w:t>
            </w:r>
          </w:p>
        </w:tc>
        <w:tc>
          <w:tcPr>
            <w:tcW w:w="1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1,110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1,117</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w:t>
            </w:r>
          </w:p>
        </w:tc>
        <w:tc>
          <w:tcPr>
            <w:tcW w:w="100" w:type="dxa"/>
            <w:vAlign w:val="bottom"/>
          </w:tcPr>
          <w:p>
            <w:pPr>
              <w:spacing w:after="0"/>
              <w:rPr>
                <w:sz w:val="15"/>
                <w:szCs w:val="15"/>
                <w:color w:val="auto"/>
              </w:rPr>
            </w:pPr>
          </w:p>
        </w:tc>
      </w:tr>
      <w:tr>
        <w:trPr>
          <w:trHeight w:val="170"/>
        </w:trPr>
        <w:tc>
          <w:tcPr>
            <w:tcW w:w="4440" w:type="dxa"/>
            <w:vAlign w:val="bottom"/>
            <w:tcBorders>
              <w:bottom w:val="single" w:sz="8" w:color="CFF0FC"/>
            </w:tcBorders>
            <w:shd w:val="clear" w:color="auto" w:fill="CFF0FC"/>
          </w:tcPr>
          <w:p>
            <w:pPr>
              <w:spacing w:after="0"/>
              <w:rPr>
                <w:sz w:val="14"/>
                <w:szCs w:val="14"/>
                <w:color w:val="auto"/>
              </w:rPr>
            </w:pPr>
          </w:p>
        </w:tc>
        <w:tc>
          <w:tcPr>
            <w:tcW w:w="17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1,119</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right w:val="single" w:sz="8" w:color="CFF0FC"/>
            </w:tcBorders>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1,134</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979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70"/>
        </w:trPr>
        <w:tc>
          <w:tcPr>
            <w:tcW w:w="4440" w:type="dxa"/>
            <w:vAlign w:val="bottom"/>
          </w:tcPr>
          <w:p>
            <w:pPr>
              <w:spacing w:after="0" w:line="171" w:lineRule="exact"/>
              <w:rPr>
                <w:sz w:val="20"/>
                <w:szCs w:val="20"/>
                <w:color w:val="auto"/>
              </w:rPr>
            </w:pPr>
            <w:r>
              <w:rPr>
                <w:rFonts w:ascii="Arial" w:cs="Arial" w:eastAsia="Arial" w:hAnsi="Arial"/>
                <w:sz w:val="15"/>
                <w:szCs w:val="15"/>
                <w:color w:val="auto"/>
              </w:rPr>
              <w:t>Deferred:</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4440" w:type="dxa"/>
            <w:vAlign w:val="bottom"/>
            <w:shd w:val="clear" w:color="auto" w:fill="CFF0FC"/>
          </w:tcPr>
          <w:p>
            <w:pPr>
              <w:spacing w:after="0"/>
              <w:rPr>
                <w:sz w:val="20"/>
                <w:szCs w:val="20"/>
                <w:color w:val="auto"/>
              </w:rPr>
            </w:pPr>
            <w:r>
              <w:rPr>
                <w:rFonts w:ascii="Arial" w:cs="Arial" w:eastAsia="Arial" w:hAnsi="Arial"/>
                <w:sz w:val="15"/>
                <w:szCs w:val="15"/>
                <w:color w:val="auto"/>
              </w:rPr>
              <w:t>United States-Federal</w:t>
            </w:r>
          </w:p>
        </w:tc>
        <w:tc>
          <w:tcPr>
            <w:tcW w:w="204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b w:val="1"/>
                <w:bCs w:val="1"/>
                <w:color w:val="auto"/>
              </w:rPr>
              <w:t>$</w:t>
            </w:r>
          </w:p>
        </w:tc>
        <w:tc>
          <w:tcPr>
            <w:tcW w:w="1320" w:type="dxa"/>
            <w:vAlign w:val="bottom"/>
            <w:gridSpan w:val="3"/>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(64)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(77)</w:t>
            </w:r>
          </w:p>
        </w:tc>
      </w:tr>
      <w:tr>
        <w:trPr>
          <w:trHeight w:val="178"/>
        </w:trPr>
        <w:tc>
          <w:tcPr>
            <w:tcW w:w="4440" w:type="dxa"/>
            <w:vAlign w:val="bottom"/>
          </w:tcPr>
          <w:p>
            <w:pPr>
              <w:spacing w:after="0"/>
              <w:rPr>
                <w:sz w:val="20"/>
                <w:szCs w:val="20"/>
                <w:color w:val="auto"/>
              </w:rPr>
            </w:pPr>
            <w:r>
              <w:rPr>
                <w:rFonts w:ascii="Arial" w:cs="Arial" w:eastAsia="Arial" w:hAnsi="Arial"/>
                <w:sz w:val="15"/>
                <w:szCs w:val="15"/>
                <w:color w:val="auto"/>
              </w:rPr>
              <w:t>United States-State</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5"/>
                <w:szCs w:val="15"/>
                <w:color w:val="auto"/>
              </w:rPr>
            </w:pPr>
          </w:p>
        </w:tc>
      </w:tr>
      <w:tr>
        <w:trPr>
          <w:trHeight w:val="178"/>
        </w:trPr>
        <w:tc>
          <w:tcPr>
            <w:tcW w:w="4440" w:type="dxa"/>
            <w:vAlign w:val="bottom"/>
            <w:shd w:val="clear" w:color="auto" w:fill="CFF0FC"/>
          </w:tcPr>
          <w:p>
            <w:pPr>
              <w:spacing w:after="0"/>
              <w:rPr>
                <w:sz w:val="20"/>
                <w:szCs w:val="20"/>
                <w:color w:val="auto"/>
              </w:rPr>
            </w:pPr>
            <w:r>
              <w:rPr>
                <w:rFonts w:ascii="Arial" w:cs="Arial" w:eastAsia="Arial" w:hAnsi="Arial"/>
                <w:sz w:val="15"/>
                <w:szCs w:val="15"/>
                <w:color w:val="auto"/>
              </w:rPr>
              <w:t>Outside United States</w:t>
            </w:r>
          </w:p>
        </w:tc>
        <w:tc>
          <w:tcPr>
            <w:tcW w:w="1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(60)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(61)</w:t>
            </w: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FF0FC"/>
          </w:tcPr>
          <w:p>
            <w:pPr>
              <w:spacing w:after="0"/>
              <w:rPr>
                <w:sz w:val="15"/>
                <w:szCs w:val="15"/>
                <w:color w:val="auto"/>
              </w:rPr>
            </w:pPr>
          </w:p>
        </w:tc>
      </w:tr>
      <w:tr>
        <w:trPr>
          <w:trHeight w:val="178"/>
        </w:trPr>
        <w:tc>
          <w:tcPr>
            <w:tcW w:w="4440" w:type="dxa"/>
            <w:vAlign w:val="bottom"/>
          </w:tcPr>
          <w:p>
            <w:pPr>
              <w:spacing w:after="0"/>
              <w:rPr>
                <w:sz w:val="20"/>
                <w:szCs w:val="20"/>
                <w:color w:val="auto"/>
              </w:rPr>
            </w:pPr>
            <w:r>
              <w:rPr>
                <w:rFonts w:ascii="Arial" w:cs="Arial" w:eastAsia="Arial" w:hAnsi="Arial"/>
                <w:sz w:val="15"/>
                <w:szCs w:val="15"/>
                <w:color w:val="auto"/>
              </w:rPr>
              <w:t>United States - Valuation allowance</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(133)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(26)</w:t>
            </w:r>
          </w:p>
        </w:tc>
        <w:tc>
          <w:tcPr>
            <w:tcW w:w="22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5"/>
                <w:szCs w:val="15"/>
                <w:color w:val="auto"/>
              </w:rPr>
              <w:t>(5)</w:t>
            </w:r>
          </w:p>
        </w:tc>
      </w:tr>
      <w:tr>
        <w:trPr>
          <w:trHeight w:val="178"/>
        </w:trPr>
        <w:tc>
          <w:tcPr>
            <w:tcW w:w="4440" w:type="dxa"/>
            <w:vAlign w:val="bottom"/>
            <w:shd w:val="clear" w:color="auto" w:fill="CFF0FC"/>
          </w:tcPr>
          <w:p>
            <w:pPr>
              <w:spacing w:after="0"/>
              <w:rPr>
                <w:sz w:val="20"/>
                <w:szCs w:val="20"/>
                <w:color w:val="auto"/>
              </w:rPr>
            </w:pPr>
            <w:r>
              <w:rPr>
                <w:rFonts w:ascii="Arial" w:cs="Arial" w:eastAsia="Arial" w:hAnsi="Arial"/>
                <w:sz w:val="15"/>
                <w:szCs w:val="15"/>
                <w:color w:val="auto"/>
              </w:rPr>
              <w:t>Outside United States - Valuation allowance</w:t>
            </w:r>
          </w:p>
        </w:tc>
        <w:tc>
          <w:tcPr>
            <w:tcW w:w="1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(23)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(44)</w:t>
            </w: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4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jc w:val="right"/>
              <w:ind w:right="120"/>
              <w:spacing w:after="0" w:line="171" w:lineRule="exact"/>
              <w:rPr>
                <w:sz w:val="20"/>
                <w:szCs w:val="20"/>
                <w:color w:val="auto"/>
              </w:rPr>
            </w:pPr>
            <w:r>
              <w:rPr>
                <w:rFonts w:ascii="Arial" w:cs="Arial" w:eastAsia="Arial" w:hAnsi="Arial"/>
                <w:sz w:val="15"/>
                <w:szCs w:val="15"/>
                <w:b w:val="1"/>
                <w:bCs w:val="1"/>
                <w:color w:val="auto"/>
              </w:rPr>
              <w:t>(279)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gridSpan w:val="2"/>
          </w:tcPr>
          <w:p>
            <w:pPr>
              <w:jc w:val="right"/>
              <w:ind w:right="220"/>
              <w:spacing w:after="0" w:line="171" w:lineRule="exact"/>
              <w:rPr>
                <w:sz w:val="20"/>
                <w:szCs w:val="20"/>
                <w:color w:val="auto"/>
              </w:rPr>
            </w:pPr>
            <w:r>
              <w:rPr>
                <w:rFonts w:ascii="Arial" w:cs="Arial" w:eastAsia="Arial" w:hAnsi="Arial"/>
                <w:sz w:val="15"/>
                <w:szCs w:val="15"/>
                <w:color w:val="auto"/>
              </w:rPr>
              <w:t>(41)</w:t>
            </w:r>
          </w:p>
        </w:tc>
        <w:tc>
          <w:tcPr>
            <w:tcW w:w="220" w:type="dxa"/>
            <w:vAlign w:val="bottom"/>
          </w:tcPr>
          <w:p>
            <w:pPr>
              <w:spacing w:after="0"/>
              <w:rPr>
                <w:sz w:val="14"/>
                <w:szCs w:val="14"/>
                <w:color w:val="auto"/>
              </w:rPr>
            </w:pPr>
          </w:p>
        </w:tc>
        <w:tc>
          <w:tcPr>
            <w:tcW w:w="1240" w:type="dxa"/>
            <w:vAlign w:val="bottom"/>
          </w:tcPr>
          <w:p>
            <w:pPr>
              <w:jc w:val="right"/>
              <w:spacing w:after="0" w:line="171" w:lineRule="exact"/>
              <w:rPr>
                <w:sz w:val="20"/>
                <w:szCs w:val="20"/>
                <w:color w:val="auto"/>
              </w:rPr>
            </w:pPr>
            <w:r>
              <w:rPr>
                <w:rFonts w:ascii="Arial" w:cs="Arial" w:eastAsia="Arial" w:hAnsi="Arial"/>
                <w:sz w:val="15"/>
                <w:szCs w:val="15"/>
                <w:color w:val="auto"/>
              </w:rPr>
              <w:t>28</w:t>
            </w:r>
          </w:p>
        </w:tc>
        <w:tc>
          <w:tcPr>
            <w:tcW w:w="100" w:type="dxa"/>
            <w:vAlign w:val="bottom"/>
          </w:tcPr>
          <w:p>
            <w:pPr>
              <w:spacing w:after="0"/>
              <w:rPr>
                <w:sz w:val="14"/>
                <w:szCs w:val="14"/>
                <w:color w:val="auto"/>
              </w:rPr>
            </w:pPr>
          </w:p>
        </w:tc>
      </w:tr>
      <w:tr>
        <w:trPr>
          <w:trHeight w:val="210"/>
        </w:trPr>
        <w:tc>
          <w:tcPr>
            <w:tcW w:w="44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4"/>
              <w:spacing w:after="0" w:line="171" w:lineRule="exact"/>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840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right w:val="single" w:sz="8" w:color="CFF0FC"/>
            </w:tcBorders>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1,093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1,007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546"/>
        </w:trPr>
        <w:tc>
          <w:tcPr>
            <w:tcW w:w="4440" w:type="dxa"/>
            <w:vAlign w:val="bottom"/>
          </w:tcPr>
          <w:p>
            <w:pPr>
              <w:spacing w:after="0"/>
              <w:rPr>
                <w:sz w:val="24"/>
                <w:szCs w:val="24"/>
                <w:color w:val="auto"/>
              </w:rPr>
            </w:pPr>
          </w:p>
        </w:tc>
        <w:tc>
          <w:tcPr>
            <w:tcW w:w="1700" w:type="dxa"/>
            <w:vAlign w:val="bottom"/>
          </w:tcPr>
          <w:p>
            <w:pPr>
              <w:jc w:val="right"/>
              <w:ind w:right="364"/>
              <w:spacing w:after="0"/>
              <w:rPr>
                <w:sz w:val="20"/>
                <w:szCs w:val="20"/>
                <w:color w:val="auto"/>
              </w:rPr>
            </w:pPr>
            <w:r>
              <w:rPr>
                <w:rFonts w:ascii="Arial" w:cs="Arial" w:eastAsia="Arial" w:hAnsi="Arial"/>
                <w:sz w:val="15"/>
                <w:szCs w:val="15"/>
                <w:color w:val="auto"/>
              </w:rPr>
              <w:t>47</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6"/>
        </w:trPr>
        <w:tc>
          <w:tcPr>
            <w:tcW w:w="44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-1772285</wp:posOffset>
            </wp:positionV>
            <wp:extent cx="723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-1772285</wp:posOffset>
            </wp:positionV>
            <wp:extent cx="723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-1772285</wp:posOffset>
            </wp:positionV>
            <wp:extent cx="647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-1087120</wp:posOffset>
            </wp:positionV>
            <wp:extent cx="723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-1087120</wp:posOffset>
            </wp:positionV>
            <wp:extent cx="723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-1087120</wp:posOffset>
            </wp:positionV>
            <wp:extent cx="647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-845820</wp:posOffset>
            </wp:positionV>
            <wp:extent cx="723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-829310</wp:posOffset>
            </wp:positionV>
            <wp:extent cx="723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-845820</wp:posOffset>
            </wp:positionV>
            <wp:extent cx="723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-829310</wp:posOffset>
            </wp:positionV>
            <wp:extent cx="723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-845820</wp:posOffset>
            </wp:positionV>
            <wp:extent cx="647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-829310</wp:posOffset>
            </wp:positionV>
            <wp:extent cx="647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color w:val="auto"/>
        </w:rPr>
        <w:t>A reconciliation of the United States statutory federal tax rate to the consolidated effective tax rate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5"/>
                <w:szCs w:val="15"/>
                <w:b w:val="1"/>
                <w:bCs w:val="1"/>
                <w:color w:val="auto"/>
              </w:rPr>
              <w:t>2025</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5"/>
                <w:szCs w:val="15"/>
                <w:color w:val="auto"/>
              </w:rPr>
              <w:t>2024</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5"/>
                <w:szCs w:val="15"/>
                <w:color w:val="auto"/>
              </w:rPr>
              <w:t>2023</w:t>
            </w:r>
          </w:p>
        </w:tc>
        <w:tc>
          <w:tcPr>
            <w:tcW w:w="140" w:type="dxa"/>
            <w:vAlign w:val="bottom"/>
          </w:tcPr>
          <w:p>
            <w:pPr>
              <w:spacing w:after="0"/>
              <w:rPr>
                <w:sz w:val="16"/>
                <w:szCs w:val="16"/>
                <w:color w:val="auto"/>
              </w:rPr>
            </w:pPr>
          </w:p>
        </w:tc>
      </w:tr>
      <w:tr>
        <w:trPr>
          <w:trHeight w:val="170"/>
        </w:trPr>
        <w:tc>
          <w:tcPr>
            <w:tcW w:w="1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4"/>
              <w:spacing w:after="0" w:line="171" w:lineRule="exact"/>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44"/>
              <w:spacing w:after="0" w:line="171" w:lineRule="exact"/>
              <w:rPr>
                <w:sz w:val="20"/>
                <w:szCs w:val="20"/>
                <w:color w:val="auto"/>
              </w:rPr>
            </w:pPr>
            <w:r>
              <w:rPr>
                <w:rFonts w:ascii="Arial" w:cs="Arial" w:eastAsia="Arial" w:hAnsi="Arial"/>
                <w:sz w:val="15"/>
                <w:szCs w:val="15"/>
                <w:b w:val="1"/>
                <w:bCs w:val="1"/>
                <w:color w:val="auto"/>
              </w:rPr>
              <w:t>Percentage</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4"/>
              <w:spacing w:after="0" w:line="171" w:lineRule="exact"/>
              <w:rPr>
                <w:sz w:val="20"/>
                <w:szCs w:val="20"/>
                <w:color w:val="auto"/>
              </w:rPr>
            </w:pPr>
            <w:r>
              <w:rPr>
                <w:rFonts w:ascii="Arial" w:cs="Arial" w:eastAsia="Arial" w:hAnsi="Arial"/>
                <w:sz w:val="15"/>
                <w:szCs w:val="15"/>
                <w:color w:val="auto"/>
              </w:rPr>
              <w:t>Amount</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64"/>
              <w:spacing w:after="0" w:line="171" w:lineRule="exact"/>
              <w:rPr>
                <w:sz w:val="20"/>
                <w:szCs w:val="20"/>
                <w:color w:val="auto"/>
              </w:rPr>
            </w:pPr>
            <w:r>
              <w:rPr>
                <w:rFonts w:ascii="Arial" w:cs="Arial" w:eastAsia="Arial" w:hAnsi="Arial"/>
                <w:sz w:val="15"/>
                <w:szCs w:val="15"/>
                <w:color w:val="auto"/>
              </w:rPr>
              <w:t>Percentage</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4"/>
              <w:spacing w:after="0" w:line="171" w:lineRule="exact"/>
              <w:rPr>
                <w:sz w:val="20"/>
                <w:szCs w:val="20"/>
                <w:color w:val="auto"/>
              </w:rPr>
            </w:pPr>
            <w:r>
              <w:rPr>
                <w:rFonts w:ascii="Arial" w:cs="Arial" w:eastAsia="Arial" w:hAnsi="Arial"/>
                <w:sz w:val="15"/>
                <w:szCs w:val="15"/>
                <w:color w:val="auto"/>
              </w:rPr>
              <w:t>Amount</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64"/>
              <w:spacing w:after="0" w:line="171" w:lineRule="exact"/>
              <w:rPr>
                <w:sz w:val="20"/>
                <w:szCs w:val="20"/>
                <w:color w:val="auto"/>
              </w:rPr>
            </w:pPr>
            <w:r>
              <w:rPr>
                <w:rFonts w:ascii="Arial" w:cs="Arial" w:eastAsia="Arial" w:hAnsi="Arial"/>
                <w:sz w:val="15"/>
                <w:szCs w:val="15"/>
                <w:color w:val="auto"/>
              </w:rPr>
              <w:t>Percentage</w:t>
            </w:r>
          </w:p>
        </w:tc>
        <w:tc>
          <w:tcPr>
            <w:tcW w:w="140" w:type="dxa"/>
            <w:vAlign w:val="bottom"/>
          </w:tcPr>
          <w:p>
            <w:pPr>
              <w:spacing w:after="0"/>
              <w:rPr>
                <w:sz w:val="14"/>
                <w:szCs w:val="14"/>
                <w:color w:val="auto"/>
              </w:rPr>
            </w:pPr>
          </w:p>
        </w:tc>
      </w:tr>
      <w:tr>
        <w:trPr>
          <w:trHeight w:val="170"/>
        </w:trPr>
        <w:tc>
          <w:tcPr>
            <w:tcW w:w="15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US federal income tax</w:t>
            </w:r>
          </w:p>
        </w:tc>
        <w:tc>
          <w:tcPr>
            <w:tcW w:w="290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901</w:t>
            </w:r>
          </w:p>
        </w:tc>
        <w:tc>
          <w:tcPr>
            <w:tcW w:w="1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line="171" w:lineRule="exact"/>
              <w:rPr>
                <w:sz w:val="20"/>
                <w:szCs w:val="20"/>
                <w:color w:val="auto"/>
              </w:rPr>
            </w:pPr>
            <w:r>
              <w:rPr>
                <w:rFonts w:ascii="Arial" w:cs="Arial" w:eastAsia="Arial" w:hAnsi="Arial"/>
                <w:sz w:val="15"/>
                <w:szCs w:val="15"/>
                <w:b w:val="1"/>
                <w:bCs w:val="1"/>
                <w:color w:val="auto"/>
              </w:rPr>
              <w:t>21.0%</w:t>
            </w:r>
          </w:p>
        </w:tc>
        <w:tc>
          <w:tcPr>
            <w:tcW w:w="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1,191</w:t>
            </w:r>
          </w:p>
        </w:tc>
        <w:tc>
          <w:tcPr>
            <w:tcW w:w="100" w:type="dxa"/>
            <w:vAlign w:val="bottom"/>
            <w:shd w:val="clear" w:color="auto" w:fill="CFF0FC"/>
          </w:tcPr>
          <w:p>
            <w:pPr>
              <w:spacing w:after="0"/>
              <w:rPr>
                <w:sz w:val="14"/>
                <w:szCs w:val="14"/>
                <w:color w:val="auto"/>
              </w:rPr>
            </w:pPr>
          </w:p>
        </w:tc>
        <w:tc>
          <w:tcPr>
            <w:tcW w:w="1300" w:type="dxa"/>
            <w:vAlign w:val="bottom"/>
            <w:tcBorders>
              <w:right w:val="single" w:sz="8" w:color="CFF0FC"/>
            </w:tcBorders>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21.0%</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95"/>
              </w:rPr>
              <w:t>$</w:t>
            </w: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1,109</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21.0%</w:t>
            </w:r>
          </w:p>
        </w:tc>
      </w:tr>
      <w:tr>
        <w:trPr>
          <w:trHeight w:val="178"/>
        </w:trPr>
        <w:tc>
          <w:tcPr>
            <w:tcW w:w="1560" w:type="dxa"/>
            <w:vAlign w:val="bottom"/>
          </w:tcPr>
          <w:p>
            <w:pPr>
              <w:spacing w:after="0"/>
              <w:rPr>
                <w:sz w:val="20"/>
                <w:szCs w:val="20"/>
                <w:color w:val="auto"/>
              </w:rPr>
            </w:pPr>
            <w:r>
              <w:rPr>
                <w:rFonts w:ascii="Arial" w:cs="Arial" w:eastAsia="Arial" w:hAnsi="Arial"/>
                <w:sz w:val="15"/>
                <w:szCs w:val="15"/>
                <w:color w:val="auto"/>
              </w:rPr>
              <w:t>Non-US tax effects</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8"/>
        </w:trPr>
        <w:tc>
          <w:tcPr>
            <w:tcW w:w="1560" w:type="dxa"/>
            <w:vAlign w:val="bottom"/>
            <w:shd w:val="clear" w:color="auto" w:fill="CFF0FC"/>
          </w:tcPr>
          <w:p>
            <w:pPr>
              <w:ind w:left="80"/>
              <w:spacing w:after="0"/>
              <w:rPr>
                <w:sz w:val="20"/>
                <w:szCs w:val="20"/>
                <w:color w:val="auto"/>
              </w:rPr>
            </w:pPr>
            <w:r>
              <w:rPr>
                <w:rFonts w:ascii="Arial" w:cs="Arial" w:eastAsia="Arial" w:hAnsi="Arial"/>
                <w:sz w:val="15"/>
                <w:szCs w:val="15"/>
                <w:color w:val="auto"/>
              </w:rPr>
              <w:t>United Arab Emirates</w:t>
            </w:r>
          </w:p>
        </w:tc>
        <w:tc>
          <w:tcPr>
            <w:tcW w:w="2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b w:val="1"/>
                <w:bCs w:val="1"/>
                <w:color w:val="auto"/>
              </w:rPr>
              <w:t>(51)</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b w:val="1"/>
                <w:bCs w:val="1"/>
                <w:color w:val="auto"/>
              </w:rPr>
              <w:t>(1.2)</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(47)</w:t>
            </w: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(0.8)</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(40)</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(0.8)</w:t>
            </w:r>
          </w:p>
        </w:tc>
      </w:tr>
      <w:tr>
        <w:trPr>
          <w:trHeight w:val="178"/>
        </w:trPr>
        <w:tc>
          <w:tcPr>
            <w:tcW w:w="1560" w:type="dxa"/>
            <w:vAlign w:val="bottom"/>
          </w:tcPr>
          <w:p>
            <w:pPr>
              <w:ind w:left="80"/>
              <w:spacing w:after="0"/>
              <w:rPr>
                <w:sz w:val="20"/>
                <w:szCs w:val="20"/>
                <w:color w:val="auto"/>
              </w:rPr>
            </w:pPr>
            <w:r>
              <w:rPr>
                <w:rFonts w:ascii="Arial" w:cs="Arial" w:eastAsia="Arial" w:hAnsi="Arial"/>
                <w:sz w:val="15"/>
                <w:szCs w:val="15"/>
                <w:color w:val="auto"/>
              </w:rPr>
              <w:t>Saudi Arabia</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(39)</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(0.9)</w:t>
            </w: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(85)</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(101)</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(1.9)</w:t>
            </w:r>
          </w:p>
        </w:tc>
      </w:tr>
      <w:tr>
        <w:trPr>
          <w:trHeight w:val="178"/>
        </w:trPr>
        <w:tc>
          <w:tcPr>
            <w:tcW w:w="1560" w:type="dxa"/>
            <w:vAlign w:val="bottom"/>
            <w:shd w:val="clear" w:color="auto" w:fill="CFF0FC"/>
          </w:tcPr>
          <w:p>
            <w:pPr>
              <w:ind w:left="80"/>
              <w:spacing w:after="0"/>
              <w:rPr>
                <w:sz w:val="20"/>
                <w:szCs w:val="20"/>
                <w:color w:val="auto"/>
              </w:rPr>
            </w:pPr>
            <w:r>
              <w:rPr>
                <w:rFonts w:ascii="Arial" w:cs="Arial" w:eastAsia="Arial" w:hAnsi="Arial"/>
                <w:sz w:val="15"/>
                <w:szCs w:val="15"/>
                <w:color w:val="auto"/>
              </w:rPr>
              <w:t>Norway</w:t>
            </w:r>
          </w:p>
        </w:tc>
        <w:tc>
          <w:tcPr>
            <w:tcW w:w="2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20</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0.5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(65)</w:t>
            </w: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(1.1)</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(41)</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(0.8)</w:t>
            </w:r>
          </w:p>
        </w:tc>
      </w:tr>
      <w:tr>
        <w:trPr>
          <w:trHeight w:val="178"/>
        </w:trPr>
        <w:tc>
          <w:tcPr>
            <w:tcW w:w="1560" w:type="dxa"/>
            <w:vAlign w:val="bottom"/>
          </w:tcPr>
          <w:p>
            <w:pPr>
              <w:ind w:left="80"/>
              <w:spacing w:after="0"/>
              <w:rPr>
                <w:sz w:val="20"/>
                <w:szCs w:val="20"/>
                <w:color w:val="auto"/>
              </w:rPr>
            </w:pPr>
            <w:r>
              <w:rPr>
                <w:rFonts w:ascii="Arial" w:cs="Arial" w:eastAsia="Arial" w:hAnsi="Arial"/>
                <w:sz w:val="15"/>
                <w:szCs w:val="15"/>
                <w:color w:val="auto"/>
              </w:rPr>
              <w:t>Ecuador:</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8"/>
        </w:trPr>
        <w:tc>
          <w:tcPr>
            <w:tcW w:w="15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Dividend withholding</w:t>
            </w:r>
          </w:p>
        </w:tc>
        <w:tc>
          <w:tcPr>
            <w:tcW w:w="2900" w:type="dxa"/>
            <w:vAlign w:val="bottom"/>
            <w:gridSpan w:val="2"/>
            <w:shd w:val="clear" w:color="auto" w:fill="CFF0FC"/>
          </w:tcPr>
          <w:p>
            <w:pPr>
              <w:jc w:val="right"/>
              <w:ind w:right="2660"/>
              <w:spacing w:after="0"/>
              <w:rPr>
                <w:sz w:val="20"/>
                <w:szCs w:val="20"/>
                <w:color w:val="auto"/>
              </w:rPr>
            </w:pPr>
            <w:r>
              <w:rPr>
                <w:rFonts w:ascii="Arial" w:cs="Arial" w:eastAsia="Arial" w:hAnsi="Arial"/>
                <w:sz w:val="15"/>
                <w:szCs w:val="15"/>
                <w:color w:val="auto"/>
              </w:rPr>
              <w:t>tax</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61</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0.5</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FF0FC"/>
          </w:tcPr>
          <w:p>
            <w:pPr>
              <w:spacing w:after="0"/>
              <w:rPr>
                <w:sz w:val="15"/>
                <w:szCs w:val="15"/>
                <w:color w:val="auto"/>
              </w:rPr>
            </w:pPr>
          </w:p>
        </w:tc>
      </w:tr>
      <w:tr>
        <w:trPr>
          <w:trHeight w:val="178"/>
        </w:trPr>
        <w:tc>
          <w:tcPr>
            <w:tcW w:w="1560" w:type="dxa"/>
            <w:vAlign w:val="bottom"/>
          </w:tcPr>
          <w:p>
            <w:pPr>
              <w:ind w:left="120"/>
              <w:spacing w:after="0"/>
              <w:rPr>
                <w:sz w:val="20"/>
                <w:szCs w:val="20"/>
                <w:color w:val="auto"/>
              </w:rPr>
            </w:pPr>
            <w:r>
              <w:rPr>
                <w:rFonts w:ascii="Arial" w:cs="Arial" w:eastAsia="Arial" w:hAnsi="Arial"/>
                <w:sz w:val="15"/>
                <w:szCs w:val="15"/>
                <w:color w:val="auto"/>
              </w:rPr>
              <w:t>Other</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0.2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0.9</w:t>
            </w:r>
          </w:p>
        </w:tc>
        <w:tc>
          <w:tcPr>
            <w:tcW w:w="140" w:type="dxa"/>
            <w:vAlign w:val="bottom"/>
          </w:tcPr>
          <w:p>
            <w:pPr>
              <w:spacing w:after="0"/>
              <w:rPr>
                <w:sz w:val="15"/>
                <w:szCs w:val="15"/>
                <w:color w:val="auto"/>
              </w:rPr>
            </w:pPr>
          </w:p>
        </w:tc>
      </w:tr>
      <w:tr>
        <w:trPr>
          <w:trHeight w:val="178"/>
        </w:trPr>
        <w:tc>
          <w:tcPr>
            <w:tcW w:w="1560" w:type="dxa"/>
            <w:vAlign w:val="bottom"/>
            <w:shd w:val="clear" w:color="auto" w:fill="CFF0FC"/>
          </w:tcPr>
          <w:p>
            <w:pPr>
              <w:ind w:left="80"/>
              <w:spacing w:after="0"/>
              <w:rPr>
                <w:sz w:val="20"/>
                <w:szCs w:val="20"/>
                <w:color w:val="auto"/>
              </w:rPr>
            </w:pPr>
            <w:r>
              <w:rPr>
                <w:rFonts w:ascii="Arial" w:cs="Arial" w:eastAsia="Arial" w:hAnsi="Arial"/>
                <w:sz w:val="15"/>
                <w:szCs w:val="15"/>
                <w:color w:val="auto"/>
              </w:rPr>
              <w:t>British Virgin Island</w:t>
            </w:r>
          </w:p>
        </w:tc>
        <w:tc>
          <w:tcPr>
            <w:tcW w:w="2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31</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0.7</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140" w:type="dxa"/>
            <w:vAlign w:val="bottom"/>
            <w:shd w:val="clear" w:color="auto" w:fill="CFF0FC"/>
          </w:tcPr>
          <w:p>
            <w:pPr>
              <w:spacing w:after="0"/>
              <w:rPr>
                <w:sz w:val="15"/>
                <w:szCs w:val="15"/>
                <w:color w:val="auto"/>
              </w:rPr>
            </w:pPr>
          </w:p>
        </w:tc>
      </w:tr>
      <w:tr>
        <w:trPr>
          <w:trHeight w:val="178"/>
        </w:trPr>
        <w:tc>
          <w:tcPr>
            <w:tcW w:w="1560" w:type="dxa"/>
            <w:vAlign w:val="bottom"/>
          </w:tcPr>
          <w:p>
            <w:pPr>
              <w:ind w:left="80"/>
              <w:spacing w:after="0"/>
              <w:rPr>
                <w:sz w:val="20"/>
                <w:szCs w:val="20"/>
                <w:color w:val="auto"/>
              </w:rPr>
            </w:pPr>
            <w:r>
              <w:rPr>
                <w:rFonts w:ascii="Arial" w:cs="Arial" w:eastAsia="Arial" w:hAnsi="Arial"/>
                <w:sz w:val="15"/>
                <w:szCs w:val="15"/>
                <w:color w:val="auto"/>
              </w:rPr>
              <w:t>Russia</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0.4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5"/>
                <w:szCs w:val="15"/>
                <w:color w:val="auto"/>
              </w:rPr>
            </w:pPr>
          </w:p>
        </w:tc>
      </w:tr>
      <w:tr>
        <w:trPr>
          <w:trHeight w:val="178"/>
        </w:trPr>
        <w:tc>
          <w:tcPr>
            <w:tcW w:w="1560" w:type="dxa"/>
            <w:vAlign w:val="bottom"/>
            <w:shd w:val="clear" w:color="auto" w:fill="CFF0FC"/>
          </w:tcPr>
          <w:p>
            <w:pPr>
              <w:ind w:left="80"/>
              <w:spacing w:after="0"/>
              <w:rPr>
                <w:sz w:val="20"/>
                <w:szCs w:val="20"/>
                <w:color w:val="auto"/>
              </w:rPr>
            </w:pPr>
            <w:r>
              <w:rPr>
                <w:rFonts w:ascii="Arial" w:cs="Arial" w:eastAsia="Arial" w:hAnsi="Arial"/>
                <w:sz w:val="15"/>
                <w:szCs w:val="15"/>
                <w:color w:val="auto"/>
              </w:rPr>
              <w:t>Other jurisdictions</w:t>
            </w:r>
          </w:p>
        </w:tc>
        <w:tc>
          <w:tcPr>
            <w:tcW w:w="2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65</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0.5</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(60)</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(1.1)</w:t>
            </w:r>
          </w:p>
        </w:tc>
      </w:tr>
      <w:tr>
        <w:trPr>
          <w:trHeight w:val="178"/>
        </w:trPr>
        <w:tc>
          <w:tcPr>
            <w:tcW w:w="1560" w:type="dxa"/>
            <w:vAlign w:val="bottom"/>
          </w:tcPr>
          <w:p>
            <w:pPr>
              <w:spacing w:after="0"/>
              <w:rPr>
                <w:sz w:val="20"/>
                <w:szCs w:val="20"/>
                <w:color w:val="auto"/>
              </w:rPr>
            </w:pPr>
            <w:r>
              <w:rPr>
                <w:rFonts w:ascii="Arial" w:cs="Arial" w:eastAsia="Arial" w:hAnsi="Arial"/>
                <w:sz w:val="15"/>
                <w:szCs w:val="15"/>
                <w:color w:val="auto"/>
              </w:rPr>
              <w:t>Tax credits</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(33)</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(0.8)</w:t>
            </w: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(21)</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(0.4)</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(20)</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(0.4)</w:t>
            </w:r>
          </w:p>
        </w:tc>
      </w:tr>
      <w:tr>
        <w:trPr>
          <w:trHeight w:val="178"/>
        </w:trPr>
        <w:tc>
          <w:tcPr>
            <w:tcW w:w="446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Changes in valuation allowance</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b w:val="1"/>
                <w:bCs w:val="1"/>
                <w:color w:val="auto"/>
              </w:rPr>
              <w:t>(133)</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b w:val="1"/>
                <w:bCs w:val="1"/>
                <w:color w:val="auto"/>
              </w:rPr>
              <w:t>(3.1)</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(26)</w:t>
            </w: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(0.5)</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(0.1)</w:t>
            </w:r>
          </w:p>
        </w:tc>
      </w:tr>
      <w:tr>
        <w:trPr>
          <w:trHeight w:val="178"/>
        </w:trPr>
        <w:tc>
          <w:tcPr>
            <w:tcW w:w="4460" w:type="dxa"/>
            <w:vAlign w:val="bottom"/>
            <w:gridSpan w:val="3"/>
          </w:tcPr>
          <w:p>
            <w:pPr>
              <w:spacing w:after="0"/>
              <w:rPr>
                <w:sz w:val="20"/>
                <w:szCs w:val="20"/>
                <w:color w:val="auto"/>
              </w:rPr>
            </w:pPr>
            <w:r>
              <w:rPr>
                <w:rFonts w:ascii="Arial" w:cs="Arial" w:eastAsia="Arial" w:hAnsi="Arial"/>
                <w:sz w:val="15"/>
                <w:szCs w:val="15"/>
                <w:color w:val="auto"/>
              </w:rPr>
              <w:t>Nontaxable or nondeductible items</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0.1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(34)</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(0.6)</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0.3</w:t>
            </w:r>
          </w:p>
        </w:tc>
        <w:tc>
          <w:tcPr>
            <w:tcW w:w="140" w:type="dxa"/>
            <w:vAlign w:val="bottom"/>
          </w:tcPr>
          <w:p>
            <w:pPr>
              <w:spacing w:after="0"/>
              <w:rPr>
                <w:sz w:val="15"/>
                <w:szCs w:val="15"/>
                <w:color w:val="auto"/>
              </w:rPr>
            </w:pPr>
          </w:p>
        </w:tc>
      </w:tr>
      <w:tr>
        <w:trPr>
          <w:trHeight w:val="178"/>
        </w:trPr>
        <w:tc>
          <w:tcPr>
            <w:tcW w:w="446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Changes in unrecognized tax benefits</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b w:val="1"/>
                <w:bCs w:val="1"/>
                <w:color w:val="auto"/>
              </w:rPr>
              <w:t>(5)</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b w:val="1"/>
                <w:bCs w:val="1"/>
                <w:color w:val="auto"/>
              </w:rPr>
              <w:t>(0.1)</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(26)</w:t>
            </w: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(0.5)</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(75)</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(1.4)</w:t>
            </w:r>
          </w:p>
        </w:tc>
      </w:tr>
      <w:tr>
        <w:trPr>
          <w:trHeight w:val="178"/>
        </w:trPr>
        <w:tc>
          <w:tcPr>
            <w:tcW w:w="1560" w:type="dxa"/>
            <w:vAlign w:val="bottom"/>
          </w:tcPr>
          <w:p>
            <w:pPr>
              <w:spacing w:after="0"/>
              <w:rPr>
                <w:sz w:val="20"/>
                <w:szCs w:val="20"/>
                <w:color w:val="auto"/>
              </w:rPr>
            </w:pPr>
            <w:r>
              <w:rPr>
                <w:rFonts w:ascii="Arial" w:cs="Arial" w:eastAsia="Arial" w:hAnsi="Arial"/>
                <w:sz w:val="15"/>
                <w:szCs w:val="15"/>
                <w:color w:val="auto"/>
              </w:rPr>
              <w:t>Other adjustments</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(5)</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(0.1)</w:t>
            </w: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(9)</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(0.2)</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(82)</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(1.6)</w:t>
            </w:r>
          </w:p>
        </w:tc>
      </w:tr>
      <w:tr>
        <w:trPr>
          <w:trHeight w:val="20"/>
        </w:trPr>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1560" w:type="dxa"/>
            <w:vAlign w:val="bottom"/>
            <w:shd w:val="clear" w:color="auto" w:fill="CFF0FC"/>
          </w:tcPr>
          <w:p>
            <w:pPr>
              <w:spacing w:after="0"/>
              <w:rPr>
                <w:sz w:val="16"/>
                <w:szCs w:val="16"/>
                <w:color w:val="auto"/>
              </w:rPr>
            </w:pPr>
          </w:p>
        </w:tc>
        <w:tc>
          <w:tcPr>
            <w:tcW w:w="290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840</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40"/>
              <w:spacing w:after="0" w:line="171" w:lineRule="exact"/>
              <w:rPr>
                <w:sz w:val="20"/>
                <w:szCs w:val="20"/>
                <w:color w:val="auto"/>
              </w:rPr>
            </w:pPr>
            <w:r>
              <w:rPr>
                <w:rFonts w:ascii="Arial" w:cs="Arial" w:eastAsia="Arial" w:hAnsi="Arial"/>
                <w:sz w:val="15"/>
                <w:szCs w:val="15"/>
                <w:b w:val="1"/>
                <w:bCs w:val="1"/>
                <w:color w:val="auto"/>
              </w:rPr>
              <w:t>19.6%</w:t>
            </w:r>
          </w:p>
        </w:tc>
        <w:tc>
          <w:tcPr>
            <w:tcW w:w="1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1,093</w:t>
            </w:r>
          </w:p>
        </w:tc>
        <w:tc>
          <w:tcPr>
            <w:tcW w:w="100" w:type="dxa"/>
            <w:vAlign w:val="bottom"/>
            <w:shd w:val="clear" w:color="auto" w:fill="CFF0FC"/>
          </w:tcPr>
          <w:p>
            <w:pPr>
              <w:spacing w:after="0"/>
              <w:rPr>
                <w:sz w:val="16"/>
                <w:szCs w:val="16"/>
                <w:color w:val="auto"/>
              </w:rPr>
            </w:pPr>
          </w:p>
        </w:tc>
        <w:tc>
          <w:tcPr>
            <w:tcW w:w="1300" w:type="dxa"/>
            <w:vAlign w:val="bottom"/>
            <w:tcBorders>
              <w:right w:val="single" w:sz="8" w:color="CFF0FC"/>
            </w:tcBorders>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19.3%</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95"/>
              </w:rPr>
              <w:t>$</w:t>
            </w:r>
          </w:p>
        </w:tc>
        <w:tc>
          <w:tcPr>
            <w:tcW w:w="8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1,007</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19.0%</w:t>
            </w:r>
          </w:p>
        </w:tc>
      </w:tr>
      <w:tr>
        <w:trPr>
          <w:trHeight w:val="20"/>
        </w:trPr>
        <w:tc>
          <w:tcPr>
            <w:tcW w:w="1560" w:type="dxa"/>
            <w:vAlign w:val="bottom"/>
            <w:tcBorders>
              <w:top w:val="single" w:sz="8" w:color="CFF0FC"/>
            </w:tcBorders>
            <w:shd w:val="clear" w:color="auto" w:fill="CFF0FC"/>
          </w:tcPr>
          <w:p>
            <w:pPr>
              <w:spacing w:after="0" w:line="20" w:lineRule="exact"/>
              <w:rPr>
                <w:sz w:val="1"/>
                <w:szCs w:val="1"/>
                <w:color w:val="auto"/>
              </w:rPr>
            </w:pP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-23495</wp:posOffset>
            </wp:positionV>
            <wp:extent cx="723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-7620</wp:posOffset>
            </wp:positionV>
            <wp:extent cx="723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-23495</wp:posOffset>
            </wp:positionV>
            <wp:extent cx="965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-7620</wp:posOffset>
            </wp:positionV>
            <wp:extent cx="965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-23495</wp:posOffset>
            </wp:positionV>
            <wp:extent cx="647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-7620</wp:posOffset>
            </wp:positionV>
            <wp:extent cx="647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-23495</wp:posOffset>
            </wp:positionV>
            <wp:extent cx="965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965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6319520</wp:posOffset>
            </wp:positionH>
            <wp:positionV relativeFrom="paragraph">
              <wp:posOffset>-23495</wp:posOffset>
            </wp:positionV>
            <wp:extent cx="647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6319520</wp:posOffset>
            </wp:positionH>
            <wp:positionV relativeFrom="paragraph">
              <wp:posOffset>-7620</wp:posOffset>
            </wp:positionV>
            <wp:extent cx="647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-23495</wp:posOffset>
            </wp:positionV>
            <wp:extent cx="965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7044690</wp:posOffset>
            </wp:positionH>
            <wp:positionV relativeFrom="paragraph">
              <wp:posOffset>-7620</wp:posOffset>
            </wp:positionV>
            <wp:extent cx="965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6520" cy="8255"/>
                    </a:xfrm>
                    <a:prstGeom prst="rect">
                      <a:avLst/>
                    </a:prstGeom>
                    <a:noFill/>
                  </pic:spPr>
                </pic:pic>
              </a:graphicData>
            </a:graphic>
          </wp:anchor>
        </w:drawing>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 number of the jurisdictions in which SLB operates have tax laws that are not fully defined and are evolving. SLB’s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beginning and ending amount of liabilities associated with uncertain tax positions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6560" w:type="dxa"/>
            <w:vAlign w:val="bottom"/>
          </w:tcPr>
          <w:p>
            <w:pPr>
              <w:spacing w:after="0"/>
              <w:rPr>
                <w:sz w:val="24"/>
                <w:szCs w:val="24"/>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2025</w:t>
            </w:r>
          </w:p>
        </w:tc>
        <w:tc>
          <w:tcPr>
            <w:tcW w:w="3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65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Balance at beginning of year</w:t>
            </w:r>
          </w:p>
        </w:tc>
        <w:tc>
          <w:tcPr>
            <w:tcW w:w="980" w:type="dxa"/>
            <w:vAlign w:val="bottom"/>
            <w:shd w:val="clear" w:color="auto" w:fill="CFF0FC"/>
          </w:tcPr>
          <w:p>
            <w:pPr>
              <w:jc w:val="right"/>
              <w:ind w:right="824"/>
              <w:spacing w:after="0" w:line="171" w:lineRule="exact"/>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715</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784"/>
              <w:spacing w:after="0" w:line="171" w:lineRule="exact"/>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783</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893</w:t>
            </w:r>
          </w:p>
        </w:tc>
        <w:tc>
          <w:tcPr>
            <w:tcW w:w="100" w:type="dxa"/>
            <w:vAlign w:val="bottom"/>
            <w:shd w:val="clear" w:color="auto" w:fill="CFF0FC"/>
          </w:tcPr>
          <w:p>
            <w:pPr>
              <w:spacing w:after="0"/>
              <w:rPr>
                <w:sz w:val="14"/>
                <w:szCs w:val="14"/>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Additions based on tax positions related to the current year</w:t>
            </w: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Additions for tax positions of prior years</w:t>
            </w:r>
          </w:p>
        </w:tc>
        <w:tc>
          <w:tcPr>
            <w:tcW w:w="9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100" w:type="dxa"/>
            <w:vAlign w:val="bottom"/>
            <w:shd w:val="clear" w:color="auto" w:fill="CFF0FC"/>
          </w:tcPr>
          <w:p>
            <w:pPr>
              <w:spacing w:after="0"/>
              <w:rPr>
                <w:sz w:val="15"/>
                <w:szCs w:val="15"/>
                <w:color w:val="auto"/>
              </w:rPr>
            </w:pP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Additions related to acquisitions</w:t>
            </w:r>
          </w:p>
        </w:tc>
        <w:tc>
          <w:tcPr>
            <w:tcW w:w="9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73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Impact of changes in exchange rates</w:t>
            </w:r>
          </w:p>
        </w:tc>
        <w:tc>
          <w:tcPr>
            <w:tcW w:w="9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(25)</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Settlements with tax authorities</w:t>
            </w:r>
          </w:p>
        </w:tc>
        <w:tc>
          <w:tcPr>
            <w:tcW w:w="9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(36)</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Reductions for tax positions of prior years</w:t>
            </w:r>
          </w:p>
        </w:tc>
        <w:tc>
          <w:tcPr>
            <w:tcW w:w="9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(93)</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(176)</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Reductions due to the lapse of statute of limitations</w:t>
            </w:r>
          </w:p>
        </w:tc>
        <w:tc>
          <w:tcPr>
            <w:tcW w:w="9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(34)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5"/>
                <w:szCs w:val="15"/>
                <w:color w:val="auto"/>
              </w:rPr>
              <w:t>(30)</w:t>
            </w:r>
          </w:p>
        </w:tc>
      </w:tr>
      <w:tr>
        <w:trPr>
          <w:trHeight w:val="20"/>
        </w:trPr>
        <w:tc>
          <w:tcPr>
            <w:tcW w:w="6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5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24"/>
              <w:spacing w:after="0" w:line="171" w:lineRule="exact"/>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806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784"/>
              <w:spacing w:after="0" w:line="171" w:lineRule="exact"/>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715</w:t>
            </w:r>
          </w:p>
        </w:tc>
        <w:tc>
          <w:tcPr>
            <w:tcW w:w="16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783</w:t>
            </w:r>
          </w:p>
        </w:tc>
        <w:tc>
          <w:tcPr>
            <w:tcW w:w="100" w:type="dxa"/>
            <w:vAlign w:val="bottom"/>
            <w:shd w:val="clear" w:color="auto" w:fill="CFF0FC"/>
          </w:tcPr>
          <w:p>
            <w:pPr>
              <w:spacing w:after="0"/>
              <w:rPr>
                <w:sz w:val="16"/>
                <w:szCs w:val="16"/>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-23495</wp:posOffset>
            </wp:positionV>
            <wp:extent cx="723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-7620</wp:posOffset>
            </wp:positionV>
            <wp:extent cx="723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-23495</wp:posOffset>
            </wp:positionV>
            <wp:extent cx="647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-7620</wp:posOffset>
            </wp:positionV>
            <wp:extent cx="647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The amounts above exclude accrued interest and penalties of $132 million at December 31, 2025 and $116 million at December 31, 2024. SLB classifies interest and penalties relating to uncertain tax positions within </w:t>
      </w:r>
      <w:r>
        <w:rPr>
          <w:rFonts w:ascii="Arial" w:cs="Arial" w:eastAsia="Arial" w:hAnsi="Arial"/>
          <w:sz w:val="15"/>
          <w:szCs w:val="15"/>
          <w:i w:val="1"/>
          <w:iCs w:val="1"/>
          <w:color w:val="auto"/>
        </w:rPr>
        <w:t>Tax expense</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following table summarizes the tax years that are either currently under audit or remain open and subject to examination by the tax authorities in the most significant jurisdictions in which SLB operates: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shd w:val="clear" w:color="auto" w:fill="CFF0FC"/>
          </w:tcPr>
          <w:p>
            <w:pPr>
              <w:spacing w:after="0"/>
              <w:rPr>
                <w:sz w:val="20"/>
                <w:szCs w:val="20"/>
                <w:color w:val="auto"/>
              </w:rPr>
            </w:pPr>
            <w:r>
              <w:rPr>
                <w:rFonts w:ascii="Arial" w:cs="Arial" w:eastAsia="Arial" w:hAnsi="Arial"/>
                <w:sz w:val="15"/>
                <w:szCs w:val="15"/>
                <w:color w:val="auto"/>
              </w:rPr>
              <w:t>Ecuador</w:t>
            </w:r>
          </w:p>
        </w:tc>
        <w:tc>
          <w:tcPr>
            <w:tcW w:w="5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2021 - 2025</w:t>
            </w:r>
          </w:p>
        </w:tc>
        <w:tc>
          <w:tcPr>
            <w:tcW w:w="2260" w:type="dxa"/>
            <w:vAlign w:val="bottom"/>
          </w:tcPr>
          <w:p>
            <w:pPr>
              <w:spacing w:after="0"/>
              <w:rPr>
                <w:sz w:val="15"/>
                <w:szCs w:val="15"/>
                <w:color w:val="auto"/>
              </w:rPr>
            </w:pPr>
          </w:p>
        </w:tc>
      </w:tr>
      <w:tr>
        <w:trPr>
          <w:trHeight w:val="178"/>
        </w:trPr>
        <w:tc>
          <w:tcPr>
            <w:tcW w:w="3320" w:type="dxa"/>
            <w:vAlign w:val="bottom"/>
          </w:tcPr>
          <w:p>
            <w:pPr>
              <w:spacing w:after="0"/>
              <w:rPr>
                <w:sz w:val="20"/>
                <w:szCs w:val="20"/>
                <w:color w:val="auto"/>
              </w:rPr>
            </w:pPr>
            <w:r>
              <w:rPr>
                <w:rFonts w:ascii="Arial" w:cs="Arial" w:eastAsia="Arial" w:hAnsi="Arial"/>
                <w:sz w:val="15"/>
                <w:szCs w:val="15"/>
                <w:color w:val="auto"/>
              </w:rPr>
              <w:t>Mexico</w:t>
            </w:r>
          </w:p>
        </w:tc>
        <w:tc>
          <w:tcPr>
            <w:tcW w:w="5660" w:type="dxa"/>
            <w:vAlign w:val="bottom"/>
          </w:tcPr>
          <w:p>
            <w:pPr>
              <w:jc w:val="right"/>
              <w:spacing w:after="0"/>
              <w:rPr>
                <w:sz w:val="20"/>
                <w:szCs w:val="20"/>
                <w:color w:val="auto"/>
              </w:rPr>
            </w:pPr>
            <w:r>
              <w:rPr>
                <w:rFonts w:ascii="Arial" w:cs="Arial" w:eastAsia="Arial" w:hAnsi="Arial"/>
                <w:sz w:val="15"/>
                <w:szCs w:val="15"/>
                <w:color w:val="auto"/>
              </w:rPr>
              <w:t>2020 - 2025</w:t>
            </w:r>
          </w:p>
        </w:tc>
        <w:tc>
          <w:tcPr>
            <w:tcW w:w="2260" w:type="dxa"/>
            <w:vAlign w:val="bottom"/>
          </w:tcPr>
          <w:p>
            <w:pPr>
              <w:spacing w:after="0"/>
              <w:rPr>
                <w:sz w:val="15"/>
                <w:szCs w:val="15"/>
                <w:color w:val="auto"/>
              </w:rPr>
            </w:pPr>
          </w:p>
        </w:tc>
      </w:tr>
      <w:tr>
        <w:trPr>
          <w:trHeight w:val="178"/>
        </w:trPr>
        <w:tc>
          <w:tcPr>
            <w:tcW w:w="3320" w:type="dxa"/>
            <w:vAlign w:val="bottom"/>
            <w:shd w:val="clear" w:color="auto" w:fill="CFF0FC"/>
          </w:tcPr>
          <w:p>
            <w:pPr>
              <w:spacing w:after="0"/>
              <w:rPr>
                <w:sz w:val="20"/>
                <w:szCs w:val="20"/>
                <w:color w:val="auto"/>
              </w:rPr>
            </w:pPr>
            <w:r>
              <w:rPr>
                <w:rFonts w:ascii="Arial" w:cs="Arial" w:eastAsia="Arial" w:hAnsi="Arial"/>
                <w:sz w:val="15"/>
                <w:szCs w:val="15"/>
                <w:color w:val="auto"/>
              </w:rPr>
              <w:t>Norway</w:t>
            </w:r>
          </w:p>
        </w:tc>
        <w:tc>
          <w:tcPr>
            <w:tcW w:w="5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2020 - 2025</w:t>
            </w:r>
          </w:p>
        </w:tc>
        <w:tc>
          <w:tcPr>
            <w:tcW w:w="2260" w:type="dxa"/>
            <w:vAlign w:val="bottom"/>
          </w:tcPr>
          <w:p>
            <w:pPr>
              <w:spacing w:after="0"/>
              <w:rPr>
                <w:sz w:val="15"/>
                <w:szCs w:val="15"/>
                <w:color w:val="auto"/>
              </w:rPr>
            </w:pPr>
          </w:p>
        </w:tc>
      </w:tr>
      <w:tr>
        <w:trPr>
          <w:trHeight w:val="178"/>
        </w:trPr>
        <w:tc>
          <w:tcPr>
            <w:tcW w:w="3320" w:type="dxa"/>
            <w:vAlign w:val="bottom"/>
          </w:tcPr>
          <w:p>
            <w:pPr>
              <w:spacing w:after="0"/>
              <w:rPr>
                <w:sz w:val="20"/>
                <w:szCs w:val="20"/>
                <w:color w:val="auto"/>
              </w:rPr>
            </w:pPr>
            <w:r>
              <w:rPr>
                <w:rFonts w:ascii="Arial" w:cs="Arial" w:eastAsia="Arial" w:hAnsi="Arial"/>
                <w:sz w:val="15"/>
                <w:szCs w:val="15"/>
                <w:color w:val="auto"/>
              </w:rPr>
              <w:t>Russia</w:t>
            </w:r>
          </w:p>
        </w:tc>
        <w:tc>
          <w:tcPr>
            <w:tcW w:w="5660" w:type="dxa"/>
            <w:vAlign w:val="bottom"/>
          </w:tcPr>
          <w:p>
            <w:pPr>
              <w:jc w:val="right"/>
              <w:spacing w:after="0"/>
              <w:rPr>
                <w:sz w:val="20"/>
                <w:szCs w:val="20"/>
                <w:color w:val="auto"/>
              </w:rPr>
            </w:pPr>
            <w:r>
              <w:rPr>
                <w:rFonts w:ascii="Arial" w:cs="Arial" w:eastAsia="Arial" w:hAnsi="Arial"/>
                <w:sz w:val="15"/>
                <w:szCs w:val="15"/>
                <w:color w:val="auto"/>
              </w:rPr>
              <w:t>2022 - 2025</w:t>
            </w:r>
          </w:p>
        </w:tc>
        <w:tc>
          <w:tcPr>
            <w:tcW w:w="2260" w:type="dxa"/>
            <w:vAlign w:val="bottom"/>
          </w:tcPr>
          <w:p>
            <w:pPr>
              <w:spacing w:after="0"/>
              <w:rPr>
                <w:sz w:val="15"/>
                <w:szCs w:val="15"/>
                <w:color w:val="auto"/>
              </w:rPr>
            </w:pPr>
          </w:p>
        </w:tc>
      </w:tr>
      <w:tr>
        <w:trPr>
          <w:trHeight w:val="178"/>
        </w:trPr>
        <w:tc>
          <w:tcPr>
            <w:tcW w:w="3320" w:type="dxa"/>
            <w:vAlign w:val="bottom"/>
            <w:shd w:val="clear" w:color="auto" w:fill="CFF0FC"/>
          </w:tcPr>
          <w:p>
            <w:pPr>
              <w:spacing w:after="0"/>
              <w:rPr>
                <w:sz w:val="20"/>
                <w:szCs w:val="20"/>
                <w:color w:val="auto"/>
              </w:rPr>
            </w:pPr>
            <w:r>
              <w:rPr>
                <w:rFonts w:ascii="Arial" w:cs="Arial" w:eastAsia="Arial" w:hAnsi="Arial"/>
                <w:sz w:val="15"/>
                <w:szCs w:val="15"/>
                <w:color w:val="auto"/>
              </w:rPr>
              <w:t>Saudi Arabia</w:t>
            </w:r>
          </w:p>
        </w:tc>
        <w:tc>
          <w:tcPr>
            <w:tcW w:w="5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2020 - 2025</w:t>
            </w:r>
          </w:p>
        </w:tc>
        <w:tc>
          <w:tcPr>
            <w:tcW w:w="2260" w:type="dxa"/>
            <w:vAlign w:val="bottom"/>
          </w:tcPr>
          <w:p>
            <w:pPr>
              <w:spacing w:after="0"/>
              <w:rPr>
                <w:sz w:val="15"/>
                <w:szCs w:val="15"/>
                <w:color w:val="auto"/>
              </w:rPr>
            </w:pPr>
          </w:p>
        </w:tc>
      </w:tr>
      <w:tr>
        <w:trPr>
          <w:trHeight w:val="178"/>
        </w:trPr>
        <w:tc>
          <w:tcPr>
            <w:tcW w:w="3320" w:type="dxa"/>
            <w:vAlign w:val="bottom"/>
          </w:tcPr>
          <w:p>
            <w:pPr>
              <w:spacing w:after="0"/>
              <w:rPr>
                <w:sz w:val="20"/>
                <w:szCs w:val="20"/>
                <w:color w:val="auto"/>
              </w:rPr>
            </w:pPr>
            <w:r>
              <w:rPr>
                <w:rFonts w:ascii="Arial" w:cs="Arial" w:eastAsia="Arial" w:hAnsi="Arial"/>
                <w:sz w:val="15"/>
                <w:szCs w:val="15"/>
                <w:color w:val="auto"/>
              </w:rPr>
              <w:t>United Kingdom</w:t>
            </w:r>
          </w:p>
        </w:tc>
        <w:tc>
          <w:tcPr>
            <w:tcW w:w="5660" w:type="dxa"/>
            <w:vAlign w:val="bottom"/>
          </w:tcPr>
          <w:p>
            <w:pPr>
              <w:jc w:val="right"/>
              <w:spacing w:after="0"/>
              <w:rPr>
                <w:sz w:val="20"/>
                <w:szCs w:val="20"/>
                <w:color w:val="auto"/>
              </w:rPr>
            </w:pPr>
            <w:r>
              <w:rPr>
                <w:rFonts w:ascii="Arial" w:cs="Arial" w:eastAsia="Arial" w:hAnsi="Arial"/>
                <w:sz w:val="15"/>
                <w:szCs w:val="15"/>
                <w:color w:val="auto"/>
              </w:rPr>
              <w:t>2023 - 2025</w:t>
            </w:r>
          </w:p>
        </w:tc>
        <w:tc>
          <w:tcPr>
            <w:tcW w:w="2260" w:type="dxa"/>
            <w:vAlign w:val="bottom"/>
          </w:tcPr>
          <w:p>
            <w:pPr>
              <w:spacing w:after="0"/>
              <w:rPr>
                <w:sz w:val="15"/>
                <w:szCs w:val="15"/>
                <w:color w:val="auto"/>
              </w:rPr>
            </w:pPr>
          </w:p>
        </w:tc>
      </w:tr>
      <w:tr>
        <w:trPr>
          <w:trHeight w:val="178"/>
        </w:trPr>
        <w:tc>
          <w:tcPr>
            <w:tcW w:w="3320" w:type="dxa"/>
            <w:vAlign w:val="bottom"/>
            <w:shd w:val="clear" w:color="auto" w:fill="CFF0FC"/>
          </w:tcPr>
          <w:p>
            <w:pPr>
              <w:spacing w:after="0"/>
              <w:rPr>
                <w:sz w:val="20"/>
                <w:szCs w:val="20"/>
                <w:color w:val="auto"/>
              </w:rPr>
            </w:pPr>
            <w:r>
              <w:rPr>
                <w:rFonts w:ascii="Arial" w:cs="Arial" w:eastAsia="Arial" w:hAnsi="Arial"/>
                <w:sz w:val="15"/>
                <w:szCs w:val="15"/>
                <w:color w:val="auto"/>
              </w:rPr>
              <w:t>United States</w:t>
            </w:r>
          </w:p>
        </w:tc>
        <w:tc>
          <w:tcPr>
            <w:tcW w:w="5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2022 - 2025</w:t>
            </w:r>
          </w:p>
        </w:tc>
        <w:tc>
          <w:tcPr>
            <w:tcW w:w="2260" w:type="dxa"/>
            <w:vAlign w:val="bottom"/>
          </w:tcPr>
          <w:p>
            <w:pPr>
              <w:spacing w:after="0"/>
              <w:rPr>
                <w:sz w:val="15"/>
                <w:szCs w:val="15"/>
                <w:color w:val="auto"/>
              </w:rPr>
            </w:pPr>
          </w:p>
        </w:tc>
      </w:tr>
      <w:tr>
        <w:trPr>
          <w:trHeight w:val="594"/>
        </w:trPr>
        <w:tc>
          <w:tcPr>
            <w:tcW w:w="3320" w:type="dxa"/>
            <w:vAlign w:val="bottom"/>
          </w:tcPr>
          <w:p>
            <w:pPr>
              <w:spacing w:after="0"/>
              <w:rPr>
                <w:sz w:val="24"/>
                <w:szCs w:val="24"/>
                <w:color w:val="auto"/>
              </w:rPr>
            </w:pPr>
          </w:p>
        </w:tc>
        <w:tc>
          <w:tcPr>
            <w:tcW w:w="5660" w:type="dxa"/>
            <w:vAlign w:val="bottom"/>
          </w:tcPr>
          <w:p>
            <w:pPr>
              <w:jc w:val="right"/>
              <w:ind w:right="3204"/>
              <w:spacing w:after="0"/>
              <w:rPr>
                <w:sz w:val="20"/>
                <w:szCs w:val="20"/>
                <w:color w:val="auto"/>
              </w:rPr>
            </w:pPr>
            <w:r>
              <w:rPr>
                <w:rFonts w:ascii="Arial" w:cs="Arial" w:eastAsia="Arial" w:hAnsi="Arial"/>
                <w:sz w:val="15"/>
                <w:szCs w:val="15"/>
                <w:color w:val="auto"/>
              </w:rPr>
              <w:t>48</w:t>
            </w:r>
          </w:p>
        </w:tc>
        <w:tc>
          <w:tcPr>
            <w:tcW w:w="2260" w:type="dxa"/>
            <w:vAlign w:val="bottom"/>
          </w:tcPr>
          <w:p>
            <w:pPr>
              <w:spacing w:after="0"/>
              <w:rPr>
                <w:sz w:val="24"/>
                <w:szCs w:val="24"/>
                <w:color w:val="auto"/>
              </w:rPr>
            </w:pPr>
          </w:p>
        </w:tc>
      </w:tr>
      <w:tr>
        <w:trPr>
          <w:trHeight w:val="706"/>
        </w:trPr>
        <w:tc>
          <w:tcPr>
            <w:tcW w:w="332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color w:val="auto"/>
        </w:rPr>
        <w:t>Cash paid for income taxes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6580" w:type="dxa"/>
            <w:vAlign w:val="bottom"/>
          </w:tcPr>
          <w:p>
            <w:pPr>
              <w:spacing w:after="0"/>
              <w:rPr>
                <w:sz w:val="24"/>
                <w:szCs w:val="24"/>
                <w:color w:val="auto"/>
              </w:rPr>
            </w:pPr>
          </w:p>
        </w:tc>
        <w:tc>
          <w:tcPr>
            <w:tcW w:w="14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24"/>
                <w:szCs w:val="24"/>
                <w:color w:val="auto"/>
              </w:rPr>
            </w:pPr>
          </w:p>
        </w:tc>
        <w:tc>
          <w:tcPr>
            <w:tcW w:w="14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rPr>
              <w:t>2024</w:t>
            </w:r>
          </w:p>
        </w:tc>
        <w:tc>
          <w:tcPr>
            <w:tcW w:w="160" w:type="dxa"/>
            <w:vAlign w:val="bottom"/>
          </w:tcPr>
          <w:p>
            <w:pPr>
              <w:spacing w:after="0"/>
              <w:rPr>
                <w:sz w:val="24"/>
                <w:szCs w:val="24"/>
                <w:color w:val="auto"/>
              </w:rPr>
            </w:pPr>
          </w:p>
        </w:tc>
        <w:tc>
          <w:tcPr>
            <w:tcW w:w="14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2023</w:t>
            </w:r>
          </w:p>
        </w:tc>
      </w:tr>
      <w:tr>
        <w:trPr>
          <w:trHeight w:val="170"/>
        </w:trPr>
        <w:tc>
          <w:tcPr>
            <w:tcW w:w="65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US Federal</w:t>
            </w:r>
          </w:p>
        </w:tc>
        <w:tc>
          <w:tcPr>
            <w:tcW w:w="14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$44</w:t>
            </w:r>
          </w:p>
        </w:tc>
        <w:tc>
          <w:tcPr>
            <w:tcW w:w="16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$10</w:t>
            </w:r>
          </w:p>
        </w:tc>
        <w:tc>
          <w:tcPr>
            <w:tcW w:w="162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$13</w:t>
            </w:r>
          </w:p>
        </w:tc>
      </w:tr>
      <w:tr>
        <w:trPr>
          <w:trHeight w:val="178"/>
        </w:trPr>
        <w:tc>
          <w:tcPr>
            <w:tcW w:w="6580" w:type="dxa"/>
            <w:vAlign w:val="bottom"/>
          </w:tcPr>
          <w:p>
            <w:pPr>
              <w:spacing w:after="0"/>
              <w:rPr>
                <w:sz w:val="20"/>
                <w:szCs w:val="20"/>
                <w:color w:val="auto"/>
              </w:rPr>
            </w:pPr>
            <w:r>
              <w:rPr>
                <w:rFonts w:ascii="Arial" w:cs="Arial" w:eastAsia="Arial" w:hAnsi="Arial"/>
                <w:sz w:val="15"/>
                <w:szCs w:val="15"/>
                <w:color w:val="auto"/>
              </w:rPr>
              <w:t>US State</w:t>
            </w: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8</w:t>
            </w:r>
          </w:p>
        </w:tc>
      </w:tr>
      <w:tr>
        <w:trPr>
          <w:trHeight w:val="178"/>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Ecuador</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210</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224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210</w:t>
            </w:r>
          </w:p>
        </w:tc>
      </w:tr>
      <w:tr>
        <w:trPr>
          <w:trHeight w:val="178"/>
        </w:trPr>
        <w:tc>
          <w:tcPr>
            <w:tcW w:w="6580" w:type="dxa"/>
            <w:vAlign w:val="bottom"/>
          </w:tcPr>
          <w:p>
            <w:pPr>
              <w:spacing w:after="0"/>
              <w:rPr>
                <w:sz w:val="20"/>
                <w:szCs w:val="20"/>
                <w:color w:val="auto"/>
              </w:rPr>
            </w:pPr>
            <w:r>
              <w:rPr>
                <w:rFonts w:ascii="Arial" w:cs="Arial" w:eastAsia="Arial" w:hAnsi="Arial"/>
                <w:sz w:val="15"/>
                <w:szCs w:val="15"/>
                <w:color w:val="auto"/>
              </w:rPr>
              <w:t>Saudi Arabia</w:t>
            </w: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70</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101</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78"/>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Mexico</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126</w:t>
            </w:r>
          </w:p>
        </w:tc>
      </w:tr>
      <w:tr>
        <w:trPr>
          <w:trHeight w:val="178"/>
        </w:trPr>
        <w:tc>
          <w:tcPr>
            <w:tcW w:w="6580" w:type="dxa"/>
            <w:vAlign w:val="bottom"/>
          </w:tcPr>
          <w:p>
            <w:pPr>
              <w:spacing w:after="0"/>
              <w:rPr>
                <w:sz w:val="20"/>
                <w:szCs w:val="20"/>
                <w:color w:val="auto"/>
              </w:rPr>
            </w:pPr>
            <w:r>
              <w:rPr>
                <w:rFonts w:ascii="Arial" w:cs="Arial" w:eastAsia="Arial" w:hAnsi="Arial"/>
                <w:sz w:val="15"/>
                <w:szCs w:val="15"/>
                <w:color w:val="auto"/>
              </w:rPr>
              <w:t>Other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863</w:t>
            </w:r>
          </w:p>
        </w:tc>
        <w:tc>
          <w:tcPr>
            <w:tcW w:w="16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804</w:t>
            </w:r>
          </w:p>
        </w:tc>
        <w:tc>
          <w:tcPr>
            <w:tcW w:w="16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w:t>
            </w:r>
          </w:p>
        </w:tc>
      </w:tr>
      <w:tr>
        <w:trPr>
          <w:trHeight w:val="210"/>
        </w:trPr>
        <w:tc>
          <w:tcPr>
            <w:tcW w:w="65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$1,198</w:t>
            </w:r>
          </w:p>
        </w:tc>
        <w:tc>
          <w:tcPr>
            <w:tcW w:w="1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$1,140</w:t>
            </w:r>
          </w:p>
        </w:tc>
        <w:tc>
          <w:tcPr>
            <w:tcW w:w="1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-23495</wp:posOffset>
            </wp:positionV>
            <wp:extent cx="965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-7620</wp:posOffset>
            </wp:positionV>
            <wp:extent cx="965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-23495</wp:posOffset>
            </wp:positionV>
            <wp:extent cx="965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965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65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 Amount of income taxes paid during the year did not meet the 5% disaggregation threshold.</w:t>
      </w:r>
    </w:p>
    <w:p>
      <w:pPr>
        <w:spacing w:after="0" w:line="386" w:lineRule="exact"/>
        <w:rPr>
          <w:sz w:val="20"/>
          <w:szCs w:val="20"/>
          <w:color w:val="auto"/>
        </w:rPr>
      </w:pPr>
    </w:p>
    <w:p>
      <w:pPr>
        <w:ind w:left="300" w:hanging="298"/>
        <w:spacing w:after="0"/>
        <w:tabs>
          <w:tab w:leader="none" w:pos="300"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Leases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SLB’s leasing activities primarily consist of operating leases for administrative offices, manufacturing facilities, research centers, service centers, sales offices, and certain equipment. Total operating lease expense, which approximates cash paid and includes short-term leases, was $1.5 billion in 2025, and $1.4 billion in each of 2024 and 2023.</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Maturities of operating lease liabilities as of December 31, 2025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(Stated in millions)</w:t>
            </w:r>
          </w:p>
        </w:tc>
      </w:tr>
      <w:tr>
        <w:trPr>
          <w:trHeight w:val="174"/>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7360" w:type="dxa"/>
            <w:vAlign w:val="bottom"/>
            <w:shd w:val="clear" w:color="auto" w:fill="CFF0FC"/>
          </w:tcPr>
          <w:p>
            <w:pPr>
              <w:spacing w:after="0"/>
              <w:rPr>
                <w:sz w:val="20"/>
                <w:szCs w:val="20"/>
                <w:color w:val="auto"/>
              </w:rPr>
            </w:pPr>
            <w:r>
              <w:rPr>
                <w:rFonts w:ascii="Arial" w:cs="Arial" w:eastAsia="Arial" w:hAnsi="Arial"/>
                <w:sz w:val="15"/>
                <w:szCs w:val="15"/>
                <w:color w:val="auto"/>
              </w:rPr>
              <w:t>2026</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w:t>
            </w:r>
          </w:p>
        </w:tc>
        <w:tc>
          <w:tcPr>
            <w:tcW w:w="80" w:type="dxa"/>
            <w:vAlign w:val="bottom"/>
            <w:shd w:val="clear" w:color="auto" w:fill="CFF0FC"/>
          </w:tcPr>
          <w:p>
            <w:pPr>
              <w:spacing w:after="0"/>
              <w:rPr>
                <w:sz w:val="15"/>
                <w:szCs w:val="15"/>
                <w:color w:val="auto"/>
              </w:rPr>
            </w:pPr>
          </w:p>
        </w:tc>
      </w:tr>
      <w:tr>
        <w:trPr>
          <w:trHeight w:val="178"/>
        </w:trPr>
        <w:tc>
          <w:tcPr>
            <w:tcW w:w="7360" w:type="dxa"/>
            <w:vAlign w:val="bottom"/>
          </w:tcPr>
          <w:p>
            <w:pPr>
              <w:spacing w:after="0"/>
              <w:rPr>
                <w:sz w:val="20"/>
                <w:szCs w:val="20"/>
                <w:color w:val="auto"/>
              </w:rPr>
            </w:pPr>
            <w:r>
              <w:rPr>
                <w:rFonts w:ascii="Arial" w:cs="Arial" w:eastAsia="Arial" w:hAnsi="Arial"/>
                <w:sz w:val="15"/>
                <w:szCs w:val="15"/>
                <w:color w:val="auto"/>
              </w:rPr>
              <w:t>2027</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196</w:t>
            </w:r>
          </w:p>
        </w:tc>
        <w:tc>
          <w:tcPr>
            <w:tcW w:w="80" w:type="dxa"/>
            <w:vAlign w:val="bottom"/>
          </w:tcPr>
          <w:p>
            <w:pPr>
              <w:spacing w:after="0"/>
              <w:rPr>
                <w:sz w:val="15"/>
                <w:szCs w:val="15"/>
                <w:color w:val="auto"/>
              </w:rPr>
            </w:pPr>
          </w:p>
        </w:tc>
      </w:tr>
      <w:tr>
        <w:trPr>
          <w:trHeight w:val="178"/>
        </w:trPr>
        <w:tc>
          <w:tcPr>
            <w:tcW w:w="7360" w:type="dxa"/>
            <w:vAlign w:val="bottom"/>
            <w:shd w:val="clear" w:color="auto" w:fill="CFF0FC"/>
          </w:tcPr>
          <w:p>
            <w:pPr>
              <w:spacing w:after="0"/>
              <w:rPr>
                <w:sz w:val="20"/>
                <w:szCs w:val="20"/>
                <w:color w:val="auto"/>
              </w:rPr>
            </w:pPr>
            <w:r>
              <w:rPr>
                <w:rFonts w:ascii="Arial" w:cs="Arial" w:eastAsia="Arial" w:hAnsi="Arial"/>
                <w:sz w:val="15"/>
                <w:szCs w:val="15"/>
                <w:color w:val="auto"/>
              </w:rPr>
              <w:t>2028</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w:t>
            </w:r>
          </w:p>
        </w:tc>
        <w:tc>
          <w:tcPr>
            <w:tcW w:w="80" w:type="dxa"/>
            <w:vAlign w:val="bottom"/>
            <w:shd w:val="clear" w:color="auto" w:fill="CFF0FC"/>
          </w:tcPr>
          <w:p>
            <w:pPr>
              <w:spacing w:after="0"/>
              <w:rPr>
                <w:sz w:val="15"/>
                <w:szCs w:val="15"/>
                <w:color w:val="auto"/>
              </w:rPr>
            </w:pPr>
          </w:p>
        </w:tc>
      </w:tr>
      <w:tr>
        <w:trPr>
          <w:trHeight w:val="178"/>
        </w:trPr>
        <w:tc>
          <w:tcPr>
            <w:tcW w:w="7360" w:type="dxa"/>
            <w:vAlign w:val="bottom"/>
          </w:tcPr>
          <w:p>
            <w:pPr>
              <w:spacing w:after="0"/>
              <w:rPr>
                <w:sz w:val="20"/>
                <w:szCs w:val="20"/>
                <w:color w:val="auto"/>
              </w:rPr>
            </w:pPr>
            <w:r>
              <w:rPr>
                <w:rFonts w:ascii="Arial" w:cs="Arial" w:eastAsia="Arial" w:hAnsi="Arial"/>
                <w:sz w:val="15"/>
                <w:szCs w:val="15"/>
                <w:color w:val="auto"/>
              </w:rPr>
              <w:t>2029</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5"/>
                <w:szCs w:val="15"/>
                <w:color w:val="auto"/>
              </w:rPr>
            </w:pPr>
          </w:p>
        </w:tc>
      </w:tr>
      <w:tr>
        <w:trPr>
          <w:trHeight w:val="178"/>
        </w:trPr>
        <w:tc>
          <w:tcPr>
            <w:tcW w:w="7360" w:type="dxa"/>
            <w:vAlign w:val="bottom"/>
            <w:shd w:val="clear" w:color="auto" w:fill="CFF0FC"/>
          </w:tcPr>
          <w:p>
            <w:pPr>
              <w:spacing w:after="0"/>
              <w:rPr>
                <w:sz w:val="20"/>
                <w:szCs w:val="20"/>
                <w:color w:val="auto"/>
              </w:rPr>
            </w:pPr>
            <w:r>
              <w:rPr>
                <w:rFonts w:ascii="Arial" w:cs="Arial" w:eastAsia="Arial" w:hAnsi="Arial"/>
                <w:sz w:val="15"/>
                <w:szCs w:val="15"/>
                <w:color w:val="auto"/>
              </w:rPr>
              <w:t>2030</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w:t>
            </w:r>
          </w:p>
        </w:tc>
        <w:tc>
          <w:tcPr>
            <w:tcW w:w="80" w:type="dxa"/>
            <w:vAlign w:val="bottom"/>
            <w:shd w:val="clear" w:color="auto" w:fill="CFF0FC"/>
          </w:tcPr>
          <w:p>
            <w:pPr>
              <w:spacing w:after="0"/>
              <w:rPr>
                <w:sz w:val="15"/>
                <w:szCs w:val="15"/>
                <w:color w:val="auto"/>
              </w:rPr>
            </w:pPr>
          </w:p>
        </w:tc>
      </w:tr>
      <w:tr>
        <w:trPr>
          <w:trHeight w:val="178"/>
        </w:trPr>
        <w:tc>
          <w:tcPr>
            <w:tcW w:w="7360" w:type="dxa"/>
            <w:vAlign w:val="bottom"/>
          </w:tcPr>
          <w:p>
            <w:pPr>
              <w:spacing w:after="0"/>
              <w:rPr>
                <w:sz w:val="20"/>
                <w:szCs w:val="20"/>
                <w:color w:val="auto"/>
              </w:rPr>
            </w:pPr>
            <w:r>
              <w:rPr>
                <w:rFonts w:ascii="Arial" w:cs="Arial" w:eastAsia="Arial" w:hAnsi="Arial"/>
                <w:sz w:val="15"/>
                <w:szCs w:val="15"/>
                <w:color w:val="auto"/>
              </w:rPr>
              <w:t>Thereafter</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w:t>
            </w:r>
          </w:p>
        </w:tc>
        <w:tc>
          <w:tcPr>
            <w:tcW w:w="80" w:type="dxa"/>
            <w:vAlign w:val="bottom"/>
          </w:tcPr>
          <w:p>
            <w:pPr>
              <w:spacing w:after="0"/>
              <w:rPr>
                <w:sz w:val="15"/>
                <w:szCs w:val="15"/>
                <w:color w:val="auto"/>
              </w:rPr>
            </w:pPr>
          </w:p>
        </w:tc>
      </w:tr>
      <w:tr>
        <w:trPr>
          <w:trHeight w:val="170"/>
        </w:trPr>
        <w:tc>
          <w:tcPr>
            <w:tcW w:w="73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Total lease payments</w:t>
            </w:r>
          </w:p>
        </w:tc>
        <w:tc>
          <w:tcPr>
            <w:tcW w:w="260" w:type="dxa"/>
            <w:vAlign w:val="bottom"/>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line="171" w:lineRule="exact"/>
              <w:rPr>
                <w:sz w:val="20"/>
                <w:szCs w:val="20"/>
                <w:color w:val="auto"/>
              </w:rPr>
            </w:pPr>
            <w:r>
              <w:rPr>
                <w:rFonts w:ascii="Arial" w:cs="Arial" w:eastAsia="Arial" w:hAnsi="Arial"/>
                <w:sz w:val="15"/>
                <w:szCs w:val="15"/>
                <w:color w:val="auto"/>
              </w:rPr>
              <w:t>1,056</w:t>
            </w:r>
          </w:p>
        </w:tc>
      </w:tr>
      <w:tr>
        <w:trPr>
          <w:trHeight w:val="178"/>
        </w:trPr>
        <w:tc>
          <w:tcPr>
            <w:tcW w:w="7360" w:type="dxa"/>
            <w:vAlign w:val="bottom"/>
          </w:tcPr>
          <w:p>
            <w:pPr>
              <w:spacing w:after="0"/>
              <w:rPr>
                <w:sz w:val="20"/>
                <w:szCs w:val="20"/>
                <w:color w:val="auto"/>
              </w:rPr>
            </w:pPr>
            <w:r>
              <w:rPr>
                <w:rFonts w:ascii="Arial" w:cs="Arial" w:eastAsia="Arial" w:hAnsi="Arial"/>
                <w:sz w:val="15"/>
                <w:szCs w:val="15"/>
                <w:color w:val="auto"/>
              </w:rPr>
              <w:t>Less: Interest</w:t>
            </w:r>
          </w:p>
        </w:tc>
        <w:tc>
          <w:tcPr>
            <w:tcW w:w="26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5"/>
                <w:szCs w:val="15"/>
                <w:color w:val="auto"/>
              </w:rPr>
              <w:t>(151)</w:t>
            </w:r>
          </w:p>
        </w:tc>
      </w:tr>
      <w:tr>
        <w:trPr>
          <w:trHeight w:val="210"/>
        </w:trPr>
        <w:tc>
          <w:tcPr>
            <w:tcW w:w="7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905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56"/>
        </w:trPr>
        <w:tc>
          <w:tcPr>
            <w:tcW w:w="7360" w:type="dxa"/>
            <w:vAlign w:val="bottom"/>
          </w:tcPr>
          <w:p>
            <w:pPr>
              <w:spacing w:after="0" w:line="156" w:lineRule="exact"/>
              <w:rPr>
                <w:sz w:val="20"/>
                <w:szCs w:val="20"/>
                <w:color w:val="auto"/>
              </w:rPr>
            </w:pPr>
            <w:r>
              <w:rPr>
                <w:rFonts w:ascii="Arial" w:cs="Arial" w:eastAsia="Arial" w:hAnsi="Arial"/>
                <w:sz w:val="15"/>
                <w:szCs w:val="15"/>
                <w:b w:val="1"/>
                <w:bCs w:val="1"/>
                <w:i w:val="1"/>
                <w:iCs w:val="1"/>
                <w:color w:val="auto"/>
              </w:rPr>
              <w:t>Amounts recognized in balance sheet:</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7360" w:type="dxa"/>
            <w:vAlign w:val="bottom"/>
            <w:shd w:val="clear" w:color="auto" w:fill="CFF0FC"/>
          </w:tcPr>
          <w:p>
            <w:pPr>
              <w:spacing w:after="0"/>
              <w:rPr>
                <w:sz w:val="20"/>
                <w:szCs w:val="20"/>
                <w:color w:val="auto"/>
              </w:rPr>
            </w:pPr>
            <w:r>
              <w:rPr>
                <w:rFonts w:ascii="Arial" w:cs="Arial" w:eastAsia="Arial" w:hAnsi="Arial"/>
                <w:sz w:val="15"/>
                <w:szCs w:val="15"/>
                <w:i w:val="1"/>
                <w:iCs w:val="1"/>
                <w:color w:val="auto"/>
              </w:rPr>
              <w:t>Accounts payable and accrued liabilities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672</w:t>
            </w:r>
          </w:p>
        </w:tc>
        <w:tc>
          <w:tcPr>
            <w:tcW w:w="80" w:type="dxa"/>
            <w:vAlign w:val="bottom"/>
            <w:shd w:val="clear" w:color="auto" w:fill="CFF0FC"/>
          </w:tcPr>
          <w:p>
            <w:pPr>
              <w:spacing w:after="0"/>
              <w:rPr>
                <w:sz w:val="15"/>
                <w:szCs w:val="15"/>
                <w:color w:val="auto"/>
              </w:rPr>
            </w:pPr>
          </w:p>
        </w:tc>
      </w:tr>
      <w:tr>
        <w:trPr>
          <w:trHeight w:val="178"/>
        </w:trPr>
        <w:tc>
          <w:tcPr>
            <w:tcW w:w="7360" w:type="dxa"/>
            <w:vAlign w:val="bottom"/>
          </w:tcPr>
          <w:p>
            <w:pPr>
              <w:spacing w:after="0"/>
              <w:rPr>
                <w:sz w:val="20"/>
                <w:szCs w:val="20"/>
                <w:color w:val="auto"/>
              </w:rPr>
            </w:pPr>
            <w:r>
              <w:rPr>
                <w:rFonts w:ascii="Arial" w:cs="Arial" w:eastAsia="Arial" w:hAnsi="Arial"/>
                <w:sz w:val="15"/>
                <w:szCs w:val="15"/>
                <w:i w:val="1"/>
                <w:iCs w:val="1"/>
                <w:color w:val="auto"/>
              </w:rPr>
              <w:t>Other Liabilities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80" w:type="dxa"/>
            <w:vAlign w:val="bottom"/>
          </w:tcPr>
          <w:p>
            <w:pPr>
              <w:spacing w:after="0"/>
              <w:rPr>
                <w:sz w:val="15"/>
                <w:szCs w:val="15"/>
                <w:color w:val="auto"/>
              </w:rPr>
            </w:pPr>
          </w:p>
        </w:tc>
      </w:tr>
      <w:tr>
        <w:trPr>
          <w:trHeight w:val="210"/>
        </w:trPr>
        <w:tc>
          <w:tcPr>
            <w:tcW w:w="7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905</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-507365</wp:posOffset>
            </wp:positionV>
            <wp:extent cx="565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-490855</wp:posOffset>
            </wp:positionV>
            <wp:extent cx="565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-23495</wp:posOffset>
            </wp:positionV>
            <wp:extent cx="565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-7620</wp:posOffset>
            </wp:positionV>
            <wp:extent cx="565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6515" cy="8255"/>
                    </a:xfrm>
                    <a:prstGeom prst="rect">
                      <a:avLst/>
                    </a:prstGeom>
                    <a:noFill/>
                  </pic:spPr>
                </pic:pic>
              </a:graphicData>
            </a:graphic>
          </wp:anchor>
        </w:drawing>
      </w:r>
    </w:p>
    <w:p>
      <w:pPr>
        <w:spacing w:after="0" w:line="145"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weighted-average remaining lease term as of December 31, 2025 was 8 years. The weighted-average discount rate used to determine the operating lease liability as of December 31, 2025 was 4%.</w:t>
      </w:r>
    </w:p>
    <w:p>
      <w:pPr>
        <w:spacing w:after="0" w:line="149" w:lineRule="exact"/>
        <w:rPr>
          <w:sz w:val="20"/>
          <w:szCs w:val="20"/>
          <w:color w:val="auto"/>
        </w:rPr>
      </w:pPr>
    </w:p>
    <w:p>
      <w:pPr>
        <w:ind w:left="300" w:hanging="298"/>
        <w:spacing w:after="0"/>
        <w:tabs>
          <w:tab w:leader="none" w:pos="300"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Contingencies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3" w:lineRule="exact"/>
        <w:rPr>
          <w:sz w:val="20"/>
          <w:szCs w:val="20"/>
          <w:color w:val="auto"/>
        </w:rPr>
      </w:pPr>
    </w:p>
    <w:p>
      <w:pPr>
        <w:ind w:left="300" w:hanging="298"/>
        <w:spacing w:after="0"/>
        <w:tabs>
          <w:tab w:leader="none" w:pos="300"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Segment Information</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is primarily organized under four Divisions that combine and integrate SLB’s technologies, enhancing the Company’s ability to support the emerging long-term growth opportunities in each of these market segments.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SLB previously reported its results on the basis of four Divisions: Digital &amp; Integration, Reservoir Performance, Well Construction, and Production Systems. Commencing the third quarter of 2025, SLB's Digital business is reported as a separate Division. Additionally, SLB's Asset Performance Solutions ("APS"), Data Center Solutions and SLB Capturi businesses are now reported in the All Other category. The acquired ChampionX businesses are predominantly reported in SLB's Production Systems Division, with the exception of its digital business, which is reported in SLB's Digital Division. Prior periods have been recast to conform to the current presentation.</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SLB’s segments, are:</w:t>
      </w:r>
    </w:p>
    <w:p>
      <w:pPr>
        <w:spacing w:after="0" w:line="107" w:lineRule="exact"/>
        <w:rPr>
          <w:sz w:val="20"/>
          <w:szCs w:val="20"/>
          <w:color w:val="auto"/>
        </w:rPr>
      </w:pPr>
    </w:p>
    <w:p>
      <w:pPr>
        <w:ind w:left="5540" w:right="5000" w:hanging="5164"/>
        <w:spacing w:after="0" w:line="584" w:lineRule="auto"/>
        <w:tabs>
          <w:tab w:leader="none" w:pos="751" w:val="left"/>
        </w:tabs>
        <w:numPr>
          <w:ilvl w:val="0"/>
          <w:numId w:val="42"/>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Digital </w:t>
      </w:r>
      <w:r>
        <w:rPr>
          <w:rFonts w:ascii="Arial" w:cs="Arial" w:eastAsia="Arial" w:hAnsi="Arial"/>
          <w:sz w:val="15"/>
          <w:szCs w:val="15"/>
          <w:color w:val="auto"/>
        </w:rPr>
        <w:t>– Comprised of SLB's industry-leading digital solutions and data products.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274955</wp:posOffset>
            </wp:positionV>
            <wp:extent cx="7165975" cy="412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9" w:name="page50"/>
    <w:bookmarkEnd w:id="49"/>
    <w:p>
      <w:pPr>
        <w:ind w:left="760" w:hanging="384"/>
        <w:spacing w:after="0"/>
        <w:tabs>
          <w:tab w:leader="none" w:pos="760"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Reservoir Performance </w:t>
      </w:r>
      <w:r>
        <w:rPr>
          <w:rFonts w:ascii="Arial" w:cs="Arial" w:eastAsia="Arial" w:hAnsi="Arial"/>
          <w:sz w:val="15"/>
          <w:szCs w:val="15"/>
          <w:color w:val="auto"/>
        </w:rPr>
        <w:t>– Consists of reservoir-centric technologies and services that are critical to optimizing reservoir productivity and performance.</w:t>
      </w:r>
    </w:p>
    <w:p>
      <w:pPr>
        <w:spacing w:after="0" w:line="31" w:lineRule="exact"/>
        <w:rPr>
          <w:rFonts w:ascii="Times New Roman" w:cs="Times New Roman" w:eastAsia="Times New Roman" w:hAnsi="Times New Roman"/>
          <w:sz w:val="15"/>
          <w:szCs w:val="15"/>
          <w:color w:val="auto"/>
        </w:rPr>
      </w:pPr>
    </w:p>
    <w:p>
      <w:pPr>
        <w:ind w:left="760" w:hanging="384"/>
        <w:spacing w:after="0" w:line="246" w:lineRule="auto"/>
        <w:tabs>
          <w:tab w:leader="none" w:pos="760"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Well Construction </w:t>
      </w:r>
      <w:r>
        <w:rPr>
          <w:rFonts w:ascii="Arial" w:cs="Arial" w:eastAsia="Arial" w:hAnsi="Arial"/>
          <w:sz w:val="15"/>
          <w:szCs w:val="15"/>
          <w:color w:val="auto"/>
        </w:rPr>
        <w:t>– Combines the full portfolio of products and services to optimize well placement and performance, maximize drilling efficiency,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improve wellbore assurance.</w:t>
      </w:r>
    </w:p>
    <w:p>
      <w:pPr>
        <w:spacing w:after="0" w:line="1" w:lineRule="exact"/>
        <w:rPr>
          <w:rFonts w:ascii="Times New Roman" w:cs="Times New Roman" w:eastAsia="Times New Roman" w:hAnsi="Times New Roman"/>
          <w:sz w:val="15"/>
          <w:szCs w:val="15"/>
          <w:color w:val="auto"/>
        </w:rPr>
      </w:pPr>
    </w:p>
    <w:p>
      <w:pPr>
        <w:ind w:left="760" w:hanging="384"/>
        <w:spacing w:after="0" w:line="246" w:lineRule="auto"/>
        <w:tabs>
          <w:tab w:leader="none" w:pos="760"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Production Systems </w:t>
      </w:r>
      <w:r>
        <w:rPr>
          <w:rFonts w:ascii="Arial" w:cs="Arial" w:eastAsia="Arial" w:hAnsi="Arial"/>
          <w:sz w:val="15"/>
          <w:szCs w:val="15"/>
          <w:color w:val="auto"/>
        </w:rPr>
        <w:t>– Develops technologies and provides expertise that enhances production and recovery of oil and gas assets from subsurface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reservoirs to the surface, into pipelines, and to refineries.</w:t>
      </w:r>
    </w:p>
    <w:p>
      <w:pPr>
        <w:spacing w:after="0" w:line="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All Other </w:t>
      </w:r>
      <w:r>
        <w:rPr>
          <w:rFonts w:ascii="Arial" w:cs="Arial" w:eastAsia="Arial" w:hAnsi="Arial"/>
          <w:sz w:val="15"/>
          <w:szCs w:val="15"/>
          <w:color w:val="auto"/>
        </w:rPr>
        <w:t>– Consists of Asset Performance Solutions, Data Center Solutions, and SLB Capturi.</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Financial information by segment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2025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rPr>
              <w:t>Depreciation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Pretax</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44"/>
              <w:spacing w:after="0"/>
              <w:rPr>
                <w:sz w:val="20"/>
                <w:szCs w:val="20"/>
                <w:color w:val="auto"/>
              </w:rPr>
            </w:pPr>
            <w:r>
              <w:rPr>
                <w:rFonts w:ascii="Arial" w:cs="Arial" w:eastAsia="Arial" w:hAnsi="Arial"/>
                <w:sz w:val="15"/>
                <w:szCs w:val="15"/>
                <w:b w:val="1"/>
                <w:bCs w:val="1"/>
                <w:color w:val="auto"/>
              </w:rPr>
              <w:t>and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Capital</w:t>
            </w:r>
          </w:p>
        </w:tc>
      </w:tr>
      <w:tr>
        <w:trPr>
          <w:trHeight w:val="190"/>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Revenue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Amortization</w:t>
            </w:r>
          </w:p>
        </w:tc>
        <w:tc>
          <w:tcPr>
            <w:tcW w:w="2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Investments</w:t>
            </w:r>
          </w:p>
        </w:tc>
        <w:tc>
          <w:tcPr>
            <w:tcW w:w="100" w:type="dxa"/>
            <w:vAlign w:val="bottom"/>
          </w:tcPr>
          <w:p>
            <w:pPr>
              <w:spacing w:after="0"/>
              <w:rPr>
                <w:sz w:val="16"/>
                <w:szCs w:val="16"/>
                <w:color w:val="auto"/>
              </w:rPr>
            </w:pPr>
          </w:p>
        </w:tc>
      </w:tr>
      <w:tr>
        <w:trPr>
          <w:trHeight w:val="170"/>
        </w:trPr>
        <w:tc>
          <w:tcPr>
            <w:tcW w:w="51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2,660</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0"/>
              <w:spacing w:after="0" w:line="171"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745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925</w:t>
            </w:r>
          </w:p>
        </w:tc>
        <w:tc>
          <w:tcPr>
            <w:tcW w:w="440" w:type="dxa"/>
            <w:vAlign w:val="bottom"/>
            <w:gridSpan w:val="2"/>
            <w:shd w:val="clear" w:color="auto" w:fill="CFF0FC"/>
          </w:tcPr>
          <w:p>
            <w:pPr>
              <w:jc w:val="right"/>
              <w:ind w:right="64"/>
              <w:spacing w:after="0" w:line="171"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183</w:t>
            </w:r>
          </w:p>
        </w:tc>
        <w:tc>
          <w:tcPr>
            <w:tcW w:w="32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257</w:t>
            </w:r>
          </w:p>
        </w:tc>
        <w:tc>
          <w:tcPr>
            <w:tcW w:w="100" w:type="dxa"/>
            <w:vAlign w:val="bottom"/>
            <w:shd w:val="clear" w:color="auto" w:fill="CFF0FC"/>
          </w:tcPr>
          <w:p>
            <w:pPr>
              <w:spacing w:after="0"/>
              <w:rPr>
                <w:sz w:val="14"/>
                <w:szCs w:val="14"/>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Reservoir Performance</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6,820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1,250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3,947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435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467</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11,856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2,248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6,167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672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514</w:t>
            </w: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Production Systems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13,325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2,184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9,373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463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466</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1,987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498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2,249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375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441</w:t>
            </w: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Eliminations &amp; other</w:t>
            </w:r>
          </w:p>
        </w:tc>
        <w:tc>
          <w:tcPr>
            <w:tcW w:w="14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(940)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(351)</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1,033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288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229</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Goodwill and intangible assets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21,783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Cash and short-term investments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4,212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All other assets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5,179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line="178" w:lineRule="exact"/>
              <w:rPr>
                <w:sz w:val="20"/>
                <w:szCs w:val="20"/>
                <w:color w:val="auto"/>
              </w:rPr>
            </w:pPr>
            <w:r>
              <w:rPr>
                <w:rFonts w:ascii="Arial" w:cs="Arial" w:eastAsia="Arial" w:hAnsi="Arial"/>
                <w:sz w:val="15"/>
                <w:szCs w:val="15"/>
                <w:color w:val="auto"/>
              </w:rPr>
              <w:t xml:space="preserve">Corporate &amp; other </w:t>
            </w:r>
            <w:r>
              <w:rPr>
                <w:rFonts w:ascii="Arial" w:cs="Arial" w:eastAsia="Arial" w:hAnsi="Arial"/>
                <w:sz w:val="20"/>
                <w:szCs w:val="20"/>
                <w:color w:val="auto"/>
                <w:vertAlign w:val="superscript"/>
              </w:rPr>
              <w:t>(1)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(759)</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Interest income </w:t>
            </w:r>
            <w:r>
              <w:rPr>
                <w:rFonts w:ascii="Arial" w:cs="Arial" w:eastAsia="Arial" w:hAnsi="Arial"/>
                <w:sz w:val="20"/>
                <w:szCs w:val="20"/>
                <w:color w:val="auto"/>
                <w:vertAlign w:val="superscript"/>
              </w:rPr>
              <w:t>(2)</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line="178"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0"/>
                <w:szCs w:val="20"/>
                <w:color w:val="auto"/>
                <w:vertAlign w:val="superscript"/>
              </w:rPr>
              <w:t>(3)</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(551)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Charges &amp; credits </w:t>
            </w:r>
            <w:r>
              <w:rPr>
                <w:rFonts w:ascii="Arial" w:cs="Arial" w:eastAsia="Arial" w:hAnsi="Arial"/>
                <w:sz w:val="20"/>
                <w:szCs w:val="20"/>
                <w:color w:val="auto"/>
                <w:vertAlign w:val="superscript"/>
              </w:rPr>
              <w:t>(4)</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rPr>
              <w:t>(1,107)</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5180" w:type="dxa"/>
            <w:vAlign w:val="bottom"/>
          </w:tcPr>
          <w:p>
            <w:pPr>
              <w:spacing w:after="0"/>
              <w:rPr>
                <w:sz w:val="14"/>
                <w:szCs w:val="14"/>
                <w:color w:val="auto"/>
              </w:rPr>
            </w:pPr>
          </w:p>
        </w:tc>
        <w:tc>
          <w:tcPr>
            <w:tcW w:w="140" w:type="dxa"/>
            <w:vAlign w:val="bottom"/>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35,708</w:t>
            </w:r>
          </w:p>
        </w:tc>
        <w:tc>
          <w:tcPr>
            <w:tcW w:w="120" w:type="dxa"/>
            <w:vAlign w:val="bottom"/>
          </w:tcPr>
          <w:p>
            <w:pPr>
              <w:spacing w:after="0"/>
              <w:rPr>
                <w:sz w:val="14"/>
                <w:szCs w:val="14"/>
                <w:color w:val="auto"/>
              </w:rPr>
            </w:pPr>
          </w:p>
        </w:tc>
        <w:tc>
          <w:tcPr>
            <w:tcW w:w="260" w:type="dxa"/>
            <w:vAlign w:val="bottom"/>
            <w:gridSpan w:val="2"/>
          </w:tcPr>
          <w:p>
            <w:pPr>
              <w:jc w:val="right"/>
              <w:ind w:right="80"/>
              <w:spacing w:after="0" w:line="171" w:lineRule="exact"/>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4,291</w:t>
            </w:r>
          </w:p>
        </w:tc>
        <w:tc>
          <w:tcPr>
            <w:tcW w:w="220" w:type="dxa"/>
            <w:vAlign w:val="bottom"/>
          </w:tcPr>
          <w:p>
            <w:pPr>
              <w:spacing w:after="0"/>
              <w:rPr>
                <w:sz w:val="14"/>
                <w:szCs w:val="14"/>
                <w:color w:val="auto"/>
              </w:rPr>
            </w:pPr>
          </w:p>
        </w:tc>
        <w:tc>
          <w:tcPr>
            <w:tcW w:w="180" w:type="dxa"/>
            <w:vAlign w:val="bottom"/>
          </w:tcPr>
          <w:p>
            <w:pPr>
              <w:jc w:val="right"/>
              <w:ind w:right="24"/>
              <w:spacing w:after="0" w:line="171" w:lineRule="exact"/>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54,868</w:t>
            </w:r>
          </w:p>
        </w:tc>
        <w:tc>
          <w:tcPr>
            <w:tcW w:w="440" w:type="dxa"/>
            <w:vAlign w:val="bottom"/>
            <w:gridSpan w:val="2"/>
          </w:tcPr>
          <w:p>
            <w:pPr>
              <w:jc w:val="right"/>
              <w:ind w:right="64"/>
              <w:spacing w:after="0" w:line="171" w:lineRule="exact"/>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2,643</w:t>
            </w:r>
          </w:p>
        </w:tc>
        <w:tc>
          <w:tcPr>
            <w:tcW w:w="320" w:type="dxa"/>
            <w:vAlign w:val="bottom"/>
            <w:gridSpan w:val="2"/>
          </w:tcPr>
          <w:p>
            <w:pPr>
              <w:jc w:val="right"/>
              <w:spacing w:after="0" w:line="171" w:lineRule="exact"/>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2,374</w:t>
            </w:r>
          </w:p>
        </w:tc>
        <w:tc>
          <w:tcPr>
            <w:tcW w:w="100" w:type="dxa"/>
            <w:vAlign w:val="bottom"/>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8"/>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color w:val="auto"/>
              </w:rPr>
              <w:t>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spacing w:after="0" w:line="159" w:lineRule="exact"/>
              <w:rPr>
                <w:sz w:val="20"/>
                <w:szCs w:val="20"/>
                <w:color w:val="auto"/>
              </w:rPr>
            </w:pPr>
            <w:r>
              <w:rPr>
                <w:rFonts w:ascii="Arial" w:cs="Arial" w:eastAsia="Arial" w:hAnsi="Arial"/>
                <w:sz w:val="15"/>
                <w:szCs w:val="15"/>
                <w:color w:val="auto"/>
              </w:rPr>
              <w:t>Depreciation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5"/>
                <w:szCs w:val="15"/>
                <w:color w:val="auto"/>
              </w:rPr>
              <w:t>Pretax</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64"/>
              <w:spacing w:after="0"/>
              <w:rPr>
                <w:sz w:val="20"/>
                <w:szCs w:val="20"/>
                <w:color w:val="auto"/>
              </w:rPr>
            </w:pPr>
            <w:r>
              <w:rPr>
                <w:rFonts w:ascii="Arial" w:cs="Arial" w:eastAsia="Arial" w:hAnsi="Arial"/>
                <w:sz w:val="15"/>
                <w:szCs w:val="15"/>
                <w:color w:val="auto"/>
              </w:rPr>
              <w:t>and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color w:val="auto"/>
              </w:rPr>
              <w:t>Capital</w:t>
            </w:r>
          </w:p>
        </w:tc>
      </w:tr>
      <w:tr>
        <w:trPr>
          <w:trHeight w:val="190"/>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Revenue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color w:val="auto"/>
              </w:rPr>
              <w:t>Income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color w:val="auto"/>
              </w:rPr>
              <w:t>Assets</w:t>
            </w:r>
          </w:p>
        </w:tc>
        <w:tc>
          <w:tcPr>
            <w:tcW w:w="2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rPr>
              <w:t>Amortization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rPr>
              <w:t>Investments</w:t>
            </w:r>
          </w:p>
        </w:tc>
        <w:tc>
          <w:tcPr>
            <w:tcW w:w="100" w:type="dxa"/>
            <w:vAlign w:val="bottom"/>
          </w:tcPr>
          <w:p>
            <w:pPr>
              <w:spacing w:after="0"/>
              <w:rPr>
                <w:sz w:val="16"/>
                <w:szCs w:val="16"/>
                <w:color w:val="auto"/>
              </w:rPr>
            </w:pPr>
          </w:p>
        </w:tc>
      </w:tr>
      <w:tr>
        <w:trPr>
          <w:trHeight w:val="170"/>
        </w:trPr>
        <w:tc>
          <w:tcPr>
            <w:tcW w:w="51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2,439</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612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768</w:t>
            </w:r>
          </w:p>
        </w:tc>
        <w:tc>
          <w:tcPr>
            <w:tcW w:w="440" w:type="dxa"/>
            <w:vAlign w:val="bottom"/>
            <w:gridSpan w:val="2"/>
            <w:shd w:val="clear" w:color="auto" w:fill="CFF0FC"/>
          </w:tcPr>
          <w:p>
            <w:pPr>
              <w:jc w:val="right"/>
              <w:ind w:right="64"/>
              <w:spacing w:after="0" w:line="171"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173</w:t>
            </w:r>
          </w:p>
        </w:tc>
        <w:tc>
          <w:tcPr>
            <w:tcW w:w="32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199</w:t>
            </w:r>
          </w:p>
        </w:tc>
        <w:tc>
          <w:tcPr>
            <w:tcW w:w="100" w:type="dxa"/>
            <w:vAlign w:val="bottom"/>
            <w:shd w:val="clear" w:color="auto" w:fill="CFF0FC"/>
          </w:tcPr>
          <w:p>
            <w:pPr>
              <w:spacing w:after="0"/>
              <w:rPr>
                <w:sz w:val="14"/>
                <w:szCs w:val="14"/>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Reservoir Performance</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7,177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1,452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3,802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624</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13,357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2,826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6,740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w:t>
            </w: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Production Systems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11,935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7,049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406</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503</w:t>
            </w: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Eliminations &amp; other</w:t>
            </w:r>
          </w:p>
        </w:tc>
        <w:tc>
          <w:tcPr>
            <w:tcW w:w="14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(736)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(244)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1,152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Goodwill and intangible assets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17,605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Cash and short-term investments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4,669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All other assets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4,638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line="178" w:lineRule="exact"/>
              <w:rPr>
                <w:sz w:val="20"/>
                <w:szCs w:val="20"/>
                <w:color w:val="auto"/>
              </w:rPr>
            </w:pPr>
            <w:r>
              <w:rPr>
                <w:rFonts w:ascii="Arial" w:cs="Arial" w:eastAsia="Arial" w:hAnsi="Arial"/>
                <w:sz w:val="15"/>
                <w:szCs w:val="15"/>
                <w:color w:val="auto"/>
              </w:rPr>
              <w:t xml:space="preserve">Corporate &amp; other </w:t>
            </w:r>
            <w:r>
              <w:rPr>
                <w:rFonts w:ascii="Arial" w:cs="Arial" w:eastAsia="Arial" w:hAnsi="Arial"/>
                <w:sz w:val="20"/>
                <w:szCs w:val="20"/>
                <w:color w:val="auto"/>
                <w:vertAlign w:val="superscript"/>
              </w:rPr>
              <w:t>(1)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(744)</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Interest income </w:t>
            </w:r>
            <w:r>
              <w:rPr>
                <w:rFonts w:ascii="Arial" w:cs="Arial" w:eastAsia="Arial" w:hAnsi="Arial"/>
                <w:sz w:val="20"/>
                <w:szCs w:val="20"/>
                <w:color w:val="auto"/>
                <w:vertAlign w:val="superscript"/>
              </w:rPr>
              <w:t>(2)</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line="178"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0"/>
                <w:szCs w:val="20"/>
                <w:color w:val="auto"/>
                <w:vertAlign w:val="superscript"/>
              </w:rPr>
              <w:t>(3)</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(498)</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Charges &amp; credits </w:t>
            </w:r>
            <w:r>
              <w:rPr>
                <w:rFonts w:ascii="Arial" w:cs="Arial" w:eastAsia="Arial" w:hAnsi="Arial"/>
                <w:sz w:val="20"/>
                <w:szCs w:val="20"/>
                <w:color w:val="auto"/>
                <w:vertAlign w:val="superscript"/>
              </w:rPr>
              <w:t>(4)</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(541)</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5180" w:type="dxa"/>
            <w:vAlign w:val="bottom"/>
          </w:tcPr>
          <w:p>
            <w:pPr>
              <w:spacing w:after="0"/>
              <w:rPr>
                <w:sz w:val="14"/>
                <w:szCs w:val="14"/>
                <w:color w:val="auto"/>
              </w:rPr>
            </w:pPr>
          </w:p>
        </w:tc>
        <w:tc>
          <w:tcPr>
            <w:tcW w:w="14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1" w:lineRule="exact"/>
              <w:rPr>
                <w:sz w:val="20"/>
                <w:szCs w:val="20"/>
                <w:color w:val="auto"/>
              </w:rPr>
            </w:pPr>
            <w:r>
              <w:rPr>
                <w:rFonts w:ascii="Arial" w:cs="Arial" w:eastAsia="Arial" w:hAnsi="Arial"/>
                <w:sz w:val="15"/>
                <w:szCs w:val="15"/>
                <w:color w:val="auto"/>
              </w:rPr>
              <w:t>36,289</w:t>
            </w:r>
          </w:p>
        </w:tc>
        <w:tc>
          <w:tcPr>
            <w:tcW w:w="120" w:type="dxa"/>
            <w:vAlign w:val="bottom"/>
          </w:tcPr>
          <w:p>
            <w:pPr>
              <w:spacing w:after="0"/>
              <w:rPr>
                <w:sz w:val="14"/>
                <w:szCs w:val="14"/>
                <w:color w:val="auto"/>
              </w:rPr>
            </w:pPr>
          </w:p>
        </w:tc>
        <w:tc>
          <w:tcPr>
            <w:tcW w:w="26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71" w:lineRule="exact"/>
              <w:rPr>
                <w:sz w:val="20"/>
                <w:szCs w:val="20"/>
                <w:color w:val="auto"/>
              </w:rPr>
            </w:pPr>
            <w:r>
              <w:rPr>
                <w:rFonts w:ascii="Arial" w:cs="Arial" w:eastAsia="Arial" w:hAnsi="Arial"/>
                <w:sz w:val="15"/>
                <w:szCs w:val="15"/>
                <w:color w:val="auto"/>
              </w:rPr>
              <w:t>5,672</w:t>
            </w:r>
          </w:p>
        </w:tc>
        <w:tc>
          <w:tcPr>
            <w:tcW w:w="220" w:type="dxa"/>
            <w:vAlign w:val="bottom"/>
          </w:tcPr>
          <w:p>
            <w:pPr>
              <w:spacing w:after="0"/>
              <w:rPr>
                <w:sz w:val="14"/>
                <w:szCs w:val="14"/>
                <w:color w:val="auto"/>
              </w:rPr>
            </w:pPr>
          </w:p>
        </w:tc>
        <w:tc>
          <w:tcPr>
            <w:tcW w:w="180" w:type="dxa"/>
            <w:vAlign w:val="bottom"/>
          </w:tcPr>
          <w:p>
            <w:pPr>
              <w:jc w:val="right"/>
              <w:ind w:right="24"/>
              <w:spacing w:after="0" w:line="171"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1" w:lineRule="exact"/>
              <w:rPr>
                <w:sz w:val="20"/>
                <w:szCs w:val="20"/>
                <w:color w:val="auto"/>
              </w:rPr>
            </w:pPr>
            <w:r>
              <w:rPr>
                <w:rFonts w:ascii="Arial" w:cs="Arial" w:eastAsia="Arial" w:hAnsi="Arial"/>
                <w:sz w:val="15"/>
                <w:szCs w:val="15"/>
                <w:color w:val="auto"/>
              </w:rPr>
              <w:t>48,935</w:t>
            </w:r>
          </w:p>
        </w:tc>
        <w:tc>
          <w:tcPr>
            <w:tcW w:w="440" w:type="dxa"/>
            <w:vAlign w:val="bottom"/>
            <w:gridSpan w:val="2"/>
          </w:tcPr>
          <w:p>
            <w:pPr>
              <w:jc w:val="right"/>
              <w:ind w:right="64"/>
              <w:spacing w:after="0" w:line="171"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71" w:lineRule="exact"/>
              <w:rPr>
                <w:sz w:val="20"/>
                <w:szCs w:val="20"/>
                <w:color w:val="auto"/>
              </w:rPr>
            </w:pPr>
            <w:r>
              <w:rPr>
                <w:rFonts w:ascii="Arial" w:cs="Arial" w:eastAsia="Arial" w:hAnsi="Arial"/>
                <w:sz w:val="15"/>
                <w:szCs w:val="15"/>
                <w:color w:val="auto"/>
              </w:rPr>
              <w:t>2,519</w:t>
            </w:r>
          </w:p>
        </w:tc>
        <w:tc>
          <w:tcPr>
            <w:tcW w:w="32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71" w:lineRule="exact"/>
              <w:rPr>
                <w:sz w:val="20"/>
                <w:szCs w:val="20"/>
                <w:color w:val="auto"/>
              </w:rPr>
            </w:pPr>
            <w:r>
              <w:rPr>
                <w:rFonts w:ascii="Arial" w:cs="Arial" w:eastAsia="Arial" w:hAnsi="Arial"/>
                <w:sz w:val="15"/>
                <w:szCs w:val="15"/>
                <w:color w:val="auto"/>
              </w:rPr>
              <w:t>2,612</w:t>
            </w:r>
          </w:p>
        </w:tc>
        <w:tc>
          <w:tcPr>
            <w:tcW w:w="100" w:type="dxa"/>
            <w:vAlign w:val="bottom"/>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2"/>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24"/>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6"/>
        </w:trPr>
        <w:tc>
          <w:tcPr>
            <w:tcW w:w="5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-3642360</wp:posOffset>
            </wp:positionV>
            <wp:extent cx="647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-3642360</wp:posOffset>
            </wp:positionV>
            <wp:extent cx="647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-3642360</wp:posOffset>
            </wp:positionV>
            <wp:extent cx="647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6278880</wp:posOffset>
            </wp:positionH>
            <wp:positionV relativeFrom="paragraph">
              <wp:posOffset>-3642360</wp:posOffset>
            </wp:positionV>
            <wp:extent cx="647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-3642360</wp:posOffset>
            </wp:positionV>
            <wp:extent cx="647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-982345</wp:posOffset>
            </wp:positionV>
            <wp:extent cx="647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-982345</wp:posOffset>
            </wp:positionV>
            <wp:extent cx="647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-982345</wp:posOffset>
            </wp:positionV>
            <wp:extent cx="647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6278880</wp:posOffset>
            </wp:positionH>
            <wp:positionV relativeFrom="paragraph">
              <wp:posOffset>-982345</wp:posOffset>
            </wp:positionV>
            <wp:extent cx="647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-982345</wp:posOffset>
            </wp:positionV>
            <wp:extent cx="647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0" w:name="page51"/>
    <w:bookmarkEnd w:id="50"/>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spacing w:after="0" w:line="159" w:lineRule="exact"/>
              <w:rPr>
                <w:sz w:val="20"/>
                <w:szCs w:val="20"/>
                <w:color w:val="auto"/>
              </w:rPr>
            </w:pPr>
            <w:r>
              <w:rPr>
                <w:rFonts w:ascii="Arial" w:cs="Arial" w:eastAsia="Arial" w:hAnsi="Arial"/>
                <w:sz w:val="15"/>
                <w:szCs w:val="15"/>
                <w:color w:val="auto"/>
              </w:rPr>
              <w:t>Depreciation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5"/>
                <w:szCs w:val="15"/>
                <w:color w:val="auto"/>
              </w:rPr>
              <w:t>Pretax</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64"/>
              <w:spacing w:after="0"/>
              <w:rPr>
                <w:sz w:val="20"/>
                <w:szCs w:val="20"/>
                <w:color w:val="auto"/>
              </w:rPr>
            </w:pPr>
            <w:r>
              <w:rPr>
                <w:rFonts w:ascii="Arial" w:cs="Arial" w:eastAsia="Arial" w:hAnsi="Arial"/>
                <w:sz w:val="15"/>
                <w:szCs w:val="15"/>
                <w:color w:val="auto"/>
              </w:rPr>
              <w:t>and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5"/>
                <w:szCs w:val="15"/>
                <w:color w:val="auto"/>
              </w:rPr>
              <w:t>Capital</w:t>
            </w:r>
          </w:p>
        </w:tc>
      </w:tr>
      <w:tr>
        <w:trPr>
          <w:trHeight w:val="190"/>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Revenue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Income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Assets</w:t>
            </w:r>
          </w:p>
        </w:tc>
        <w:tc>
          <w:tcPr>
            <w:tcW w:w="2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rPr>
              <w:t>Amortization</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8"/>
              </w:rPr>
              <w:t>Investments</w:t>
            </w:r>
          </w:p>
        </w:tc>
        <w:tc>
          <w:tcPr>
            <w:tcW w:w="100" w:type="dxa"/>
            <w:vAlign w:val="bottom"/>
          </w:tcPr>
          <w:p>
            <w:pPr>
              <w:spacing w:after="0"/>
              <w:rPr>
                <w:sz w:val="16"/>
                <w:szCs w:val="16"/>
                <w:color w:val="auto"/>
              </w:rPr>
            </w:pPr>
          </w:p>
        </w:tc>
      </w:tr>
      <w:tr>
        <w:trPr>
          <w:trHeight w:val="170"/>
        </w:trPr>
        <w:tc>
          <w:tcPr>
            <w:tcW w:w="51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2,034</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366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652</w:t>
            </w:r>
          </w:p>
        </w:tc>
        <w:tc>
          <w:tcPr>
            <w:tcW w:w="440" w:type="dxa"/>
            <w:vAlign w:val="bottom"/>
            <w:gridSpan w:val="2"/>
            <w:shd w:val="clear" w:color="auto" w:fill="CFF0FC"/>
          </w:tcPr>
          <w:p>
            <w:pPr>
              <w:jc w:val="right"/>
              <w:ind w:right="64"/>
              <w:spacing w:after="0" w:line="171"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167</w:t>
            </w:r>
          </w:p>
        </w:tc>
        <w:tc>
          <w:tcPr>
            <w:tcW w:w="32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162</w:t>
            </w:r>
          </w:p>
        </w:tc>
        <w:tc>
          <w:tcPr>
            <w:tcW w:w="100" w:type="dxa"/>
            <w:vAlign w:val="bottom"/>
            <w:shd w:val="clear" w:color="auto" w:fill="CFF0FC"/>
          </w:tcPr>
          <w:p>
            <w:pPr>
              <w:spacing w:after="0"/>
              <w:rPr>
                <w:sz w:val="14"/>
                <w:szCs w:val="14"/>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Reservoir Performance</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6,561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1,263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3,483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514</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13,478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2,932</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7,126</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908</w:t>
            </w: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Production Systems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9,831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6,634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384</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892</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2,455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513</w:t>
            </w: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Eliminations &amp; other</w:t>
            </w:r>
          </w:p>
        </w:tc>
        <w:tc>
          <w:tcPr>
            <w:tcW w:w="14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(613)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(175)</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1,351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Goodwill and intangible assets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17,323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rPr>
                <w:sz w:val="20"/>
                <w:szCs w:val="20"/>
                <w:color w:val="auto"/>
              </w:rPr>
            </w:pPr>
            <w:r>
              <w:rPr>
                <w:rFonts w:ascii="Arial" w:cs="Arial" w:eastAsia="Arial" w:hAnsi="Arial"/>
                <w:sz w:val="15"/>
                <w:szCs w:val="15"/>
                <w:color w:val="auto"/>
              </w:rPr>
              <w:t>Cash and short-term investments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3,989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rPr>
                <w:sz w:val="20"/>
                <w:szCs w:val="20"/>
                <w:color w:val="auto"/>
              </w:rPr>
            </w:pPr>
            <w:r>
              <w:rPr>
                <w:rFonts w:ascii="Arial" w:cs="Arial" w:eastAsia="Arial" w:hAnsi="Arial"/>
                <w:sz w:val="15"/>
                <w:szCs w:val="15"/>
                <w:color w:val="auto"/>
              </w:rPr>
              <w:t>All other assets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4,944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line="178" w:lineRule="exact"/>
              <w:rPr>
                <w:sz w:val="20"/>
                <w:szCs w:val="20"/>
                <w:color w:val="auto"/>
              </w:rPr>
            </w:pPr>
            <w:r>
              <w:rPr>
                <w:rFonts w:ascii="Arial" w:cs="Arial" w:eastAsia="Arial" w:hAnsi="Arial"/>
                <w:sz w:val="15"/>
                <w:szCs w:val="15"/>
                <w:color w:val="auto"/>
              </w:rPr>
              <w:t xml:space="preserve">Corporate &amp; other </w:t>
            </w:r>
            <w:r>
              <w:rPr>
                <w:rFonts w:ascii="Arial" w:cs="Arial" w:eastAsia="Arial" w:hAnsi="Arial"/>
                <w:sz w:val="20"/>
                <w:szCs w:val="20"/>
                <w:color w:val="auto"/>
                <w:vertAlign w:val="superscript"/>
              </w:rPr>
              <w:t>(1)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(729)</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Interest income </w:t>
            </w:r>
            <w:r>
              <w:rPr>
                <w:rFonts w:ascii="Arial" w:cs="Arial" w:eastAsia="Arial" w:hAnsi="Arial"/>
                <w:sz w:val="20"/>
                <w:szCs w:val="20"/>
                <w:color w:val="auto"/>
                <w:vertAlign w:val="superscript"/>
              </w:rPr>
              <w:t>(2)</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5180" w:type="dxa"/>
            <w:vAlign w:val="bottom"/>
          </w:tcPr>
          <w:p>
            <w:pPr>
              <w:spacing w:after="0" w:line="178"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0"/>
                <w:szCs w:val="20"/>
                <w:color w:val="auto"/>
                <w:vertAlign w:val="superscript"/>
              </w:rPr>
              <w:t>(3)</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(489)</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180" w:type="dxa"/>
            <w:vAlign w:val="bottom"/>
            <w:shd w:val="clear" w:color="auto" w:fill="CFF0FC"/>
          </w:tcPr>
          <w:p>
            <w:pPr>
              <w:spacing w:after="0" w:line="178" w:lineRule="exact"/>
              <w:rPr>
                <w:sz w:val="20"/>
                <w:szCs w:val="20"/>
                <w:color w:val="auto"/>
              </w:rPr>
            </w:pPr>
            <w:r>
              <w:rPr>
                <w:rFonts w:ascii="Arial" w:cs="Arial" w:eastAsia="Arial" w:hAnsi="Arial"/>
                <w:sz w:val="15"/>
                <w:szCs w:val="15"/>
                <w:color w:val="auto"/>
              </w:rPr>
              <w:t xml:space="preserve">Charges &amp; credits </w:t>
            </w:r>
            <w:r>
              <w:rPr>
                <w:rFonts w:ascii="Arial" w:cs="Arial" w:eastAsia="Arial" w:hAnsi="Arial"/>
                <w:sz w:val="20"/>
                <w:szCs w:val="20"/>
                <w:color w:val="auto"/>
                <w:vertAlign w:val="superscript"/>
              </w:rPr>
              <w:t>(4)</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(110)</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5180" w:type="dxa"/>
            <w:vAlign w:val="bottom"/>
          </w:tcPr>
          <w:p>
            <w:pPr>
              <w:spacing w:after="0"/>
              <w:rPr>
                <w:sz w:val="14"/>
                <w:szCs w:val="14"/>
                <w:color w:val="auto"/>
              </w:rPr>
            </w:pPr>
          </w:p>
        </w:tc>
        <w:tc>
          <w:tcPr>
            <w:tcW w:w="14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1" w:lineRule="exact"/>
              <w:rPr>
                <w:sz w:val="20"/>
                <w:szCs w:val="20"/>
                <w:color w:val="auto"/>
              </w:rPr>
            </w:pPr>
            <w:r>
              <w:rPr>
                <w:rFonts w:ascii="Arial" w:cs="Arial" w:eastAsia="Arial" w:hAnsi="Arial"/>
                <w:sz w:val="15"/>
                <w:szCs w:val="15"/>
                <w:color w:val="auto"/>
              </w:rPr>
              <w:t>33,135</w:t>
            </w:r>
          </w:p>
        </w:tc>
        <w:tc>
          <w:tcPr>
            <w:tcW w:w="120" w:type="dxa"/>
            <w:vAlign w:val="bottom"/>
          </w:tcPr>
          <w:p>
            <w:pPr>
              <w:spacing w:after="0"/>
              <w:rPr>
                <w:sz w:val="14"/>
                <w:szCs w:val="14"/>
                <w:color w:val="auto"/>
              </w:rPr>
            </w:pPr>
          </w:p>
        </w:tc>
        <w:tc>
          <w:tcPr>
            <w:tcW w:w="26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71" w:lineRule="exact"/>
              <w:rPr>
                <w:sz w:val="20"/>
                <w:szCs w:val="20"/>
                <w:color w:val="auto"/>
              </w:rPr>
            </w:pPr>
            <w:r>
              <w:rPr>
                <w:rFonts w:ascii="Arial" w:cs="Arial" w:eastAsia="Arial" w:hAnsi="Arial"/>
                <w:sz w:val="15"/>
                <w:szCs w:val="15"/>
                <w:color w:val="auto"/>
              </w:rPr>
              <w:t>5,282</w:t>
            </w:r>
          </w:p>
        </w:tc>
        <w:tc>
          <w:tcPr>
            <w:tcW w:w="220" w:type="dxa"/>
            <w:vAlign w:val="bottom"/>
          </w:tcPr>
          <w:p>
            <w:pPr>
              <w:spacing w:after="0"/>
              <w:rPr>
                <w:sz w:val="14"/>
                <w:szCs w:val="14"/>
                <w:color w:val="auto"/>
              </w:rPr>
            </w:pPr>
          </w:p>
        </w:tc>
        <w:tc>
          <w:tcPr>
            <w:tcW w:w="180" w:type="dxa"/>
            <w:vAlign w:val="bottom"/>
          </w:tcPr>
          <w:p>
            <w:pPr>
              <w:jc w:val="right"/>
              <w:ind w:right="24"/>
              <w:spacing w:after="0" w:line="171"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1" w:lineRule="exact"/>
              <w:rPr>
                <w:sz w:val="20"/>
                <w:szCs w:val="20"/>
                <w:color w:val="auto"/>
              </w:rPr>
            </w:pPr>
            <w:r>
              <w:rPr>
                <w:rFonts w:ascii="Arial" w:cs="Arial" w:eastAsia="Arial" w:hAnsi="Arial"/>
                <w:sz w:val="15"/>
                <w:szCs w:val="15"/>
                <w:color w:val="auto"/>
              </w:rPr>
              <w:t>47,957</w:t>
            </w:r>
          </w:p>
        </w:tc>
        <w:tc>
          <w:tcPr>
            <w:tcW w:w="440" w:type="dxa"/>
            <w:vAlign w:val="bottom"/>
            <w:gridSpan w:val="2"/>
          </w:tcPr>
          <w:p>
            <w:pPr>
              <w:jc w:val="right"/>
              <w:ind w:right="64"/>
              <w:spacing w:after="0" w:line="171"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71" w:lineRule="exact"/>
              <w:rPr>
                <w:sz w:val="20"/>
                <w:szCs w:val="20"/>
                <w:color w:val="auto"/>
              </w:rPr>
            </w:pPr>
            <w:r>
              <w:rPr>
                <w:rFonts w:ascii="Arial" w:cs="Arial" w:eastAsia="Arial" w:hAnsi="Arial"/>
                <w:sz w:val="15"/>
                <w:szCs w:val="15"/>
                <w:color w:val="auto"/>
              </w:rPr>
              <w:t>2,312</w:t>
            </w:r>
          </w:p>
        </w:tc>
        <w:tc>
          <w:tcPr>
            <w:tcW w:w="32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71" w:lineRule="exact"/>
              <w:rPr>
                <w:sz w:val="20"/>
                <w:szCs w:val="20"/>
                <w:color w:val="auto"/>
              </w:rPr>
            </w:pPr>
            <w:r>
              <w:rPr>
                <w:rFonts w:ascii="Arial" w:cs="Arial" w:eastAsia="Arial" w:hAnsi="Arial"/>
                <w:sz w:val="15"/>
                <w:szCs w:val="15"/>
                <w:color w:val="auto"/>
              </w:rPr>
              <w:t>2,599</w:t>
            </w:r>
          </w:p>
        </w:tc>
        <w:tc>
          <w:tcPr>
            <w:tcW w:w="100" w:type="dxa"/>
            <w:vAlign w:val="bottom"/>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-144145</wp:posOffset>
            </wp:positionV>
            <wp:extent cx="647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-144145</wp:posOffset>
            </wp:positionV>
            <wp:extent cx="647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5497195</wp:posOffset>
            </wp:positionH>
            <wp:positionV relativeFrom="paragraph">
              <wp:posOffset>-144145</wp:posOffset>
            </wp:positionV>
            <wp:extent cx="647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6278880</wp:posOffset>
            </wp:positionH>
            <wp:positionV relativeFrom="paragraph">
              <wp:posOffset>-144145</wp:posOffset>
            </wp:positionV>
            <wp:extent cx="647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50" w:lineRule="exact"/>
        <w:rPr>
          <w:sz w:val="20"/>
          <w:szCs w:val="20"/>
          <w:color w:val="auto"/>
        </w:rPr>
      </w:pPr>
    </w:p>
    <w:p>
      <w:pPr>
        <w:ind w:left="380" w:right="60" w:hanging="378"/>
        <w:spacing w:after="0" w:line="250" w:lineRule="auto"/>
        <w:tabs>
          <w:tab w:leader="none" w:pos="380" w:val="left"/>
        </w:tabs>
        <w:numPr>
          <w:ilvl w:val="0"/>
          <w:numId w:val="44"/>
        </w:numPr>
        <w:rPr>
          <w:rFonts w:ascii="Arial" w:cs="Arial" w:eastAsia="Arial" w:hAnsi="Arial"/>
          <w:sz w:val="10"/>
          <w:szCs w:val="10"/>
          <w:color w:val="auto"/>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0" w:lineRule="exact"/>
        <w:rPr>
          <w:rFonts w:ascii="Arial" w:cs="Arial" w:eastAsia="Arial" w:hAnsi="Arial"/>
          <w:sz w:val="10"/>
          <w:szCs w:val="10"/>
          <w:color w:val="auto"/>
        </w:rPr>
      </w:pPr>
    </w:p>
    <w:p>
      <w:pPr>
        <w:ind w:left="380" w:hanging="378"/>
        <w:spacing w:after="0"/>
        <w:tabs>
          <w:tab w:leader="none" w:pos="380" w:val="left"/>
        </w:tabs>
        <w:numPr>
          <w:ilvl w:val="0"/>
          <w:numId w:val="44"/>
        </w:numPr>
        <w:rPr>
          <w:rFonts w:ascii="Arial" w:cs="Arial" w:eastAsia="Arial" w:hAnsi="Arial"/>
          <w:sz w:val="10"/>
          <w:szCs w:val="10"/>
          <w:color w:val="auto"/>
        </w:rPr>
      </w:pPr>
      <w:r>
        <w:rPr>
          <w:rFonts w:ascii="Arial" w:cs="Arial" w:eastAsia="Arial" w:hAnsi="Arial"/>
          <w:sz w:val="14"/>
          <w:szCs w:val="14"/>
          <w:color w:val="auto"/>
        </w:rPr>
        <w:t>Interest income excludes amounts which are included in the segments’ income (2025: $2 million; 2024: $40 million; 2023: $13 million).</w:t>
      </w:r>
    </w:p>
    <w:p>
      <w:pPr>
        <w:spacing w:after="0" w:line="92" w:lineRule="exact"/>
        <w:rPr>
          <w:rFonts w:ascii="Arial" w:cs="Arial" w:eastAsia="Arial" w:hAnsi="Arial"/>
          <w:sz w:val="10"/>
          <w:szCs w:val="10"/>
          <w:color w:val="auto"/>
        </w:rPr>
      </w:pPr>
    </w:p>
    <w:p>
      <w:pPr>
        <w:ind w:left="380" w:hanging="378"/>
        <w:spacing w:after="0"/>
        <w:tabs>
          <w:tab w:leader="none" w:pos="380" w:val="left"/>
        </w:tabs>
        <w:numPr>
          <w:ilvl w:val="0"/>
          <w:numId w:val="44"/>
        </w:numPr>
        <w:rPr>
          <w:rFonts w:ascii="Arial" w:cs="Arial" w:eastAsia="Arial" w:hAnsi="Arial"/>
          <w:sz w:val="10"/>
          <w:szCs w:val="10"/>
          <w:color w:val="auto"/>
        </w:rPr>
      </w:pPr>
      <w:r>
        <w:rPr>
          <w:rFonts w:ascii="Arial" w:cs="Arial" w:eastAsia="Arial" w:hAnsi="Arial"/>
          <w:sz w:val="14"/>
          <w:szCs w:val="14"/>
          <w:color w:val="auto"/>
        </w:rPr>
        <w:t>Interest expense excludes amounts which are included in the segments’ income (2025: $7 million; 2024: $14 million; 2023: $14 million).</w:t>
      </w:r>
    </w:p>
    <w:p>
      <w:pPr>
        <w:spacing w:after="0" w:line="92" w:lineRule="exact"/>
        <w:rPr>
          <w:rFonts w:ascii="Arial" w:cs="Arial" w:eastAsia="Arial" w:hAnsi="Arial"/>
          <w:sz w:val="10"/>
          <w:szCs w:val="10"/>
          <w:color w:val="auto"/>
        </w:rPr>
      </w:pPr>
    </w:p>
    <w:p>
      <w:pPr>
        <w:ind w:left="380" w:hanging="378"/>
        <w:spacing w:after="0"/>
        <w:tabs>
          <w:tab w:leader="none" w:pos="380" w:val="left"/>
        </w:tabs>
        <w:numPr>
          <w:ilvl w:val="0"/>
          <w:numId w:val="44"/>
        </w:numPr>
        <w:rPr>
          <w:rFonts w:ascii="Arial" w:cs="Arial" w:eastAsia="Arial" w:hAnsi="Arial"/>
          <w:sz w:val="10"/>
          <w:szCs w:val="10"/>
          <w:color w:val="auto"/>
        </w:rPr>
      </w:pPr>
      <w:r>
        <w:rPr>
          <w:rFonts w:ascii="Arial" w:cs="Arial" w:eastAsia="Arial" w:hAnsi="Arial"/>
          <w:sz w:val="14"/>
          <w:szCs w:val="14"/>
          <w:color w:val="auto"/>
        </w:rPr>
        <w:t xml:space="preserve">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Segment assets consist of receivables, inventories, fixed assets, exploration data, and APS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Capital investments includes capital expenditures, APS investments, and exploration data cost capitalized.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Depreciation and amortization includes depreciation of fixed assets and amortization of intangible assets, exploration data costs, and APS investments.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Revenue from Digital Operations of $464 million, $290 million, and $186 million in 2025, 2024 and 2023, respectively, is reflected in the Digital Division. Revenue from this solution is generated from the same customer base as SLB's Core divisions of Well Construction, Reservoir Performance and Production Systems. In order to incentivize the Core divisions and Digital to develop and promote digital operations, the resulting revenue and profitability is recognized in both the respective Core division as well as in the Digital Division. This effect is eliminated in consolidation.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Revenue by geographic area for the years ended December 31, 2025, 2024, and 2023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1"/>
        </w:trPr>
        <w:tc>
          <w:tcPr>
            <w:tcW w:w="65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r>
      <w:tr>
        <w:trPr>
          <w:trHeight w:val="170"/>
        </w:trPr>
        <w:tc>
          <w:tcPr>
            <w:tcW w:w="656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North America</w:t>
            </w:r>
          </w:p>
        </w:tc>
        <w:tc>
          <w:tcPr>
            <w:tcW w:w="880" w:type="dxa"/>
            <w:vAlign w:val="bottom"/>
            <w:shd w:val="clear" w:color="auto" w:fill="CFF0FC"/>
          </w:tcPr>
          <w:p>
            <w:pPr>
              <w:jc w:val="right"/>
              <w:ind w:right="724"/>
              <w:spacing w:after="0" w:line="171" w:lineRule="exact"/>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FF0FC"/>
          </w:tcPr>
          <w:p>
            <w:pPr>
              <w:jc w:val="right"/>
              <w:ind w:right="140"/>
              <w:spacing w:after="0" w:line="171" w:lineRule="exact"/>
              <w:rPr>
                <w:sz w:val="20"/>
                <w:szCs w:val="20"/>
                <w:color w:val="auto"/>
              </w:rPr>
            </w:pPr>
            <w:r>
              <w:rPr>
                <w:rFonts w:ascii="Arial" w:cs="Arial" w:eastAsia="Arial" w:hAnsi="Arial"/>
                <w:sz w:val="15"/>
                <w:szCs w:val="15"/>
                <w:b w:val="1"/>
                <w:bCs w:val="1"/>
                <w:color w:val="auto"/>
              </w:rPr>
              <w:t>7,515</w:t>
            </w:r>
          </w:p>
        </w:tc>
        <w:tc>
          <w:tcPr>
            <w:tcW w:w="1020" w:type="dxa"/>
            <w:vAlign w:val="bottom"/>
            <w:gridSpan w:val="2"/>
            <w:shd w:val="clear" w:color="auto" w:fill="CFF0FC"/>
          </w:tcPr>
          <w:p>
            <w:pPr>
              <w:jc w:val="right"/>
              <w:ind w:right="724"/>
              <w:spacing w:after="0" w:line="171"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FF0FC"/>
          </w:tcPr>
          <w:p>
            <w:pPr>
              <w:jc w:val="right"/>
              <w:ind w:right="120"/>
              <w:spacing w:after="0" w:line="171" w:lineRule="exact"/>
              <w:rPr>
                <w:sz w:val="20"/>
                <w:szCs w:val="20"/>
                <w:color w:val="auto"/>
              </w:rPr>
            </w:pPr>
            <w:r>
              <w:rPr>
                <w:rFonts w:ascii="Arial" w:cs="Arial" w:eastAsia="Arial" w:hAnsi="Arial"/>
                <w:sz w:val="15"/>
                <w:szCs w:val="15"/>
                <w:color w:val="auto"/>
              </w:rPr>
              <w:t>6,680</w:t>
            </w:r>
          </w:p>
        </w:tc>
        <w:tc>
          <w:tcPr>
            <w:tcW w:w="28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6,727</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Latin America</w:t>
            </w:r>
          </w:p>
        </w:tc>
        <w:tc>
          <w:tcPr>
            <w:tcW w:w="8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6,152</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6,719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6,645</w:t>
            </w: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Europe &amp; Africa *</w:t>
            </w:r>
          </w:p>
        </w:tc>
        <w:tc>
          <w:tcPr>
            <w:tcW w:w="8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b w:val="1"/>
                <w:bCs w:val="1"/>
                <w:color w:val="auto"/>
              </w:rPr>
              <w:t>9,572</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9,671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8,524</w:t>
            </w:r>
          </w:p>
        </w:tc>
      </w:tr>
      <w:tr>
        <w:trPr>
          <w:trHeight w:val="178"/>
        </w:trPr>
        <w:tc>
          <w:tcPr>
            <w:tcW w:w="6560" w:type="dxa"/>
            <w:vAlign w:val="bottom"/>
          </w:tcPr>
          <w:p>
            <w:pPr>
              <w:spacing w:after="0"/>
              <w:rPr>
                <w:sz w:val="20"/>
                <w:szCs w:val="20"/>
                <w:color w:val="auto"/>
              </w:rPr>
            </w:pPr>
            <w:r>
              <w:rPr>
                <w:rFonts w:ascii="Arial" w:cs="Arial" w:eastAsia="Arial" w:hAnsi="Arial"/>
                <w:sz w:val="15"/>
                <w:szCs w:val="15"/>
                <w:color w:val="auto"/>
              </w:rPr>
              <w:t>Middle East &amp; Asia</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12,218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11,019</w:t>
            </w:r>
          </w:p>
        </w:tc>
        <w:tc>
          <w:tcPr>
            <w:tcW w:w="100" w:type="dxa"/>
            <w:vAlign w:val="bottom"/>
          </w:tcPr>
          <w:p>
            <w:pPr>
              <w:spacing w:after="0"/>
              <w:rPr>
                <w:sz w:val="15"/>
                <w:szCs w:val="15"/>
                <w:color w:val="auto"/>
              </w:rPr>
            </w:pPr>
          </w:p>
        </w:tc>
      </w:tr>
      <w:tr>
        <w:trPr>
          <w:trHeight w:val="178"/>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Eliminations &amp; other</w:t>
            </w:r>
          </w:p>
        </w:tc>
        <w:tc>
          <w:tcPr>
            <w:tcW w:w="8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251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220</w:t>
            </w:r>
          </w:p>
        </w:tc>
      </w:tr>
      <w:tr>
        <w:trPr>
          <w:trHeight w:val="20"/>
        </w:trPr>
        <w:tc>
          <w:tcPr>
            <w:tcW w:w="65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6560" w:type="dxa"/>
            <w:vAlign w:val="bottom"/>
          </w:tcPr>
          <w:p>
            <w:pPr>
              <w:spacing w:after="0"/>
              <w:rPr>
                <w:sz w:val="14"/>
                <w:szCs w:val="14"/>
                <w:color w:val="auto"/>
              </w:rPr>
            </w:pPr>
          </w:p>
        </w:tc>
        <w:tc>
          <w:tcPr>
            <w:tcW w:w="880" w:type="dxa"/>
            <w:vAlign w:val="bottom"/>
          </w:tcPr>
          <w:p>
            <w:pPr>
              <w:jc w:val="right"/>
              <w:ind w:right="724"/>
              <w:spacing w:after="0" w:line="171" w:lineRule="exact"/>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35,708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724"/>
              <w:spacing w:after="0" w:line="171" w:lineRule="exact"/>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71" w:lineRule="exact"/>
              <w:rPr>
                <w:sz w:val="20"/>
                <w:szCs w:val="20"/>
                <w:color w:val="auto"/>
              </w:rPr>
            </w:pPr>
            <w:r>
              <w:rPr>
                <w:rFonts w:ascii="Arial" w:cs="Arial" w:eastAsia="Arial" w:hAnsi="Arial"/>
                <w:sz w:val="15"/>
                <w:szCs w:val="15"/>
                <w:color w:val="auto"/>
              </w:rPr>
              <w:t>36,289</w:t>
            </w:r>
          </w:p>
        </w:tc>
        <w:tc>
          <w:tcPr>
            <w:tcW w:w="120" w:type="dxa"/>
            <w:vAlign w:val="bottom"/>
          </w:tcPr>
          <w:p>
            <w:pPr>
              <w:spacing w:after="0"/>
              <w:rPr>
                <w:sz w:val="14"/>
                <w:szCs w:val="14"/>
                <w:color w:val="auto"/>
              </w:rPr>
            </w:pPr>
          </w:p>
        </w:tc>
        <w:tc>
          <w:tcPr>
            <w:tcW w:w="28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71" w:lineRule="exact"/>
              <w:rPr>
                <w:sz w:val="20"/>
                <w:szCs w:val="20"/>
                <w:color w:val="auto"/>
              </w:rPr>
            </w:pPr>
            <w:r>
              <w:rPr>
                <w:rFonts w:ascii="Arial" w:cs="Arial" w:eastAsia="Arial" w:hAnsi="Arial"/>
                <w:sz w:val="15"/>
                <w:szCs w:val="15"/>
                <w:color w:val="auto"/>
              </w:rPr>
              <w:t>33,135</w:t>
            </w:r>
          </w:p>
        </w:tc>
        <w:tc>
          <w:tcPr>
            <w:tcW w:w="100" w:type="dxa"/>
            <w:vAlign w:val="bottom"/>
          </w:tcPr>
          <w:p>
            <w:pPr>
              <w:spacing w:after="0"/>
              <w:rPr>
                <w:sz w:val="14"/>
                <w:szCs w:val="14"/>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-144145</wp:posOffset>
            </wp:positionV>
            <wp:extent cx="723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-144145</wp:posOffset>
            </wp:positionV>
            <wp:extent cx="647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 Includes Russia and the Caspian region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Revenue is based on the location where services are provided and products are sold.</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did not have revenue from third-party customers in its country of domicile during the last three years. Revenue in the United States in 2025, 2024, and 2023 was $6.3 billion, $5.3 billion, and $5.4 billion,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Arial" w:cs="Arial" w:eastAsia="Arial" w:hAnsi="Arial"/>
          <w:sz w:val="15"/>
          <w:szCs w:val="15"/>
          <w:color w:val="auto"/>
        </w:rPr>
        <w:t>North America and International revenue disaggregated by segment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339"/>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2025</w:t>
            </w: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gridSpan w:val="3"/>
          </w:tcPr>
          <w:p>
            <w:pPr>
              <w:jc w:val="right"/>
              <w:spacing w:after="0" w:line="171" w:lineRule="exact"/>
              <w:rPr>
                <w:sz w:val="20"/>
                <w:szCs w:val="20"/>
                <w:color w:val="auto"/>
              </w:rPr>
            </w:pPr>
            <w:r>
              <w:rPr>
                <w:rFonts w:ascii="Arial" w:cs="Arial" w:eastAsia="Arial" w:hAnsi="Arial"/>
                <w:sz w:val="15"/>
                <w:szCs w:val="15"/>
                <w:b w:val="1"/>
                <w:bCs w:val="1"/>
                <w:color w:val="auto"/>
              </w:rPr>
              <w:t>North America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44"/>
              <w:spacing w:after="0" w:line="171" w:lineRule="exact"/>
              <w:rPr>
                <w:sz w:val="20"/>
                <w:szCs w:val="20"/>
                <w:color w:val="auto"/>
              </w:rPr>
            </w:pPr>
            <w:r>
              <w:rPr>
                <w:rFonts w:ascii="Arial" w:cs="Arial" w:eastAsia="Arial" w:hAnsi="Arial"/>
                <w:sz w:val="15"/>
                <w:szCs w:val="15"/>
                <w:b w:val="1"/>
                <w:bCs w:val="1"/>
                <w:color w:val="auto"/>
              </w:rPr>
              <w:t>International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0"/>
              <w:spacing w:after="0" w:line="171" w:lineRule="exact"/>
              <w:rPr>
                <w:sz w:val="20"/>
                <w:szCs w:val="20"/>
                <w:color w:val="auto"/>
              </w:rPr>
            </w:pPr>
            <w:r>
              <w:rPr>
                <w:rFonts w:ascii="Arial" w:cs="Arial" w:eastAsia="Arial" w:hAnsi="Arial"/>
                <w:sz w:val="15"/>
                <w:szCs w:val="15"/>
                <w:b w:val="1"/>
                <w:bCs w:val="1"/>
                <w:color w:val="auto"/>
              </w:rPr>
              <w:t>Other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4"/>
              <w:spacing w:after="0" w:line="171" w:lineRule="exact"/>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3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w:t>
            </w:r>
          </w:p>
        </w:tc>
        <w:tc>
          <w:tcPr>
            <w:tcW w:w="10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682</w:t>
            </w: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center"/>
              <w:ind w:left="44"/>
              <w:spacing w:after="0" w:line="171" w:lineRule="exact"/>
              <w:rPr>
                <w:sz w:val="20"/>
                <w:szCs w:val="20"/>
                <w:color w:val="auto"/>
              </w:rPr>
            </w:pPr>
            <w:r>
              <w:rPr>
                <w:rFonts w:ascii="Arial" w:cs="Arial" w:eastAsia="Arial" w:hAnsi="Arial"/>
                <w:sz w:val="15"/>
                <w:szCs w:val="15"/>
                <w:b w:val="1"/>
                <w:bCs w:val="1"/>
                <w:color w:val="auto"/>
                <w:w w:val="95"/>
              </w:rPr>
              <w:t>$</w:t>
            </w:r>
          </w:p>
        </w:tc>
        <w:tc>
          <w:tcPr>
            <w:tcW w:w="6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1,970</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w:t>
            </w:r>
          </w:p>
        </w:tc>
        <w:tc>
          <w:tcPr>
            <w:tcW w:w="106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b w:val="1"/>
                <w:bCs w:val="1"/>
                <w:color w:val="auto"/>
              </w:rPr>
              <w:t>8</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7"/>
              <w:spacing w:after="0" w:line="171" w:lineRule="exact"/>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2,660</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Reservoir Performance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b w:val="1"/>
                <w:bCs w:val="1"/>
                <w:color w:val="auto"/>
              </w:rPr>
              <w:t>579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b w:val="1"/>
                <w:bCs w:val="1"/>
                <w:color w:val="auto"/>
              </w:rPr>
              <w:t>6,230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6,820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2,137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9,475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244</w:t>
            </w: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11,856</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Production Systems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b w:val="1"/>
                <w:bCs w:val="1"/>
                <w:color w:val="auto"/>
              </w:rPr>
              <w:t>3,564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b w:val="1"/>
                <w:bCs w:val="1"/>
                <w:color w:val="auto"/>
              </w:rPr>
              <w:t>9,703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58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13,325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682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1,306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(1)</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1,987</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Eliminations &amp; other</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(129)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(742)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(69)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(940)</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7,515</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center"/>
              <w:spacing w:after="0" w:line="171" w:lineRule="exact"/>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gridSpan w:val="3"/>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27,942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b w:val="1"/>
                <w:bCs w:val="1"/>
                <w:color w:val="auto"/>
              </w:rPr>
              <w:t>251</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line="171" w:lineRule="exact"/>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35,708</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351"/>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color w:val="auto"/>
              </w:rPr>
              <w:t>2024</w:t>
            </w: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4"/>
              <w:spacing w:after="0" w:line="171" w:lineRule="exact"/>
              <w:rPr>
                <w:sz w:val="20"/>
                <w:szCs w:val="20"/>
                <w:color w:val="auto"/>
              </w:rPr>
            </w:pPr>
            <w:r>
              <w:rPr>
                <w:rFonts w:ascii="Arial" w:cs="Arial" w:eastAsia="Arial" w:hAnsi="Arial"/>
                <w:sz w:val="15"/>
                <w:szCs w:val="15"/>
                <w:color w:val="auto"/>
              </w:rPr>
              <w:t>North America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84"/>
              <w:spacing w:after="0" w:line="171" w:lineRule="exact"/>
              <w:rPr>
                <w:sz w:val="20"/>
                <w:szCs w:val="20"/>
                <w:color w:val="auto"/>
              </w:rPr>
            </w:pPr>
            <w:r>
              <w:rPr>
                <w:rFonts w:ascii="Arial" w:cs="Arial" w:eastAsia="Arial" w:hAnsi="Arial"/>
                <w:sz w:val="15"/>
                <w:szCs w:val="15"/>
                <w:color w:val="auto"/>
              </w:rPr>
              <w:t>International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0"/>
              <w:spacing w:after="0" w:line="171" w:lineRule="exact"/>
              <w:rPr>
                <w:sz w:val="20"/>
                <w:szCs w:val="20"/>
                <w:color w:val="auto"/>
              </w:rPr>
            </w:pPr>
            <w:r>
              <w:rPr>
                <w:rFonts w:ascii="Arial" w:cs="Arial" w:eastAsia="Arial" w:hAnsi="Arial"/>
                <w:sz w:val="15"/>
                <w:szCs w:val="15"/>
                <w:color w:val="auto"/>
              </w:rPr>
              <w:t>Other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4"/>
              <w:spacing w:after="0" w:line="171" w:lineRule="exact"/>
              <w:rPr>
                <w:sz w:val="20"/>
                <w:szCs w:val="20"/>
                <w:color w:val="auto"/>
              </w:rPr>
            </w:pPr>
            <w:r>
              <w:rPr>
                <w:rFonts w:ascii="Arial" w:cs="Arial" w:eastAsia="Arial" w:hAnsi="Arial"/>
                <w:sz w:val="15"/>
                <w:szCs w:val="15"/>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3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613</w:t>
            </w: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center"/>
              <w:ind w:left="44"/>
              <w:spacing w:after="0" w:line="171" w:lineRule="exact"/>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1,821</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5</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7"/>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2,439</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Reservoir Performance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6,622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7,177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2,359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10,776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222</w:t>
            </w: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13,357</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Production Systems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2,516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9,386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11,935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716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1,401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2,117</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Eliminations &amp; other</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5"/>
                <w:szCs w:val="15"/>
                <w:color w:val="auto"/>
              </w:rPr>
              <w:t>(72)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5"/>
                <w:szCs w:val="15"/>
                <w:color w:val="auto"/>
              </w:rPr>
              <w:t>(590)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5"/>
                <w:szCs w:val="15"/>
                <w:color w:val="auto"/>
              </w:rPr>
              <w:t>(74)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5"/>
                <w:szCs w:val="15"/>
                <w:color w:val="auto"/>
              </w:rPr>
              <w:t>(736)</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6,680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center"/>
              <w:spacing w:after="0" w:line="17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gridSpan w:val="3"/>
            <w:shd w:val="clear" w:color="auto" w:fill="CFF0FC"/>
          </w:tcPr>
          <w:p>
            <w:pPr>
              <w:jc w:val="right"/>
              <w:spacing w:after="0" w:line="171" w:lineRule="exact"/>
              <w:rPr>
                <w:sz w:val="20"/>
                <w:szCs w:val="20"/>
                <w:color w:val="auto"/>
              </w:rPr>
            </w:pPr>
            <w:r>
              <w:rPr>
                <w:rFonts w:ascii="Arial" w:cs="Arial" w:eastAsia="Arial" w:hAnsi="Arial"/>
                <w:sz w:val="15"/>
                <w:szCs w:val="15"/>
                <w:color w:val="auto"/>
              </w:rPr>
              <w:t>29,416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193</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36,289</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339"/>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color w:val="auto"/>
              </w:rPr>
              <w:t>2023</w:t>
            </w: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4"/>
              <w:spacing w:after="0" w:line="171" w:lineRule="exact"/>
              <w:rPr>
                <w:sz w:val="20"/>
                <w:szCs w:val="20"/>
                <w:color w:val="auto"/>
              </w:rPr>
            </w:pPr>
            <w:r>
              <w:rPr>
                <w:rFonts w:ascii="Arial" w:cs="Arial" w:eastAsia="Arial" w:hAnsi="Arial"/>
                <w:sz w:val="15"/>
                <w:szCs w:val="15"/>
                <w:color w:val="auto"/>
              </w:rPr>
              <w:t>North America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84"/>
              <w:spacing w:after="0" w:line="171" w:lineRule="exact"/>
              <w:rPr>
                <w:sz w:val="20"/>
                <w:szCs w:val="20"/>
                <w:color w:val="auto"/>
              </w:rPr>
            </w:pPr>
            <w:r>
              <w:rPr>
                <w:rFonts w:ascii="Arial" w:cs="Arial" w:eastAsia="Arial" w:hAnsi="Arial"/>
                <w:sz w:val="15"/>
                <w:szCs w:val="15"/>
                <w:color w:val="auto"/>
              </w:rPr>
              <w:t>International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0"/>
              <w:spacing w:after="0" w:line="171" w:lineRule="exact"/>
              <w:rPr>
                <w:sz w:val="20"/>
                <w:szCs w:val="20"/>
                <w:color w:val="auto"/>
              </w:rPr>
            </w:pPr>
            <w:r>
              <w:rPr>
                <w:rFonts w:ascii="Arial" w:cs="Arial" w:eastAsia="Arial" w:hAnsi="Arial"/>
                <w:sz w:val="15"/>
                <w:szCs w:val="15"/>
                <w:color w:val="auto"/>
              </w:rPr>
              <w:t>Other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4"/>
              <w:spacing w:after="0" w:line="171" w:lineRule="exact"/>
              <w:rPr>
                <w:sz w:val="20"/>
                <w:szCs w:val="20"/>
                <w:color w:val="auto"/>
              </w:rPr>
            </w:pPr>
            <w:r>
              <w:rPr>
                <w:rFonts w:ascii="Arial" w:cs="Arial" w:eastAsia="Arial" w:hAnsi="Arial"/>
                <w:sz w:val="15"/>
                <w:szCs w:val="15"/>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Digital</w:t>
            </w:r>
          </w:p>
        </w:tc>
        <w:tc>
          <w:tcPr>
            <w:tcW w:w="3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477</w:t>
            </w: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center"/>
              <w:ind w:left="44"/>
              <w:spacing w:after="0" w:line="171" w:lineRule="exact"/>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1,551</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06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6</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7"/>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2,034</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Reservoir Performance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498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6,057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6,561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Well Construction</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2,709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10,530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239</w:t>
            </w: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13,478</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Production Systems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2,598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7,219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9,831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All Other</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513</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1,331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1,844</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Eliminations &amp; other</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5"/>
                <w:szCs w:val="15"/>
                <w:color w:val="auto"/>
              </w:rPr>
              <w:t>(68)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spacing w:after="0" w:line="171" w:lineRule="exact"/>
              <w:rPr>
                <w:sz w:val="20"/>
                <w:szCs w:val="20"/>
                <w:color w:val="auto"/>
              </w:rPr>
            </w:pPr>
            <w:r>
              <w:rPr>
                <w:rFonts w:ascii="Arial" w:cs="Arial" w:eastAsia="Arial" w:hAnsi="Arial"/>
                <w:sz w:val="15"/>
                <w:szCs w:val="15"/>
                <w:color w:val="auto"/>
              </w:rPr>
              <w:t>6,727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line="17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gridSpan w:val="3"/>
          </w:tcPr>
          <w:p>
            <w:pPr>
              <w:jc w:val="right"/>
              <w:spacing w:after="0" w:line="171" w:lineRule="exact"/>
              <w:rPr>
                <w:sz w:val="20"/>
                <w:szCs w:val="20"/>
                <w:color w:val="auto"/>
              </w:rPr>
            </w:pPr>
            <w:r>
              <w:rPr>
                <w:rFonts w:ascii="Arial" w:cs="Arial" w:eastAsia="Arial" w:hAnsi="Arial"/>
                <w:sz w:val="15"/>
                <w:szCs w:val="15"/>
                <w:color w:val="auto"/>
              </w:rPr>
              <w:t>26,188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gridSpan w:val="2"/>
          </w:tcPr>
          <w:p>
            <w:pPr>
              <w:jc w:val="right"/>
              <w:ind w:right="20"/>
              <w:spacing w:after="0" w:line="171" w:lineRule="exact"/>
              <w:rPr>
                <w:sz w:val="20"/>
                <w:szCs w:val="20"/>
                <w:color w:val="auto"/>
              </w:rPr>
            </w:pPr>
            <w:r>
              <w:rPr>
                <w:rFonts w:ascii="Arial" w:cs="Arial" w:eastAsia="Arial" w:hAnsi="Arial"/>
                <w:sz w:val="15"/>
                <w:szCs w:val="15"/>
                <w:color w:val="auto"/>
              </w:rPr>
              <w:t>220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7"/>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33,135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5"/>
                <w:szCs w:val="15"/>
                <w:i w:val="1"/>
                <w:iCs w:val="1"/>
                <w:color w:val="auto"/>
              </w:rPr>
              <w:t xml:space="preserve">Fixed Assets less accumulated depreciation </w:t>
            </w:r>
            <w:r>
              <w:rPr>
                <w:rFonts w:ascii="Arial" w:cs="Arial" w:eastAsia="Arial" w:hAnsi="Arial"/>
                <w:sz w:val="15"/>
                <w:szCs w:val="15"/>
                <w:color w:val="auto"/>
              </w:rPr>
              <w:t>by geographic area was as follows:</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1"/>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center"/>
              <w:ind w:right="424"/>
              <w:spacing w:after="0"/>
              <w:rPr>
                <w:sz w:val="20"/>
                <w:szCs w:val="20"/>
                <w:color w:val="auto"/>
              </w:rPr>
            </w:pPr>
            <w:r>
              <w:rPr>
                <w:rFonts w:ascii="Arial" w:cs="Arial" w:eastAsia="Arial" w:hAnsi="Arial"/>
                <w:sz w:val="15"/>
                <w:szCs w:val="15"/>
                <w:b w:val="1"/>
                <w:bCs w:val="1"/>
                <w:color w:val="auto"/>
              </w:rPr>
              <w:t>2025</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2024</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rPr>
              <w:t>2023</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5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North America</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4"/>
              <w:spacing w:after="0" w:line="171"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2,020</w:t>
            </w:r>
          </w:p>
        </w:tc>
        <w:tc>
          <w:tcPr>
            <w:tcW w:w="42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1,805</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w w:val="95"/>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1,728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20"/>
                <w:szCs w:val="20"/>
                <w:color w:val="auto"/>
              </w:rPr>
            </w:pPr>
            <w:r>
              <w:rPr>
                <w:rFonts w:ascii="Arial" w:cs="Arial" w:eastAsia="Arial" w:hAnsi="Arial"/>
                <w:sz w:val="15"/>
                <w:szCs w:val="15"/>
                <w:color w:val="auto"/>
              </w:rPr>
              <w:t>Latin America</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1,338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1,044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1,079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shd w:val="clear" w:color="auto" w:fill="CFF0FC"/>
          </w:tcPr>
          <w:p>
            <w:pPr>
              <w:spacing w:after="0"/>
              <w:rPr>
                <w:sz w:val="20"/>
                <w:szCs w:val="20"/>
                <w:color w:val="auto"/>
              </w:rPr>
            </w:pPr>
            <w:r>
              <w:rPr>
                <w:rFonts w:ascii="Arial" w:cs="Arial" w:eastAsia="Arial" w:hAnsi="Arial"/>
                <w:sz w:val="15"/>
                <w:szCs w:val="15"/>
                <w:color w:val="auto"/>
              </w:rPr>
              <w:t>Europe &amp; Africa</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1,909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1,721</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1,804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5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Middle East &amp; Asia</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2,627</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2,789</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2,629</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4"/>
              <w:spacing w:after="0" w:line="171" w:lineRule="exact"/>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7,894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7,359</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7,240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-4326890</wp:posOffset>
            </wp:positionV>
            <wp:extent cx="647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-4311015</wp:posOffset>
            </wp:positionV>
            <wp:extent cx="647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-4326890</wp:posOffset>
            </wp:positionV>
            <wp:extent cx="647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-4311015</wp:posOffset>
            </wp:positionV>
            <wp:extent cx="647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-4326890</wp:posOffset>
            </wp:positionV>
            <wp:extent cx="647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-4311015</wp:posOffset>
            </wp:positionV>
            <wp:extent cx="647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-4326890</wp:posOffset>
            </wp:positionV>
            <wp:extent cx="723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723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-2820035</wp:posOffset>
            </wp:positionV>
            <wp:extent cx="647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-2804160</wp:posOffset>
            </wp:positionV>
            <wp:extent cx="647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-2820035</wp:posOffset>
            </wp:positionV>
            <wp:extent cx="647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-2804160</wp:posOffset>
            </wp:positionV>
            <wp:extent cx="647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-2820035</wp:posOffset>
            </wp:positionV>
            <wp:extent cx="647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-2804160</wp:posOffset>
            </wp:positionV>
            <wp:extent cx="647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-2820035</wp:posOffset>
            </wp:positionV>
            <wp:extent cx="723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-2804160</wp:posOffset>
            </wp:positionV>
            <wp:extent cx="723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-23495</wp:posOffset>
            </wp:positionV>
            <wp:extent cx="723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-7620</wp:posOffset>
            </wp:positionV>
            <wp:extent cx="723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-144145</wp:posOffset>
            </wp:positionV>
            <wp:extent cx="723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-23495</wp:posOffset>
            </wp:positionV>
            <wp:extent cx="647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-7620</wp:posOffset>
            </wp:positionV>
            <wp:extent cx="647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-144145</wp:posOffset>
            </wp:positionV>
            <wp:extent cx="647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Significant segment expenses, which represents the difference between segment revenue and pretax segment income,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i w:val="1"/>
                <w:iCs w:val="1"/>
                <w:color w:val="auto"/>
                <w:w w:val="98"/>
              </w:rPr>
              <w:t>(Stated in millions)</w:t>
            </w:r>
          </w:p>
        </w:tc>
      </w:tr>
      <w:tr>
        <w:trPr>
          <w:trHeight w:val="351"/>
        </w:trPr>
        <w:tc>
          <w:tcPr>
            <w:tcW w:w="5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2025</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58"/>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60"/>
              <w:spacing w:after="0" w:line="159" w:lineRule="exact"/>
              <w:rPr>
                <w:sz w:val="20"/>
                <w:szCs w:val="20"/>
                <w:color w:val="auto"/>
              </w:rPr>
            </w:pPr>
            <w:r>
              <w:rPr>
                <w:rFonts w:ascii="Arial" w:cs="Arial" w:eastAsia="Arial" w:hAnsi="Arial"/>
                <w:sz w:val="15"/>
                <w:szCs w:val="15"/>
                <w:b w:val="1"/>
                <w:bCs w:val="1"/>
                <w:color w:val="auto"/>
              </w:rPr>
              <w:t>Reservoir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480"/>
              <w:spacing w:after="0" w:line="159" w:lineRule="exact"/>
              <w:rPr>
                <w:sz w:val="20"/>
                <w:szCs w:val="20"/>
                <w:color w:val="auto"/>
              </w:rPr>
            </w:pPr>
            <w:r>
              <w:rPr>
                <w:rFonts w:ascii="Arial" w:cs="Arial" w:eastAsia="Arial" w:hAnsi="Arial"/>
                <w:sz w:val="15"/>
                <w:szCs w:val="15"/>
                <w:b w:val="1"/>
                <w:bCs w:val="1"/>
                <w:color w:val="auto"/>
              </w:rPr>
              <w:t>Well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9" w:lineRule="exact"/>
              <w:rPr>
                <w:sz w:val="20"/>
                <w:szCs w:val="20"/>
                <w:color w:val="auto"/>
              </w:rPr>
            </w:pPr>
            <w:r>
              <w:rPr>
                <w:rFonts w:ascii="Arial" w:cs="Arial" w:eastAsia="Arial" w:hAnsi="Arial"/>
                <w:sz w:val="15"/>
                <w:szCs w:val="15"/>
                <w:b w:val="1"/>
                <w:bCs w:val="1"/>
                <w:color w:val="auto"/>
              </w:rPr>
              <w:t>Production</w:t>
            </w:r>
          </w:p>
        </w:tc>
      </w:tr>
      <w:tr>
        <w:trPr>
          <w:trHeight w:val="190"/>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Digital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b w:val="1"/>
                <w:bCs w:val="1"/>
                <w:color w:val="auto"/>
              </w:rPr>
              <w:t>Performance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Construction</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b w:val="1"/>
                <w:bCs w:val="1"/>
                <w:color w:val="auto"/>
              </w:rPr>
              <w:t>Systems</w:t>
            </w:r>
          </w:p>
        </w:tc>
      </w:tr>
      <w:tr>
        <w:trPr>
          <w:trHeight w:val="170"/>
        </w:trPr>
        <w:tc>
          <w:tcPr>
            <w:tcW w:w="5800" w:type="dxa"/>
            <w:vAlign w:val="bottom"/>
            <w:tcBorders>
              <w:right w:val="single" w:sz="8" w:color="CFF0FC"/>
            </w:tcBorders>
            <w:shd w:val="clear" w:color="auto" w:fill="CFF0FC"/>
          </w:tcPr>
          <w:p>
            <w:pPr>
              <w:spacing w:after="0" w:line="171" w:lineRule="exact"/>
              <w:rPr>
                <w:sz w:val="20"/>
                <w:szCs w:val="20"/>
                <w:color w:val="auto"/>
              </w:rPr>
            </w:pPr>
            <w:r>
              <w:rPr>
                <w:rFonts w:ascii="Arial" w:cs="Arial" w:eastAsia="Arial" w:hAnsi="Arial"/>
                <w:sz w:val="15"/>
                <w:szCs w:val="15"/>
                <w:color w:val="auto"/>
              </w:rPr>
              <w:t>Compensation</w:t>
            </w:r>
          </w:p>
        </w:tc>
        <w:tc>
          <w:tcPr>
            <w:tcW w:w="220" w:type="dxa"/>
            <w:vAlign w:val="bottom"/>
            <w:shd w:val="clear" w:color="auto" w:fill="CFF0FC"/>
          </w:tcPr>
          <w:p>
            <w:pPr>
              <w:spacing w:after="0"/>
              <w:rPr>
                <w:sz w:val="14"/>
                <w:szCs w:val="14"/>
                <w:color w:val="auto"/>
              </w:rPr>
            </w:pPr>
          </w:p>
        </w:tc>
        <w:tc>
          <w:tcPr>
            <w:tcW w:w="100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$744</w:t>
            </w: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b w:val="1"/>
                <w:bCs w:val="1"/>
                <w:color w:val="auto"/>
              </w:rPr>
              <w:t>$1,593</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$2,362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$1,370</w:t>
            </w:r>
          </w:p>
        </w:tc>
      </w:tr>
      <w:tr>
        <w:trPr>
          <w:trHeight w:val="178"/>
        </w:trPr>
        <w:tc>
          <w:tcPr>
            <w:tcW w:w="5800" w:type="dxa"/>
            <w:vAlign w:val="bottom"/>
          </w:tcPr>
          <w:p>
            <w:pPr>
              <w:spacing w:after="0"/>
              <w:rPr>
                <w:sz w:val="20"/>
                <w:szCs w:val="20"/>
                <w:color w:val="auto"/>
              </w:rPr>
            </w:pPr>
            <w:r>
              <w:rPr>
                <w:rFonts w:ascii="Arial" w:cs="Arial" w:eastAsia="Arial" w:hAnsi="Arial"/>
                <w:sz w:val="15"/>
                <w:szCs w:val="15"/>
                <w:color w:val="auto"/>
              </w:rPr>
              <w:t>Cost of products, materials, and supplies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1,183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3,211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b w:val="1"/>
                <w:bCs w:val="1"/>
                <w:color w:val="auto"/>
              </w:rPr>
              <w:t>7,874</w:t>
            </w:r>
          </w:p>
        </w:tc>
      </w:tr>
      <w:tr>
        <w:trPr>
          <w:trHeight w:val="178"/>
        </w:trPr>
        <w:tc>
          <w:tcPr>
            <w:tcW w:w="5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183</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435</w:t>
            </w: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672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463</w:t>
            </w:r>
          </w:p>
        </w:tc>
      </w:tr>
      <w:tr>
        <w:trPr>
          <w:trHeight w:val="178"/>
        </w:trPr>
        <w:tc>
          <w:tcPr>
            <w:tcW w:w="5800" w:type="dxa"/>
            <w:vAlign w:val="bottom"/>
          </w:tcPr>
          <w:p>
            <w:pPr>
              <w:spacing w:after="0"/>
              <w:rPr>
                <w:sz w:val="20"/>
                <w:szCs w:val="20"/>
                <w:color w:val="auto"/>
              </w:rPr>
            </w:pPr>
            <w:r>
              <w:rPr>
                <w:rFonts w:ascii="Arial" w:cs="Arial" w:eastAsia="Arial" w:hAnsi="Arial"/>
                <w:sz w:val="15"/>
                <w:szCs w:val="15"/>
                <w:color w:val="auto"/>
              </w:rPr>
              <w:t>Allocations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643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944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b w:val="1"/>
                <w:bCs w:val="1"/>
                <w:color w:val="auto"/>
              </w:rPr>
              <w:t>532</w:t>
            </w:r>
          </w:p>
        </w:tc>
      </w:tr>
      <w:tr>
        <w:trPr>
          <w:trHeight w:val="178"/>
        </w:trPr>
        <w:tc>
          <w:tcPr>
            <w:tcW w:w="580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660</w:t>
            </w:r>
          </w:p>
        </w:tc>
        <w:tc>
          <w:tcPr>
            <w:tcW w:w="16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1,716</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2,419</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902</w:t>
            </w:r>
          </w:p>
        </w:tc>
      </w:tr>
      <w:tr>
        <w:trPr>
          <w:trHeight w:val="170"/>
        </w:trPr>
        <w:tc>
          <w:tcPr>
            <w:tcW w:w="5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$1,915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line="171" w:lineRule="exact"/>
              <w:rPr>
                <w:sz w:val="20"/>
                <w:szCs w:val="20"/>
                <w:color w:val="auto"/>
              </w:rPr>
            </w:pPr>
            <w:r>
              <w:rPr>
                <w:rFonts w:ascii="Arial" w:cs="Arial" w:eastAsia="Arial" w:hAnsi="Arial"/>
                <w:sz w:val="15"/>
                <w:szCs w:val="15"/>
                <w:b w:val="1"/>
                <w:bCs w:val="1"/>
                <w:color w:val="auto"/>
              </w:rPr>
              <w:t>$5,570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71" w:lineRule="exact"/>
              <w:rPr>
                <w:sz w:val="20"/>
                <w:szCs w:val="20"/>
                <w:color w:val="auto"/>
              </w:rPr>
            </w:pPr>
            <w:r>
              <w:rPr>
                <w:rFonts w:ascii="Arial" w:cs="Arial" w:eastAsia="Arial" w:hAnsi="Arial"/>
                <w:sz w:val="15"/>
                <w:szCs w:val="15"/>
                <w:b w:val="1"/>
                <w:bCs w:val="1"/>
                <w:color w:val="auto"/>
              </w:rPr>
              <w:t>$9,608</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line="171" w:lineRule="exact"/>
              <w:rPr>
                <w:sz w:val="20"/>
                <w:szCs w:val="20"/>
                <w:color w:val="auto"/>
              </w:rPr>
            </w:pPr>
            <w:r>
              <w:rPr>
                <w:rFonts w:ascii="Arial" w:cs="Arial" w:eastAsia="Arial" w:hAnsi="Arial"/>
                <w:sz w:val="15"/>
                <w:szCs w:val="15"/>
                <w:b w:val="1"/>
                <w:bCs w:val="1"/>
                <w:color w:val="auto"/>
              </w:rPr>
              <w:t>$11,141</w:t>
            </w: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63"/>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7"/>
              </w:rPr>
              <w:t>(Stated in millions)</w:t>
            </w:r>
          </w:p>
        </w:tc>
      </w:tr>
      <w:tr>
        <w:trPr>
          <w:trHeight w:val="351"/>
        </w:trPr>
        <w:tc>
          <w:tcPr>
            <w:tcW w:w="5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color w:val="auto"/>
              </w:rPr>
              <w:t>2024</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9" w:lineRule="exact"/>
              <w:rPr>
                <w:sz w:val="20"/>
                <w:szCs w:val="20"/>
                <w:color w:val="auto"/>
              </w:rPr>
            </w:pPr>
            <w:r>
              <w:rPr>
                <w:rFonts w:ascii="Arial" w:cs="Arial" w:eastAsia="Arial" w:hAnsi="Arial"/>
                <w:sz w:val="15"/>
                <w:szCs w:val="15"/>
                <w:color w:val="auto"/>
                <w:w w:val="99"/>
              </w:rPr>
              <w:t>Reservoir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00"/>
              <w:spacing w:after="0" w:line="159" w:lineRule="exact"/>
              <w:rPr>
                <w:sz w:val="20"/>
                <w:szCs w:val="20"/>
                <w:color w:val="auto"/>
              </w:rPr>
            </w:pPr>
            <w:r>
              <w:rPr>
                <w:rFonts w:ascii="Arial" w:cs="Arial" w:eastAsia="Arial" w:hAnsi="Arial"/>
                <w:sz w:val="15"/>
                <w:szCs w:val="15"/>
                <w:color w:val="auto"/>
              </w:rPr>
              <w:t>Well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line="159" w:lineRule="exact"/>
              <w:rPr>
                <w:sz w:val="20"/>
                <w:szCs w:val="20"/>
                <w:color w:val="auto"/>
              </w:rPr>
            </w:pPr>
            <w:r>
              <w:rPr>
                <w:rFonts w:ascii="Arial" w:cs="Arial" w:eastAsia="Arial" w:hAnsi="Arial"/>
                <w:sz w:val="15"/>
                <w:szCs w:val="15"/>
                <w:color w:val="auto"/>
              </w:rPr>
              <w:t>Production</w:t>
            </w:r>
          </w:p>
        </w:tc>
        <w:tc>
          <w:tcPr>
            <w:tcW w:w="100" w:type="dxa"/>
            <w:vAlign w:val="bottom"/>
          </w:tcPr>
          <w:p>
            <w:pPr>
              <w:spacing w:after="0"/>
              <w:rPr>
                <w:sz w:val="13"/>
                <w:szCs w:val="13"/>
                <w:color w:val="auto"/>
              </w:rPr>
            </w:pPr>
          </w:p>
        </w:tc>
      </w:tr>
      <w:tr>
        <w:trPr>
          <w:trHeight w:val="190"/>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Digital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Performance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rPr>
              <w:t>Construction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rPr>
              <w:t>Systems</w:t>
            </w:r>
          </w:p>
        </w:tc>
        <w:tc>
          <w:tcPr>
            <w:tcW w:w="100" w:type="dxa"/>
            <w:vAlign w:val="bottom"/>
          </w:tcPr>
          <w:p>
            <w:pPr>
              <w:spacing w:after="0"/>
              <w:rPr>
                <w:sz w:val="16"/>
                <w:szCs w:val="16"/>
                <w:color w:val="auto"/>
              </w:rPr>
            </w:pPr>
          </w:p>
        </w:tc>
      </w:tr>
      <w:tr>
        <w:trPr>
          <w:trHeight w:val="170"/>
        </w:trPr>
        <w:tc>
          <w:tcPr>
            <w:tcW w:w="5800" w:type="dxa"/>
            <w:vAlign w:val="bottom"/>
            <w:tcBorders>
              <w:right w:val="single" w:sz="8" w:color="CFF0FC"/>
            </w:tcBorders>
            <w:shd w:val="clear" w:color="auto" w:fill="CFF0FC"/>
          </w:tcPr>
          <w:p>
            <w:pPr>
              <w:spacing w:after="0" w:line="171" w:lineRule="exact"/>
              <w:rPr>
                <w:sz w:val="20"/>
                <w:szCs w:val="20"/>
                <w:color w:val="auto"/>
              </w:rPr>
            </w:pPr>
            <w:r>
              <w:rPr>
                <w:rFonts w:ascii="Arial" w:cs="Arial" w:eastAsia="Arial" w:hAnsi="Arial"/>
                <w:sz w:val="15"/>
                <w:szCs w:val="15"/>
                <w:color w:val="auto"/>
              </w:rPr>
              <w:t>Compensation</w:t>
            </w:r>
          </w:p>
        </w:tc>
        <w:tc>
          <w:tcPr>
            <w:tcW w:w="220" w:type="dxa"/>
            <w:vAlign w:val="bottom"/>
            <w:shd w:val="clear" w:color="auto" w:fill="CFF0FC"/>
          </w:tcPr>
          <w:p>
            <w:pPr>
              <w:jc w:val="right"/>
              <w:ind w:right="64"/>
              <w:spacing w:after="0" w:line="171" w:lineRule="exact"/>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747</w:t>
            </w:r>
          </w:p>
        </w:tc>
        <w:tc>
          <w:tcPr>
            <w:tcW w:w="2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80"/>
              <w:spacing w:after="0" w:line="171" w:lineRule="exact"/>
              <w:rPr>
                <w:sz w:val="20"/>
                <w:szCs w:val="20"/>
                <w:color w:val="auto"/>
              </w:rPr>
            </w:pPr>
            <w:r>
              <w:rPr>
                <w:rFonts w:ascii="Arial" w:cs="Arial" w:eastAsia="Arial" w:hAnsi="Arial"/>
                <w:sz w:val="15"/>
                <w:szCs w:val="15"/>
                <w:color w:val="auto"/>
              </w:rPr>
              <w:t>1,638</w:t>
            </w:r>
          </w:p>
        </w:tc>
        <w:tc>
          <w:tcPr>
            <w:tcW w:w="26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80"/>
              <w:spacing w:after="0" w:line="171" w:lineRule="exact"/>
              <w:rPr>
                <w:sz w:val="20"/>
                <w:szCs w:val="20"/>
                <w:color w:val="auto"/>
              </w:rPr>
            </w:pPr>
            <w:r>
              <w:rPr>
                <w:rFonts w:ascii="Arial" w:cs="Arial" w:eastAsia="Arial" w:hAnsi="Arial"/>
                <w:sz w:val="15"/>
                <w:szCs w:val="15"/>
                <w:color w:val="auto"/>
              </w:rPr>
              <w:t>2,587</w:t>
            </w:r>
          </w:p>
        </w:tc>
        <w:tc>
          <w:tcPr>
            <w:tcW w:w="2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1,037</w:t>
            </w:r>
          </w:p>
        </w:tc>
      </w:tr>
      <w:tr>
        <w:trPr>
          <w:trHeight w:val="178"/>
        </w:trPr>
        <w:tc>
          <w:tcPr>
            <w:tcW w:w="5800" w:type="dxa"/>
            <w:vAlign w:val="bottom"/>
          </w:tcPr>
          <w:p>
            <w:pPr>
              <w:spacing w:after="0"/>
              <w:rPr>
                <w:sz w:val="20"/>
                <w:szCs w:val="20"/>
                <w:color w:val="auto"/>
              </w:rPr>
            </w:pPr>
            <w:r>
              <w:rPr>
                <w:rFonts w:ascii="Arial" w:cs="Arial" w:eastAsia="Arial" w:hAnsi="Arial"/>
                <w:sz w:val="15"/>
                <w:szCs w:val="15"/>
                <w:color w:val="auto"/>
              </w:rPr>
              <w:t>Cost of products, materials, and supplies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1,232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3,579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7,408</w:t>
            </w:r>
          </w:p>
        </w:tc>
      </w:tr>
      <w:tr>
        <w:trPr>
          <w:trHeight w:val="178"/>
        </w:trPr>
        <w:tc>
          <w:tcPr>
            <w:tcW w:w="5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173</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w:t>
            </w:r>
          </w:p>
        </w:tc>
        <w:tc>
          <w:tcPr>
            <w:tcW w:w="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649</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347</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spacing w:after="0"/>
              <w:rPr>
                <w:sz w:val="20"/>
                <w:szCs w:val="20"/>
                <w:color w:val="auto"/>
              </w:rPr>
            </w:pPr>
            <w:r>
              <w:rPr>
                <w:rFonts w:ascii="Arial" w:cs="Arial" w:eastAsia="Arial" w:hAnsi="Arial"/>
                <w:sz w:val="15"/>
                <w:szCs w:val="15"/>
                <w:color w:val="auto"/>
              </w:rPr>
              <w:t>Allocations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1,011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529</w:t>
            </w:r>
          </w:p>
        </w:tc>
        <w:tc>
          <w:tcPr>
            <w:tcW w:w="100" w:type="dxa"/>
            <w:vAlign w:val="bottom"/>
          </w:tcPr>
          <w:p>
            <w:pPr>
              <w:spacing w:after="0"/>
              <w:rPr>
                <w:sz w:val="15"/>
                <w:szCs w:val="15"/>
                <w:color w:val="auto"/>
              </w:rPr>
            </w:pPr>
          </w:p>
        </w:tc>
      </w:tr>
      <w:tr>
        <w:trPr>
          <w:trHeight w:val="178"/>
        </w:trPr>
        <w:tc>
          <w:tcPr>
            <w:tcW w:w="5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593</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1,783</w:t>
            </w: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2,705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714</w:t>
            </w:r>
          </w:p>
        </w:tc>
        <w:tc>
          <w:tcPr>
            <w:tcW w:w="100" w:type="dxa"/>
            <w:vAlign w:val="bottom"/>
            <w:shd w:val="clear" w:color="auto" w:fill="CFF0FC"/>
          </w:tcPr>
          <w:p>
            <w:pPr>
              <w:spacing w:after="0"/>
              <w:rPr>
                <w:sz w:val="15"/>
                <w:szCs w:val="15"/>
                <w:color w:val="auto"/>
              </w:rPr>
            </w:pPr>
          </w:p>
        </w:tc>
      </w:tr>
      <w:tr>
        <w:trPr>
          <w:trHeight w:val="20"/>
        </w:trPr>
        <w:tc>
          <w:tcPr>
            <w:tcW w:w="58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5800" w:type="dxa"/>
            <w:vAlign w:val="bottom"/>
          </w:tcPr>
          <w:p>
            <w:pPr>
              <w:spacing w:after="0"/>
              <w:rPr>
                <w:sz w:val="14"/>
                <w:szCs w:val="14"/>
                <w:color w:val="auto"/>
              </w:rPr>
            </w:pPr>
          </w:p>
        </w:tc>
        <w:tc>
          <w:tcPr>
            <w:tcW w:w="220" w:type="dxa"/>
            <w:vAlign w:val="bottom"/>
          </w:tcPr>
          <w:p>
            <w:pPr>
              <w:jc w:val="right"/>
              <w:ind w:right="64"/>
              <w:spacing w:after="0" w:line="171"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1" w:lineRule="exact"/>
              <w:rPr>
                <w:sz w:val="20"/>
                <w:szCs w:val="20"/>
                <w:color w:val="auto"/>
              </w:rPr>
            </w:pPr>
            <w:r>
              <w:rPr>
                <w:rFonts w:ascii="Arial" w:cs="Arial" w:eastAsia="Arial" w:hAnsi="Arial"/>
                <w:sz w:val="15"/>
                <w:szCs w:val="15"/>
                <w:color w:val="auto"/>
              </w:rPr>
              <w:t>1,827</w:t>
            </w:r>
          </w:p>
        </w:tc>
        <w:tc>
          <w:tcPr>
            <w:tcW w:w="160" w:type="dxa"/>
            <w:vAlign w:val="bottom"/>
          </w:tcPr>
          <w:p>
            <w:pPr>
              <w:spacing w:after="0"/>
              <w:rPr>
                <w:sz w:val="14"/>
                <w:szCs w:val="14"/>
                <w:color w:val="auto"/>
              </w:rPr>
            </w:pP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5,725</w:t>
            </w:r>
          </w:p>
        </w:tc>
        <w:tc>
          <w:tcPr>
            <w:tcW w:w="26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10,531</w:t>
            </w:r>
          </w:p>
        </w:tc>
        <w:tc>
          <w:tcPr>
            <w:tcW w:w="80" w:type="dxa"/>
            <w:vAlign w:val="bottom"/>
          </w:tcPr>
          <w:p>
            <w:pPr>
              <w:spacing w:after="0"/>
              <w:rPr>
                <w:sz w:val="14"/>
                <w:szCs w:val="14"/>
                <w:color w:val="auto"/>
              </w:rPr>
            </w:pPr>
          </w:p>
        </w:tc>
        <w:tc>
          <w:tcPr>
            <w:tcW w:w="2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10,035</w:t>
            </w:r>
          </w:p>
        </w:tc>
        <w:tc>
          <w:tcPr>
            <w:tcW w:w="100" w:type="dxa"/>
            <w:vAlign w:val="bottom"/>
          </w:tcPr>
          <w:p>
            <w:pPr>
              <w:spacing w:after="0"/>
              <w:rPr>
                <w:sz w:val="14"/>
                <w:szCs w:val="14"/>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7"/>
              </w:rPr>
              <w:t>(Stated in millions)</w:t>
            </w:r>
          </w:p>
        </w:tc>
      </w:tr>
      <w:tr>
        <w:trPr>
          <w:trHeight w:val="351"/>
        </w:trPr>
        <w:tc>
          <w:tcPr>
            <w:tcW w:w="5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color w:val="auto"/>
              </w:rPr>
              <w:t>2023</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9" w:lineRule="exact"/>
              <w:rPr>
                <w:sz w:val="20"/>
                <w:szCs w:val="20"/>
                <w:color w:val="auto"/>
              </w:rPr>
            </w:pPr>
            <w:r>
              <w:rPr>
                <w:rFonts w:ascii="Arial" w:cs="Arial" w:eastAsia="Arial" w:hAnsi="Arial"/>
                <w:sz w:val="15"/>
                <w:szCs w:val="15"/>
                <w:color w:val="auto"/>
                <w:w w:val="99"/>
              </w:rPr>
              <w:t>Reservoir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00"/>
              <w:spacing w:after="0" w:line="159" w:lineRule="exact"/>
              <w:rPr>
                <w:sz w:val="20"/>
                <w:szCs w:val="20"/>
                <w:color w:val="auto"/>
              </w:rPr>
            </w:pPr>
            <w:r>
              <w:rPr>
                <w:rFonts w:ascii="Arial" w:cs="Arial" w:eastAsia="Arial" w:hAnsi="Arial"/>
                <w:sz w:val="15"/>
                <w:szCs w:val="15"/>
                <w:color w:val="auto"/>
              </w:rPr>
              <w:t>Well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line="159" w:lineRule="exact"/>
              <w:rPr>
                <w:sz w:val="20"/>
                <w:szCs w:val="20"/>
                <w:color w:val="auto"/>
              </w:rPr>
            </w:pPr>
            <w:r>
              <w:rPr>
                <w:rFonts w:ascii="Arial" w:cs="Arial" w:eastAsia="Arial" w:hAnsi="Arial"/>
                <w:sz w:val="15"/>
                <w:szCs w:val="15"/>
                <w:color w:val="auto"/>
              </w:rPr>
              <w:t>Production</w:t>
            </w:r>
          </w:p>
        </w:tc>
        <w:tc>
          <w:tcPr>
            <w:tcW w:w="100" w:type="dxa"/>
            <w:vAlign w:val="bottom"/>
          </w:tcPr>
          <w:p>
            <w:pPr>
              <w:spacing w:after="0"/>
              <w:rPr>
                <w:sz w:val="13"/>
                <w:szCs w:val="13"/>
                <w:color w:val="auto"/>
              </w:rPr>
            </w:pPr>
          </w:p>
        </w:tc>
      </w:tr>
      <w:tr>
        <w:trPr>
          <w:trHeight w:val="190"/>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Digital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Performance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rPr>
              <w:t>Construction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rPr>
              <w:t>Systems</w:t>
            </w:r>
          </w:p>
        </w:tc>
        <w:tc>
          <w:tcPr>
            <w:tcW w:w="100" w:type="dxa"/>
            <w:vAlign w:val="bottom"/>
          </w:tcPr>
          <w:p>
            <w:pPr>
              <w:spacing w:after="0"/>
              <w:rPr>
                <w:sz w:val="16"/>
                <w:szCs w:val="16"/>
                <w:color w:val="auto"/>
              </w:rPr>
            </w:pPr>
          </w:p>
        </w:tc>
      </w:tr>
      <w:tr>
        <w:trPr>
          <w:trHeight w:val="170"/>
        </w:trPr>
        <w:tc>
          <w:tcPr>
            <w:tcW w:w="5800" w:type="dxa"/>
            <w:vAlign w:val="bottom"/>
            <w:tcBorders>
              <w:right w:val="single" w:sz="8" w:color="CFF0FC"/>
            </w:tcBorders>
            <w:shd w:val="clear" w:color="auto" w:fill="CFF0FC"/>
          </w:tcPr>
          <w:p>
            <w:pPr>
              <w:spacing w:after="0" w:line="171" w:lineRule="exact"/>
              <w:rPr>
                <w:sz w:val="20"/>
                <w:szCs w:val="20"/>
                <w:color w:val="auto"/>
              </w:rPr>
            </w:pPr>
            <w:r>
              <w:rPr>
                <w:rFonts w:ascii="Arial" w:cs="Arial" w:eastAsia="Arial" w:hAnsi="Arial"/>
                <w:sz w:val="15"/>
                <w:szCs w:val="15"/>
                <w:color w:val="auto"/>
              </w:rPr>
              <w:t>Compensation</w:t>
            </w:r>
          </w:p>
        </w:tc>
        <w:tc>
          <w:tcPr>
            <w:tcW w:w="220" w:type="dxa"/>
            <w:vAlign w:val="bottom"/>
            <w:shd w:val="clear" w:color="auto" w:fill="CFF0FC"/>
          </w:tcPr>
          <w:p>
            <w:pPr>
              <w:jc w:val="right"/>
              <w:ind w:right="64"/>
              <w:spacing w:after="0" w:line="171" w:lineRule="exact"/>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745</w:t>
            </w:r>
          </w:p>
        </w:tc>
        <w:tc>
          <w:tcPr>
            <w:tcW w:w="2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80"/>
              <w:spacing w:after="0" w:line="171" w:lineRule="exact"/>
              <w:rPr>
                <w:sz w:val="20"/>
                <w:szCs w:val="20"/>
                <w:color w:val="auto"/>
              </w:rPr>
            </w:pPr>
            <w:r>
              <w:rPr>
                <w:rFonts w:ascii="Arial" w:cs="Arial" w:eastAsia="Arial" w:hAnsi="Arial"/>
                <w:sz w:val="15"/>
                <w:szCs w:val="15"/>
                <w:color w:val="auto"/>
              </w:rPr>
              <w:t>1,501</w:t>
            </w:r>
          </w:p>
        </w:tc>
        <w:tc>
          <w:tcPr>
            <w:tcW w:w="260" w:type="dxa"/>
            <w:vAlign w:val="bottom"/>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80"/>
              <w:spacing w:after="0" w:line="171" w:lineRule="exact"/>
              <w:rPr>
                <w:sz w:val="20"/>
                <w:szCs w:val="20"/>
                <w:color w:val="auto"/>
              </w:rPr>
            </w:pPr>
            <w:r>
              <w:rPr>
                <w:rFonts w:ascii="Arial" w:cs="Arial" w:eastAsia="Arial" w:hAnsi="Arial"/>
                <w:sz w:val="15"/>
                <w:szCs w:val="15"/>
                <w:color w:val="auto"/>
              </w:rPr>
              <w:t>2,526</w:t>
            </w:r>
          </w:p>
        </w:tc>
        <w:tc>
          <w:tcPr>
            <w:tcW w:w="2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1,104</w:t>
            </w:r>
          </w:p>
        </w:tc>
      </w:tr>
      <w:tr>
        <w:trPr>
          <w:trHeight w:val="178"/>
        </w:trPr>
        <w:tc>
          <w:tcPr>
            <w:tcW w:w="5800" w:type="dxa"/>
            <w:vAlign w:val="bottom"/>
          </w:tcPr>
          <w:p>
            <w:pPr>
              <w:spacing w:after="0"/>
              <w:rPr>
                <w:sz w:val="20"/>
                <w:szCs w:val="20"/>
                <w:color w:val="auto"/>
              </w:rPr>
            </w:pPr>
            <w:r>
              <w:rPr>
                <w:rFonts w:ascii="Arial" w:cs="Arial" w:eastAsia="Arial" w:hAnsi="Arial"/>
                <w:sz w:val="15"/>
                <w:szCs w:val="15"/>
                <w:color w:val="auto"/>
              </w:rPr>
              <w:t>Cost of products, materials, and supplies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1,157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3,673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5,946</w:t>
            </w:r>
          </w:p>
        </w:tc>
      </w:tr>
      <w:tr>
        <w:trPr>
          <w:trHeight w:val="178"/>
        </w:trPr>
        <w:tc>
          <w:tcPr>
            <w:tcW w:w="5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167</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w:t>
            </w:r>
          </w:p>
        </w:tc>
        <w:tc>
          <w:tcPr>
            <w:tcW w:w="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587</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w:t>
            </w:r>
          </w:p>
        </w:tc>
        <w:tc>
          <w:tcPr>
            <w:tcW w:w="100" w:type="dxa"/>
            <w:vAlign w:val="bottom"/>
            <w:shd w:val="clear" w:color="auto" w:fill="CFF0FC"/>
          </w:tcPr>
          <w:p>
            <w:pPr>
              <w:spacing w:after="0"/>
              <w:rPr>
                <w:sz w:val="15"/>
                <w:szCs w:val="15"/>
                <w:color w:val="auto"/>
              </w:rPr>
            </w:pPr>
          </w:p>
        </w:tc>
      </w:tr>
      <w:tr>
        <w:trPr>
          <w:trHeight w:val="178"/>
        </w:trPr>
        <w:tc>
          <w:tcPr>
            <w:tcW w:w="5800" w:type="dxa"/>
            <w:vAlign w:val="bottom"/>
          </w:tcPr>
          <w:p>
            <w:pPr>
              <w:spacing w:after="0"/>
              <w:rPr>
                <w:sz w:val="20"/>
                <w:szCs w:val="20"/>
                <w:color w:val="auto"/>
              </w:rPr>
            </w:pPr>
            <w:r>
              <w:rPr>
                <w:rFonts w:ascii="Arial" w:cs="Arial" w:eastAsia="Arial" w:hAnsi="Arial"/>
                <w:sz w:val="15"/>
                <w:szCs w:val="15"/>
                <w:color w:val="auto"/>
              </w:rPr>
              <w:t>Allocations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943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492</w:t>
            </w:r>
          </w:p>
        </w:tc>
        <w:tc>
          <w:tcPr>
            <w:tcW w:w="100" w:type="dxa"/>
            <w:vAlign w:val="bottom"/>
          </w:tcPr>
          <w:p>
            <w:pPr>
              <w:spacing w:after="0"/>
              <w:rPr>
                <w:sz w:val="15"/>
                <w:szCs w:val="15"/>
                <w:color w:val="auto"/>
              </w:rPr>
            </w:pPr>
          </w:p>
        </w:tc>
      </w:tr>
      <w:tr>
        <w:trPr>
          <w:trHeight w:val="178"/>
        </w:trPr>
        <w:tc>
          <w:tcPr>
            <w:tcW w:w="5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447</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1,648</w:t>
            </w: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2,817</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719</w:t>
            </w:r>
          </w:p>
        </w:tc>
        <w:tc>
          <w:tcPr>
            <w:tcW w:w="100" w:type="dxa"/>
            <w:vAlign w:val="bottom"/>
            <w:shd w:val="clear" w:color="auto" w:fill="CFF0FC"/>
          </w:tcPr>
          <w:p>
            <w:pPr>
              <w:spacing w:after="0"/>
              <w:rPr>
                <w:sz w:val="15"/>
                <w:szCs w:val="15"/>
                <w:color w:val="auto"/>
              </w:rPr>
            </w:pPr>
          </w:p>
        </w:tc>
      </w:tr>
      <w:tr>
        <w:trPr>
          <w:trHeight w:val="20"/>
        </w:trPr>
        <w:tc>
          <w:tcPr>
            <w:tcW w:w="58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5800" w:type="dxa"/>
            <w:vAlign w:val="bottom"/>
          </w:tcPr>
          <w:p>
            <w:pPr>
              <w:spacing w:after="0"/>
              <w:rPr>
                <w:sz w:val="14"/>
                <w:szCs w:val="14"/>
                <w:color w:val="auto"/>
              </w:rPr>
            </w:pPr>
          </w:p>
        </w:tc>
        <w:tc>
          <w:tcPr>
            <w:tcW w:w="220" w:type="dxa"/>
            <w:vAlign w:val="bottom"/>
          </w:tcPr>
          <w:p>
            <w:pPr>
              <w:jc w:val="right"/>
              <w:ind w:right="64"/>
              <w:spacing w:after="0" w:line="171"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71" w:lineRule="exact"/>
              <w:rPr>
                <w:sz w:val="20"/>
                <w:szCs w:val="20"/>
                <w:color w:val="auto"/>
              </w:rPr>
            </w:pPr>
            <w:r>
              <w:rPr>
                <w:rFonts w:ascii="Arial" w:cs="Arial" w:eastAsia="Arial" w:hAnsi="Arial"/>
                <w:sz w:val="15"/>
                <w:szCs w:val="15"/>
                <w:color w:val="auto"/>
              </w:rPr>
              <w:t>1,668</w:t>
            </w:r>
          </w:p>
        </w:tc>
        <w:tc>
          <w:tcPr>
            <w:tcW w:w="160" w:type="dxa"/>
            <w:vAlign w:val="bottom"/>
          </w:tcPr>
          <w:p>
            <w:pPr>
              <w:spacing w:after="0"/>
              <w:rPr>
                <w:sz w:val="14"/>
                <w:szCs w:val="14"/>
                <w:color w:val="auto"/>
              </w:rPr>
            </w:pP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5,298</w:t>
            </w:r>
          </w:p>
        </w:tc>
        <w:tc>
          <w:tcPr>
            <w:tcW w:w="26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71" w:lineRule="exact"/>
              <w:rPr>
                <w:sz w:val="20"/>
                <w:szCs w:val="20"/>
                <w:color w:val="auto"/>
              </w:rPr>
            </w:pPr>
            <w:r>
              <w:rPr>
                <w:rFonts w:ascii="Arial" w:cs="Arial" w:eastAsia="Arial" w:hAnsi="Arial"/>
                <w:sz w:val="15"/>
                <w:szCs w:val="15"/>
                <w:color w:val="auto"/>
              </w:rPr>
              <w:t>10,546</w:t>
            </w:r>
          </w:p>
        </w:tc>
        <w:tc>
          <w:tcPr>
            <w:tcW w:w="80" w:type="dxa"/>
            <w:vAlign w:val="bottom"/>
          </w:tcPr>
          <w:p>
            <w:pPr>
              <w:spacing w:after="0"/>
              <w:rPr>
                <w:sz w:val="14"/>
                <w:szCs w:val="14"/>
                <w:color w:val="auto"/>
              </w:rPr>
            </w:pPr>
          </w:p>
        </w:tc>
        <w:tc>
          <w:tcPr>
            <w:tcW w:w="26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8,586</w:t>
            </w: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-2973070</wp:posOffset>
            </wp:positionV>
            <wp:extent cx="806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-2973070</wp:posOffset>
            </wp:positionV>
            <wp:extent cx="8064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-2973070</wp:posOffset>
            </wp:positionV>
            <wp:extent cx="8064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-1555115</wp:posOffset>
            </wp:positionV>
            <wp:extent cx="647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-1555115</wp:posOffset>
            </wp:positionV>
            <wp:extent cx="647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-1555115</wp:posOffset>
            </wp:positionV>
            <wp:extent cx="647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-1555115</wp:posOffset>
            </wp:positionV>
            <wp:extent cx="723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-144145</wp:posOffset>
            </wp:positionV>
            <wp:extent cx="647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-144145</wp:posOffset>
            </wp:positionV>
            <wp:extent cx="647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-144145</wp:posOffset>
            </wp:positionV>
            <wp:extent cx="647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-144145</wp:posOffset>
            </wp:positionV>
            <wp:extent cx="723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Other segment expenses include transportation, mobilization, lease, occupancy, professional, and other costs.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SLB's chief operating decision maker is its Chief Executive Officer who uses pretax segment income to assess the performance of each segment.</w:t>
      </w:r>
    </w:p>
    <w:p>
      <w:pPr>
        <w:spacing w:after="0" w:line="208" w:lineRule="exact"/>
        <w:rPr>
          <w:sz w:val="20"/>
          <w:szCs w:val="20"/>
          <w:color w:val="auto"/>
        </w:rPr>
      </w:pPr>
    </w:p>
    <w:p>
      <w:pPr>
        <w:ind w:left="300" w:hanging="298"/>
        <w:spacing w:after="0"/>
        <w:tabs>
          <w:tab w:leader="none" w:pos="30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Pension and Other Postretirement Benefit Plans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Pension Plans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 sponsors several defined benefit pension plans that cover substantially all US employees hired prior to October 1, 2004. The benefits are based on years of service and compensation, on a career-average pay basis.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addition to the US defined benefit pension plans, SLB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weighted-average assumed discount rate, compensation increases and expected long-term rate of return on plan assets used to determine the net pension cost for the US and International plans were as follows: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rPr>
              <w:t>US</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color w:val="auto"/>
              </w:rPr>
              <w:t>International</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0"/>
        </w:trPr>
        <w:tc>
          <w:tcPr>
            <w:tcW w:w="4520" w:type="dxa"/>
            <w:vAlign w:val="bottom"/>
          </w:tcPr>
          <w:p>
            <w:pPr>
              <w:spacing w:after="0"/>
              <w:rPr>
                <w:sz w:val="14"/>
                <w:szCs w:val="14"/>
                <w:color w:val="auto"/>
              </w:rPr>
            </w:pPr>
          </w:p>
        </w:tc>
        <w:tc>
          <w:tcPr>
            <w:tcW w:w="880" w:type="dxa"/>
            <w:vAlign w:val="bottom"/>
            <w:tcBorders>
              <w:bottom w:val="single" w:sz="8" w:color="auto"/>
            </w:tcBorders>
          </w:tcPr>
          <w:p>
            <w:pPr>
              <w:jc w:val="right"/>
              <w:ind w:right="184"/>
              <w:spacing w:after="0" w:line="171" w:lineRule="exact"/>
              <w:rPr>
                <w:sz w:val="20"/>
                <w:szCs w:val="20"/>
                <w:color w:val="auto"/>
              </w:rPr>
            </w:pPr>
            <w:r>
              <w:rPr>
                <w:rFonts w:ascii="Arial" w:cs="Arial" w:eastAsia="Arial" w:hAnsi="Arial"/>
                <w:sz w:val="15"/>
                <w:szCs w:val="15"/>
                <w:b w:val="1"/>
                <w:bCs w:val="1"/>
                <w:color w:val="auto"/>
              </w:rPr>
              <w:t>2025</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4"/>
              <w:spacing w:after="0" w:line="171" w:lineRule="exact"/>
              <w:rPr>
                <w:sz w:val="20"/>
                <w:szCs w:val="20"/>
                <w:color w:val="auto"/>
              </w:rPr>
            </w:pPr>
            <w:r>
              <w:rPr>
                <w:rFonts w:ascii="Arial" w:cs="Arial" w:eastAsia="Arial" w:hAnsi="Arial"/>
                <w:sz w:val="15"/>
                <w:szCs w:val="15"/>
                <w:color w:val="auto"/>
              </w:rPr>
              <w:t>2024</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ind w:right="184"/>
              <w:spacing w:after="0" w:line="171" w:lineRule="exact"/>
              <w:rPr>
                <w:sz w:val="20"/>
                <w:szCs w:val="20"/>
                <w:color w:val="auto"/>
              </w:rPr>
            </w:pPr>
            <w:r>
              <w:rPr>
                <w:rFonts w:ascii="Arial" w:cs="Arial" w:eastAsia="Arial" w:hAnsi="Arial"/>
                <w:sz w:val="15"/>
                <w:szCs w:val="15"/>
                <w:color w:val="auto"/>
              </w:rPr>
              <w:t>2023</w:t>
            </w:r>
          </w:p>
        </w:tc>
        <w:tc>
          <w:tcPr>
            <w:tcW w:w="240" w:type="dxa"/>
            <w:vAlign w:val="bottom"/>
          </w:tcPr>
          <w:p>
            <w:pPr>
              <w:spacing w:after="0"/>
              <w:rPr>
                <w:sz w:val="14"/>
                <w:szCs w:val="14"/>
                <w:color w:val="auto"/>
              </w:rPr>
            </w:pPr>
          </w:p>
        </w:tc>
        <w:tc>
          <w:tcPr>
            <w:tcW w:w="900" w:type="dxa"/>
            <w:vAlign w:val="bottom"/>
            <w:tcBorders>
              <w:bottom w:val="single" w:sz="8" w:color="auto"/>
            </w:tcBorders>
          </w:tcPr>
          <w:p>
            <w:pPr>
              <w:jc w:val="right"/>
              <w:ind w:right="204"/>
              <w:spacing w:after="0" w:line="171" w:lineRule="exact"/>
              <w:rPr>
                <w:sz w:val="20"/>
                <w:szCs w:val="20"/>
                <w:color w:val="auto"/>
              </w:rPr>
            </w:pPr>
            <w:r>
              <w:rPr>
                <w:rFonts w:ascii="Arial" w:cs="Arial" w:eastAsia="Arial" w:hAnsi="Arial"/>
                <w:sz w:val="15"/>
                <w:szCs w:val="15"/>
                <w:b w:val="1"/>
                <w:bCs w:val="1"/>
                <w:color w:val="auto"/>
              </w:rPr>
              <w:t>2025</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ind w:right="184"/>
              <w:spacing w:after="0" w:line="171" w:lineRule="exact"/>
              <w:rPr>
                <w:sz w:val="20"/>
                <w:szCs w:val="20"/>
                <w:color w:val="auto"/>
              </w:rPr>
            </w:pPr>
            <w:r>
              <w:rPr>
                <w:rFonts w:ascii="Arial" w:cs="Arial" w:eastAsia="Arial" w:hAnsi="Arial"/>
                <w:sz w:val="15"/>
                <w:szCs w:val="15"/>
                <w:color w:val="auto"/>
              </w:rPr>
              <w:t>2024</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224"/>
              <w:spacing w:after="0" w:line="171" w:lineRule="exact"/>
              <w:rPr>
                <w:sz w:val="20"/>
                <w:szCs w:val="20"/>
                <w:color w:val="auto"/>
              </w:rPr>
            </w:pPr>
            <w:r>
              <w:rPr>
                <w:rFonts w:ascii="Arial" w:cs="Arial" w:eastAsia="Arial" w:hAnsi="Arial"/>
                <w:sz w:val="15"/>
                <w:szCs w:val="15"/>
                <w:color w:val="auto"/>
              </w:rPr>
              <w:t>2023</w:t>
            </w:r>
          </w:p>
        </w:tc>
        <w:tc>
          <w:tcPr>
            <w:tcW w:w="140" w:type="dxa"/>
            <w:vAlign w:val="bottom"/>
          </w:tcPr>
          <w:p>
            <w:pPr>
              <w:spacing w:after="0"/>
              <w:rPr>
                <w:sz w:val="14"/>
                <w:szCs w:val="14"/>
                <w:color w:val="auto"/>
              </w:rPr>
            </w:pPr>
          </w:p>
        </w:tc>
      </w:tr>
      <w:tr>
        <w:trPr>
          <w:trHeight w:val="170"/>
        </w:trPr>
        <w:tc>
          <w:tcPr>
            <w:tcW w:w="452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Discount rate</w:t>
            </w:r>
          </w:p>
        </w:tc>
        <w:tc>
          <w:tcPr>
            <w:tcW w:w="112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b w:val="1"/>
                <w:bCs w:val="1"/>
                <w:color w:val="auto"/>
              </w:rPr>
              <w:t>5.70%</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5.25%</w:t>
            </w:r>
          </w:p>
        </w:tc>
        <w:tc>
          <w:tcPr>
            <w:tcW w:w="112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5.50%</w:t>
            </w:r>
          </w:p>
        </w:tc>
        <w:tc>
          <w:tcPr>
            <w:tcW w:w="114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b w:val="1"/>
                <w:bCs w:val="1"/>
                <w:color w:val="auto"/>
              </w:rPr>
              <w:t>5.67%</w:t>
            </w:r>
          </w:p>
        </w:tc>
        <w:tc>
          <w:tcPr>
            <w:tcW w:w="112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5.14%</w:t>
            </w:r>
          </w:p>
        </w:tc>
        <w:tc>
          <w:tcPr>
            <w:tcW w:w="10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5.41%</w:t>
            </w:r>
          </w:p>
        </w:tc>
      </w:tr>
      <w:tr>
        <w:trPr>
          <w:trHeight w:val="178"/>
        </w:trPr>
        <w:tc>
          <w:tcPr>
            <w:tcW w:w="4520" w:type="dxa"/>
            <w:vAlign w:val="bottom"/>
          </w:tcPr>
          <w:p>
            <w:pPr>
              <w:spacing w:after="0"/>
              <w:rPr>
                <w:sz w:val="20"/>
                <w:szCs w:val="20"/>
                <w:color w:val="auto"/>
              </w:rPr>
            </w:pPr>
            <w:r>
              <w:rPr>
                <w:rFonts w:ascii="Arial" w:cs="Arial" w:eastAsia="Arial" w:hAnsi="Arial"/>
                <w:sz w:val="15"/>
                <w:szCs w:val="15"/>
                <w:color w:val="auto"/>
              </w:rPr>
              <w:t>Compensation increases</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4.00%</w:t>
            </w:r>
          </w:p>
        </w:tc>
        <w:tc>
          <w:tcPr>
            <w:tcW w:w="1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4.00%</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4.00%</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4.85%</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4.84%</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4.84%</w:t>
            </w:r>
          </w:p>
        </w:tc>
      </w:tr>
      <w:tr>
        <w:trPr>
          <w:trHeight w:val="178"/>
        </w:trPr>
        <w:tc>
          <w:tcPr>
            <w:tcW w:w="4520" w:type="dxa"/>
            <w:vAlign w:val="bottom"/>
            <w:shd w:val="clear" w:color="auto" w:fill="CFF0FC"/>
          </w:tcPr>
          <w:p>
            <w:pPr>
              <w:spacing w:after="0"/>
              <w:rPr>
                <w:sz w:val="20"/>
                <w:szCs w:val="20"/>
                <w:color w:val="auto"/>
              </w:rPr>
            </w:pPr>
            <w:r>
              <w:rPr>
                <w:rFonts w:ascii="Arial" w:cs="Arial" w:eastAsia="Arial" w:hAnsi="Arial"/>
                <w:sz w:val="15"/>
                <w:szCs w:val="15"/>
                <w:color w:val="auto"/>
              </w:rPr>
              <w:t>Return on plan assets</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6.30%</w:t>
            </w: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6.00%</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6.00%</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6.57%</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5.91%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6.00%</w:t>
            </w:r>
          </w:p>
        </w:tc>
      </w:tr>
      <w:tr>
        <w:trPr>
          <w:trHeight w:val="594"/>
        </w:trPr>
        <w:tc>
          <w:tcPr>
            <w:tcW w:w="452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5"/>
                <w:szCs w:val="15"/>
                <w:color w:val="auto"/>
              </w:rPr>
              <w:t>53</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06"/>
        </w:trPr>
        <w:tc>
          <w:tcPr>
            <w:tcW w:w="4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3" w:name="page54"/>
    <w:bookmarkEnd w:id="53"/>
    <w:p>
      <w:pPr>
        <w:spacing w:after="0"/>
        <w:rPr>
          <w:sz w:val="20"/>
          <w:szCs w:val="20"/>
          <w:color w:val="auto"/>
        </w:rPr>
      </w:pPr>
      <w:r>
        <w:rPr>
          <w:rFonts w:ascii="Arial" w:cs="Arial" w:eastAsia="Arial" w:hAnsi="Arial"/>
          <w:sz w:val="15"/>
          <w:szCs w:val="15"/>
          <w:color w:val="auto"/>
        </w:rPr>
        <w:t>Net pension cost (credit) included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39"/>
        </w:trPr>
        <w:tc>
          <w:tcPr>
            <w:tcW w:w="3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5"/>
                <w:szCs w:val="15"/>
                <w:color w:val="auto"/>
              </w:rPr>
              <w:t>US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International</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4"/>
              <w:spacing w:after="0" w:line="171" w:lineRule="exact"/>
              <w:rPr>
                <w:sz w:val="20"/>
                <w:szCs w:val="20"/>
                <w:color w:val="auto"/>
              </w:rPr>
            </w:pPr>
            <w:r>
              <w:rPr>
                <w:rFonts w:ascii="Arial" w:cs="Arial" w:eastAsia="Arial" w:hAnsi="Arial"/>
                <w:sz w:val="15"/>
                <w:szCs w:val="15"/>
                <w:b w:val="1"/>
                <w:bCs w:val="1"/>
                <w:color w:val="auto"/>
              </w:rPr>
              <w:t>2025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4"/>
              <w:spacing w:after="0" w:line="171" w:lineRule="exact"/>
              <w:rPr>
                <w:sz w:val="20"/>
                <w:szCs w:val="20"/>
                <w:color w:val="auto"/>
              </w:rPr>
            </w:pPr>
            <w:r>
              <w:rPr>
                <w:rFonts w:ascii="Arial" w:cs="Arial" w:eastAsia="Arial" w:hAnsi="Arial"/>
                <w:sz w:val="15"/>
                <w:szCs w:val="15"/>
                <w:color w:val="auto"/>
              </w:rPr>
              <w:t>2024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4"/>
              <w:spacing w:after="0" w:line="171" w:lineRule="exact"/>
              <w:rPr>
                <w:sz w:val="20"/>
                <w:szCs w:val="20"/>
                <w:color w:val="auto"/>
              </w:rPr>
            </w:pPr>
            <w:r>
              <w:rPr>
                <w:rFonts w:ascii="Arial" w:cs="Arial" w:eastAsia="Arial" w:hAnsi="Arial"/>
                <w:sz w:val="15"/>
                <w:szCs w:val="15"/>
                <w:color w:val="auto"/>
              </w:rPr>
              <w:t>2023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4"/>
              <w:spacing w:after="0" w:line="171" w:lineRule="exact"/>
              <w:rPr>
                <w:sz w:val="20"/>
                <w:szCs w:val="20"/>
                <w:color w:val="auto"/>
              </w:rPr>
            </w:pPr>
            <w:r>
              <w:rPr>
                <w:rFonts w:ascii="Arial" w:cs="Arial" w:eastAsia="Arial" w:hAnsi="Arial"/>
                <w:sz w:val="15"/>
                <w:szCs w:val="15"/>
                <w:b w:val="1"/>
                <w:bCs w:val="1"/>
                <w:color w:val="auto"/>
              </w:rPr>
              <w:t>2025</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5"/>
              <w:spacing w:after="0" w:line="171" w:lineRule="exact"/>
              <w:rPr>
                <w:sz w:val="20"/>
                <w:szCs w:val="20"/>
                <w:color w:val="auto"/>
              </w:rPr>
            </w:pPr>
            <w:r>
              <w:rPr>
                <w:rFonts w:ascii="Arial" w:cs="Arial" w:eastAsia="Arial" w:hAnsi="Arial"/>
                <w:sz w:val="15"/>
                <w:szCs w:val="15"/>
                <w:color w:val="auto"/>
              </w:rPr>
              <w:t>2024</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4"/>
              <w:spacing w:after="0" w:line="171" w:lineRule="exact"/>
              <w:rPr>
                <w:sz w:val="20"/>
                <w:szCs w:val="20"/>
                <w:color w:val="auto"/>
              </w:rPr>
            </w:pPr>
            <w:r>
              <w:rPr>
                <w:rFonts w:ascii="Arial" w:cs="Arial" w:eastAsia="Arial" w:hAnsi="Arial"/>
                <w:sz w:val="15"/>
                <w:szCs w:val="15"/>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Service cost</w:t>
            </w:r>
          </w:p>
        </w:tc>
        <w:tc>
          <w:tcPr>
            <w:tcW w:w="1420" w:type="dxa"/>
            <w:vAlign w:val="bottom"/>
            <w:gridSpan w:val="2"/>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20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FF0FC"/>
          </w:tcPr>
          <w:p>
            <w:pPr>
              <w:jc w:val="right"/>
              <w:ind w:right="220"/>
              <w:spacing w:after="0" w:line="171" w:lineRule="exact"/>
              <w:rPr>
                <w:sz w:val="20"/>
                <w:szCs w:val="20"/>
                <w:color w:val="auto"/>
              </w:rPr>
            </w:pPr>
            <w:r>
              <w:rPr>
                <w:rFonts w:ascii="Arial" w:cs="Arial" w:eastAsia="Arial" w:hAnsi="Arial"/>
                <w:sz w:val="15"/>
                <w:szCs w:val="15"/>
                <w:color w:val="auto"/>
              </w:rPr>
              <w:t>23</w:t>
            </w:r>
          </w:p>
        </w:tc>
        <w:tc>
          <w:tcPr>
            <w:tcW w:w="20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23</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46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56</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8"/>
        </w:trPr>
        <w:tc>
          <w:tcPr>
            <w:tcW w:w="3340" w:type="dxa"/>
            <w:vAlign w:val="bottom"/>
          </w:tcPr>
          <w:p>
            <w:pPr>
              <w:spacing w:after="0"/>
              <w:rPr>
                <w:sz w:val="20"/>
                <w:szCs w:val="20"/>
                <w:color w:val="auto"/>
              </w:rPr>
            </w:pPr>
            <w:r>
              <w:rPr>
                <w:rFonts w:ascii="Arial" w:cs="Arial" w:eastAsia="Arial" w:hAnsi="Arial"/>
                <w:sz w:val="15"/>
                <w:szCs w:val="15"/>
                <w:color w:val="auto"/>
              </w:rPr>
              <w:t>Interest cost</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173</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437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407</w:t>
            </w:r>
          </w:p>
        </w:tc>
        <w:tc>
          <w:tcPr>
            <w:tcW w:w="0" w:type="dxa"/>
            <w:vAlign w:val="bottom"/>
          </w:tcPr>
          <w:p>
            <w:pPr>
              <w:spacing w:after="0"/>
              <w:rPr>
                <w:sz w:val="1"/>
                <w:szCs w:val="1"/>
                <w:color w:val="auto"/>
              </w:rPr>
            </w:pPr>
          </w:p>
        </w:tc>
      </w:tr>
      <w:tr>
        <w:trPr>
          <w:trHeight w:val="178"/>
        </w:trPr>
        <w:tc>
          <w:tcPr>
            <w:tcW w:w="3340" w:type="dxa"/>
            <w:vAlign w:val="bottom"/>
            <w:shd w:val="clear" w:color="auto" w:fill="CFF0FC"/>
          </w:tcPr>
          <w:p>
            <w:pPr>
              <w:spacing w:after="0"/>
              <w:rPr>
                <w:sz w:val="20"/>
                <w:szCs w:val="20"/>
                <w:color w:val="auto"/>
              </w:rPr>
            </w:pPr>
            <w:r>
              <w:rPr>
                <w:rFonts w:ascii="Arial" w:cs="Arial" w:eastAsia="Arial" w:hAnsi="Arial"/>
                <w:sz w:val="15"/>
                <w:szCs w:val="15"/>
                <w:color w:val="auto"/>
              </w:rPr>
              <w:t>Expected return on plan assets</w:t>
            </w: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b w:val="1"/>
                <w:bCs w:val="1"/>
                <w:color w:val="auto"/>
              </w:rPr>
              <w:t>(193)</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(200)</w:t>
            </w: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(198)</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b w:val="1"/>
                <w:bCs w:val="1"/>
                <w:color w:val="auto"/>
              </w:rPr>
              <w:t>(538)</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(553)</w:t>
            </w:r>
          </w:p>
        </w:tc>
        <w:tc>
          <w:tcPr>
            <w:tcW w:w="1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(607)</w:t>
            </w:r>
          </w:p>
        </w:tc>
        <w:tc>
          <w:tcPr>
            <w:tcW w:w="0" w:type="dxa"/>
            <w:vAlign w:val="bottom"/>
          </w:tcPr>
          <w:p>
            <w:pPr>
              <w:spacing w:after="0"/>
              <w:rPr>
                <w:sz w:val="1"/>
                <w:szCs w:val="1"/>
                <w:color w:val="auto"/>
              </w:rPr>
            </w:pPr>
          </w:p>
        </w:tc>
      </w:tr>
      <w:tr>
        <w:trPr>
          <w:trHeight w:val="178"/>
        </w:trPr>
        <w:tc>
          <w:tcPr>
            <w:tcW w:w="3340" w:type="dxa"/>
            <w:vAlign w:val="bottom"/>
          </w:tcPr>
          <w:p>
            <w:pPr>
              <w:spacing w:after="0"/>
              <w:rPr>
                <w:sz w:val="20"/>
                <w:szCs w:val="20"/>
                <w:color w:val="auto"/>
              </w:rPr>
            </w:pPr>
            <w:r>
              <w:rPr>
                <w:rFonts w:ascii="Arial" w:cs="Arial" w:eastAsia="Arial" w:hAnsi="Arial"/>
                <w:sz w:val="15"/>
                <w:szCs w:val="15"/>
                <w:color w:val="auto"/>
              </w:rPr>
              <w:t>Amortization of net loss</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12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4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9</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FF0FC"/>
          </w:tcPr>
          <w:p>
            <w:pPr>
              <w:jc w:val="right"/>
              <w:ind w:right="160"/>
              <w:spacing w:after="0" w:line="171" w:lineRule="exact"/>
              <w:rPr>
                <w:sz w:val="20"/>
                <w:szCs w:val="20"/>
                <w:color w:val="auto"/>
              </w:rPr>
            </w:pPr>
            <w:r>
              <w:rPr>
                <w:rFonts w:ascii="Arial" w:cs="Arial" w:eastAsia="Arial" w:hAnsi="Arial"/>
                <w:sz w:val="15"/>
                <w:szCs w:val="15"/>
                <w:color w:val="auto"/>
              </w:rPr>
              <w:t>(4)</w:t>
            </w:r>
          </w:p>
        </w:tc>
        <w:tc>
          <w:tcPr>
            <w:tcW w:w="20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w:t>
            </w:r>
          </w:p>
        </w:tc>
        <w:tc>
          <w:tcPr>
            <w:tcW w:w="14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(12)</w:t>
            </w:r>
          </w:p>
        </w:tc>
        <w:tc>
          <w:tcPr>
            <w:tcW w:w="2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(74)</w:t>
            </w:r>
          </w:p>
        </w:tc>
        <w:tc>
          <w:tcPr>
            <w:tcW w:w="20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(146)</w:t>
            </w:r>
          </w:p>
        </w:tc>
        <w:tc>
          <w:tcPr>
            <w:tcW w:w="1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-23495</wp:posOffset>
            </wp:positionV>
            <wp:extent cx="723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-7620</wp:posOffset>
            </wp:positionV>
            <wp:extent cx="723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-144145</wp:posOffset>
            </wp:positionV>
            <wp:extent cx="723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-23495</wp:posOffset>
            </wp:positionV>
            <wp:extent cx="723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-7620</wp:posOffset>
            </wp:positionV>
            <wp:extent cx="723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-144145</wp:posOffset>
            </wp:positionV>
            <wp:extent cx="723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-23495</wp:posOffset>
            </wp:positionV>
            <wp:extent cx="723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-7620</wp:posOffset>
            </wp:positionV>
            <wp:extent cx="723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-144145</wp:posOffset>
            </wp:positionV>
            <wp:extent cx="723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-23495</wp:posOffset>
            </wp:positionV>
            <wp:extent cx="723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-7620</wp:posOffset>
            </wp:positionV>
            <wp:extent cx="723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-144145</wp:posOffset>
            </wp:positionV>
            <wp:extent cx="723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-23495</wp:posOffset>
            </wp:positionV>
            <wp:extent cx="647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-7620</wp:posOffset>
            </wp:positionV>
            <wp:extent cx="647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-144145</wp:posOffset>
            </wp:positionV>
            <wp:extent cx="647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71" w:lineRule="exact"/>
        <w:rPr>
          <w:sz w:val="20"/>
          <w:szCs w:val="20"/>
          <w:color w:val="auto"/>
        </w:rPr>
      </w:pPr>
    </w:p>
    <w:p>
      <w:pPr>
        <w:jc w:val="both"/>
        <w:ind w:right="40"/>
        <w:spacing w:after="0" w:line="285" w:lineRule="auto"/>
        <w:rPr>
          <w:sz w:val="20"/>
          <w:szCs w:val="20"/>
          <w:color w:val="auto"/>
        </w:rPr>
      </w:pPr>
      <w:r>
        <w:rPr>
          <w:rFonts w:ascii="Arial" w:cs="Arial" w:eastAsia="Arial" w:hAnsi="Arial"/>
          <w:sz w:val="15"/>
          <w:szCs w:val="15"/>
          <w:color w:val="auto"/>
        </w:rPr>
        <w:t>The weighted-average assumed discount rate and compensation increases used to determine the projected benefit obligations for the US and International plans were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US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5"/>
                <w:szCs w:val="15"/>
                <w:color w:val="auto"/>
              </w:rPr>
              <w:t>International</w:t>
            </w: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5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4"/>
              <w:spacing w:after="0" w:line="171"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4"/>
              <w:spacing w:after="0" w:line="171" w:lineRule="exact"/>
              <w:rPr>
                <w:sz w:val="20"/>
                <w:szCs w:val="20"/>
                <w:color w:val="auto"/>
              </w:rPr>
            </w:pPr>
            <w:r>
              <w:rPr>
                <w:rFonts w:ascii="Arial" w:cs="Arial" w:eastAsia="Arial" w:hAnsi="Arial"/>
                <w:sz w:val="15"/>
                <w:szCs w:val="15"/>
                <w:color w:val="auto"/>
              </w:rPr>
              <w:t>2024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4"/>
              <w:spacing w:after="0" w:line="171" w:lineRule="exact"/>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4"/>
              <w:spacing w:after="0" w:line="171" w:lineRule="exact"/>
              <w:rPr>
                <w:sz w:val="20"/>
                <w:szCs w:val="20"/>
                <w:color w:val="auto"/>
              </w:rPr>
            </w:pPr>
            <w:r>
              <w:rPr>
                <w:rFonts w:ascii="Arial" w:cs="Arial" w:eastAsia="Arial" w:hAnsi="Arial"/>
                <w:sz w:val="15"/>
                <w:szCs w:val="15"/>
                <w:color w:val="auto"/>
              </w:rPr>
              <w:t>2024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68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Discount rate</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rPr>
              <w:t>5.55%</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5.70%</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120"/>
              <w:spacing w:after="0" w:line="171" w:lineRule="exact"/>
              <w:rPr>
                <w:sz w:val="20"/>
                <w:szCs w:val="20"/>
                <w:color w:val="auto"/>
              </w:rPr>
            </w:pPr>
            <w:r>
              <w:rPr>
                <w:rFonts w:ascii="Arial" w:cs="Arial" w:eastAsia="Arial" w:hAnsi="Arial"/>
                <w:sz w:val="15"/>
                <w:szCs w:val="15"/>
                <w:b w:val="1"/>
                <w:bCs w:val="1"/>
                <w:color w:val="auto"/>
              </w:rPr>
              <w:t>5.56%</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spacing w:after="0" w:line="171" w:lineRule="exact"/>
              <w:rPr>
                <w:sz w:val="20"/>
                <w:szCs w:val="20"/>
                <w:color w:val="auto"/>
              </w:rPr>
            </w:pPr>
            <w:r>
              <w:rPr>
                <w:rFonts w:ascii="Arial" w:cs="Arial" w:eastAsia="Arial" w:hAnsi="Arial"/>
                <w:sz w:val="15"/>
                <w:szCs w:val="15"/>
                <w:color w:val="auto"/>
              </w:rPr>
              <w:t>5.67%</w:t>
            </w:r>
          </w:p>
        </w:tc>
      </w:tr>
      <w:tr>
        <w:trPr>
          <w:trHeight w:val="208"/>
        </w:trPr>
        <w:tc>
          <w:tcPr>
            <w:tcW w:w="5680" w:type="dxa"/>
            <w:vAlign w:val="bottom"/>
          </w:tcPr>
          <w:p>
            <w:pPr>
              <w:spacing w:after="0"/>
              <w:rPr>
                <w:sz w:val="20"/>
                <w:szCs w:val="20"/>
                <w:color w:val="auto"/>
              </w:rPr>
            </w:pPr>
            <w:r>
              <w:rPr>
                <w:rFonts w:ascii="Arial" w:cs="Arial" w:eastAsia="Arial" w:hAnsi="Arial"/>
                <w:sz w:val="15"/>
                <w:szCs w:val="15"/>
                <w:color w:val="auto"/>
              </w:rPr>
              <w:t>Compensation increases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4"/>
              <w:spacing w:after="0"/>
              <w:rPr>
                <w:sz w:val="20"/>
                <w:szCs w:val="20"/>
                <w:color w:val="auto"/>
              </w:rPr>
            </w:pPr>
            <w:r>
              <w:rPr>
                <w:rFonts w:ascii="Arial" w:cs="Arial" w:eastAsia="Arial" w:hAnsi="Arial"/>
                <w:sz w:val="15"/>
                <w:szCs w:val="15"/>
                <w:b w:val="1"/>
                <w:bCs w:val="1"/>
                <w:color w:val="auto"/>
              </w:rPr>
              <w:t>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4.00%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4.85%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4.85%</w:t>
            </w:r>
          </w:p>
        </w:tc>
      </w:tr>
      <w:tr>
        <w:trPr>
          <w:trHeight w:val="373"/>
        </w:trPr>
        <w:tc>
          <w:tcPr>
            <w:tcW w:w="7400" w:type="dxa"/>
            <w:vAlign w:val="bottom"/>
            <w:gridSpan w:val="9"/>
          </w:tcPr>
          <w:p>
            <w:pPr>
              <w:spacing w:after="0"/>
              <w:rPr>
                <w:sz w:val="20"/>
                <w:szCs w:val="20"/>
                <w:color w:val="auto"/>
              </w:rPr>
            </w:pPr>
            <w:r>
              <w:rPr>
                <w:rFonts w:ascii="Arial" w:cs="Arial" w:eastAsia="Arial" w:hAnsi="Arial"/>
                <w:sz w:val="15"/>
                <w:szCs w:val="15"/>
                <w:color w:val="auto"/>
              </w:rPr>
              <w:t>The changes in the projected benefit obligation, plan assets and funded status of the plans were as follows: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339"/>
        </w:trPr>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5"/>
              </w:rPr>
              <w:t>US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color w:val="auto"/>
              </w:rPr>
              <w:t>International</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4"/>
              <w:spacing w:after="0" w:line="171" w:lineRule="exact"/>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4"/>
              <w:spacing w:after="0" w:line="171" w:lineRule="exact"/>
              <w:rPr>
                <w:sz w:val="20"/>
                <w:szCs w:val="20"/>
                <w:color w:val="auto"/>
              </w:rPr>
            </w:pPr>
            <w:r>
              <w:rPr>
                <w:rFonts w:ascii="Arial" w:cs="Arial" w:eastAsia="Arial" w:hAnsi="Arial"/>
                <w:sz w:val="15"/>
                <w:szCs w:val="15"/>
                <w:color w:val="auto"/>
              </w:rPr>
              <w:t>2024</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4"/>
              <w:spacing w:after="0" w:line="171" w:lineRule="exact"/>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4"/>
              <w:spacing w:after="0" w:line="171" w:lineRule="exact"/>
              <w:rPr>
                <w:sz w:val="20"/>
                <w:szCs w:val="20"/>
                <w:color w:val="auto"/>
              </w:rPr>
            </w:pPr>
            <w:r>
              <w:rPr>
                <w:rFonts w:ascii="Arial" w:cs="Arial" w:eastAsia="Arial" w:hAnsi="Arial"/>
                <w:sz w:val="15"/>
                <w:szCs w:val="15"/>
                <w:color w:val="auto"/>
              </w:rPr>
              <w:t>2024</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680" w:type="dxa"/>
            <w:vAlign w:val="bottom"/>
            <w:shd w:val="clear" w:color="auto" w:fill="CFF0FC"/>
          </w:tcPr>
          <w:p>
            <w:pPr>
              <w:spacing w:after="0" w:line="171" w:lineRule="exact"/>
              <w:rPr>
                <w:sz w:val="20"/>
                <w:szCs w:val="20"/>
                <w:color w:val="auto"/>
              </w:rPr>
            </w:pPr>
            <w:r>
              <w:rPr>
                <w:rFonts w:ascii="Arial" w:cs="Arial" w:eastAsia="Arial" w:hAnsi="Arial"/>
                <w:sz w:val="15"/>
                <w:szCs w:val="15"/>
                <w:b w:val="1"/>
                <w:bCs w:val="1"/>
                <w:i w:val="1"/>
                <w:iCs w:val="1"/>
                <w:color w:val="auto"/>
              </w:rPr>
              <w:t>Change in Projected Benefit Obligations:</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5680" w:type="dxa"/>
            <w:vAlign w:val="bottom"/>
          </w:tcPr>
          <w:p>
            <w:pPr>
              <w:spacing w:after="0"/>
              <w:rPr>
                <w:sz w:val="20"/>
                <w:szCs w:val="20"/>
                <w:color w:val="auto"/>
              </w:rPr>
            </w:pPr>
            <w:r>
              <w:rPr>
                <w:rFonts w:ascii="Arial" w:cs="Arial" w:eastAsia="Arial" w:hAnsi="Arial"/>
                <w:sz w:val="15"/>
                <w:szCs w:val="15"/>
                <w:color w:val="auto"/>
              </w:rPr>
              <w:t>Projected benefit obligation at beginning of year</w:t>
            </w:r>
          </w:p>
        </w:tc>
        <w:tc>
          <w:tcPr>
            <w:tcW w:w="320" w:type="dxa"/>
            <w:vAlign w:val="bottom"/>
            <w:gridSpan w:val="3"/>
          </w:tcPr>
          <w:p>
            <w:pPr>
              <w:jc w:val="right"/>
              <w:ind w:right="71"/>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3,225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3,413</w:t>
            </w:r>
          </w:p>
        </w:tc>
        <w:tc>
          <w:tcPr>
            <w:tcW w:w="160" w:type="dxa"/>
            <w:vAlign w:val="bottom"/>
          </w:tcPr>
          <w:p>
            <w:pPr>
              <w:spacing w:after="0"/>
              <w:rPr>
                <w:sz w:val="15"/>
                <w:szCs w:val="15"/>
                <w:color w:val="auto"/>
              </w:rPr>
            </w:pPr>
          </w:p>
        </w:tc>
        <w:tc>
          <w:tcPr>
            <w:tcW w:w="28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7,796</w:t>
            </w:r>
          </w:p>
        </w:tc>
        <w:tc>
          <w:tcPr>
            <w:tcW w:w="180" w:type="dxa"/>
            <w:vAlign w:val="bottom"/>
          </w:tcPr>
          <w:p>
            <w:pPr>
              <w:spacing w:after="0"/>
              <w:rPr>
                <w:sz w:val="15"/>
                <w:szCs w:val="15"/>
                <w:color w:val="auto"/>
              </w:rPr>
            </w:pPr>
          </w:p>
        </w:tc>
        <w:tc>
          <w:tcPr>
            <w:tcW w:w="38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8,109</w:t>
            </w:r>
          </w:p>
        </w:tc>
        <w:tc>
          <w:tcPr>
            <w:tcW w:w="100" w:type="dxa"/>
            <w:vAlign w:val="bottom"/>
          </w:tcPr>
          <w:p>
            <w:pPr>
              <w:spacing w:after="0"/>
              <w:rPr>
                <w:sz w:val="15"/>
                <w:szCs w:val="15"/>
                <w:color w:val="auto"/>
              </w:rPr>
            </w:pPr>
          </w:p>
        </w:tc>
      </w:tr>
      <w:tr>
        <w:trPr>
          <w:trHeight w:val="178"/>
        </w:trPr>
        <w:tc>
          <w:tcPr>
            <w:tcW w:w="5680" w:type="dxa"/>
            <w:vAlign w:val="bottom"/>
            <w:shd w:val="clear" w:color="auto" w:fill="CFF0FC"/>
          </w:tcPr>
          <w:p>
            <w:pPr>
              <w:spacing w:after="0"/>
              <w:rPr>
                <w:sz w:val="20"/>
                <w:szCs w:val="20"/>
                <w:color w:val="auto"/>
              </w:rPr>
            </w:pPr>
            <w:r>
              <w:rPr>
                <w:rFonts w:ascii="Arial" w:cs="Arial" w:eastAsia="Arial" w:hAnsi="Arial"/>
                <w:sz w:val="15"/>
                <w:szCs w:val="15"/>
                <w:color w:val="auto"/>
              </w:rPr>
              <w:t>Service cost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20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23</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46</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FF0FC"/>
          </w:tcPr>
          <w:p>
            <w:pPr>
              <w:spacing w:after="0"/>
              <w:rPr>
                <w:sz w:val="15"/>
                <w:szCs w:val="15"/>
                <w:color w:val="auto"/>
              </w:rPr>
            </w:pPr>
          </w:p>
        </w:tc>
      </w:tr>
      <w:tr>
        <w:trPr>
          <w:trHeight w:val="178"/>
        </w:trPr>
        <w:tc>
          <w:tcPr>
            <w:tcW w:w="5680" w:type="dxa"/>
            <w:vAlign w:val="bottom"/>
          </w:tcPr>
          <w:p>
            <w:pPr>
              <w:spacing w:after="0"/>
              <w:rPr>
                <w:sz w:val="20"/>
                <w:szCs w:val="20"/>
                <w:color w:val="auto"/>
              </w:rPr>
            </w:pPr>
            <w:r>
              <w:rPr>
                <w:rFonts w:ascii="Arial" w:cs="Arial" w:eastAsia="Arial" w:hAnsi="Arial"/>
                <w:sz w:val="15"/>
                <w:szCs w:val="15"/>
                <w:color w:val="auto"/>
              </w:rPr>
              <w:t>Interest cost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178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173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437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413</w:t>
            </w:r>
          </w:p>
        </w:tc>
        <w:tc>
          <w:tcPr>
            <w:tcW w:w="100" w:type="dxa"/>
            <w:vAlign w:val="bottom"/>
          </w:tcPr>
          <w:p>
            <w:pPr>
              <w:spacing w:after="0"/>
              <w:rPr>
                <w:sz w:val="15"/>
                <w:szCs w:val="15"/>
                <w:color w:val="auto"/>
              </w:rPr>
            </w:pPr>
          </w:p>
        </w:tc>
      </w:tr>
      <w:tr>
        <w:trPr>
          <w:trHeight w:val="178"/>
        </w:trPr>
        <w:tc>
          <w:tcPr>
            <w:tcW w:w="5680" w:type="dxa"/>
            <w:vAlign w:val="bottom"/>
            <w:shd w:val="clear" w:color="auto" w:fill="CFF0FC"/>
          </w:tcPr>
          <w:p>
            <w:pPr>
              <w:spacing w:after="0"/>
              <w:rPr>
                <w:sz w:val="20"/>
                <w:szCs w:val="20"/>
                <w:color w:val="auto"/>
              </w:rPr>
            </w:pPr>
            <w:r>
              <w:rPr>
                <w:rFonts w:ascii="Arial" w:cs="Arial" w:eastAsia="Arial" w:hAnsi="Arial"/>
                <w:sz w:val="15"/>
                <w:szCs w:val="15"/>
                <w:color w:val="auto"/>
              </w:rPr>
              <w:t>Contribution by plan participants</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71</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FF0FC"/>
          </w:tcPr>
          <w:p>
            <w:pPr>
              <w:spacing w:after="0"/>
              <w:rPr>
                <w:sz w:val="15"/>
                <w:szCs w:val="15"/>
                <w:color w:val="auto"/>
              </w:rPr>
            </w:pPr>
          </w:p>
        </w:tc>
      </w:tr>
      <w:tr>
        <w:trPr>
          <w:trHeight w:val="178"/>
        </w:trPr>
        <w:tc>
          <w:tcPr>
            <w:tcW w:w="5680" w:type="dxa"/>
            <w:vAlign w:val="bottom"/>
          </w:tcPr>
          <w:p>
            <w:pPr>
              <w:spacing w:after="0"/>
              <w:rPr>
                <w:sz w:val="20"/>
                <w:szCs w:val="20"/>
                <w:color w:val="auto"/>
              </w:rPr>
            </w:pPr>
            <w:r>
              <w:rPr>
                <w:rFonts w:ascii="Arial" w:cs="Arial" w:eastAsia="Arial" w:hAnsi="Arial"/>
                <w:sz w:val="15"/>
                <w:szCs w:val="15"/>
                <w:color w:val="auto"/>
              </w:rPr>
              <w:t>Actuarial losses (gains)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(160)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122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5"/>
                <w:szCs w:val="15"/>
                <w:color w:val="auto"/>
              </w:rPr>
              <w:t>(457)</w:t>
            </w:r>
          </w:p>
        </w:tc>
      </w:tr>
      <w:tr>
        <w:trPr>
          <w:trHeight w:val="178"/>
        </w:trPr>
        <w:tc>
          <w:tcPr>
            <w:tcW w:w="5680" w:type="dxa"/>
            <w:vAlign w:val="bottom"/>
            <w:shd w:val="clear" w:color="auto" w:fill="CFF0FC"/>
          </w:tcPr>
          <w:p>
            <w:pPr>
              <w:spacing w:after="0"/>
              <w:rPr>
                <w:sz w:val="20"/>
                <w:szCs w:val="20"/>
                <w:color w:val="auto"/>
              </w:rPr>
            </w:pPr>
            <w:r>
              <w:rPr>
                <w:rFonts w:ascii="Arial" w:cs="Arial" w:eastAsia="Arial" w:hAnsi="Arial"/>
                <w:sz w:val="15"/>
                <w:szCs w:val="15"/>
                <w:color w:val="auto"/>
              </w:rPr>
              <w:t>Currency effect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83</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r>
      <w:tr>
        <w:trPr>
          <w:trHeight w:val="178"/>
        </w:trPr>
        <w:tc>
          <w:tcPr>
            <w:tcW w:w="5680" w:type="dxa"/>
            <w:vAlign w:val="bottom"/>
          </w:tcPr>
          <w:p>
            <w:pPr>
              <w:spacing w:after="0"/>
              <w:rPr>
                <w:sz w:val="20"/>
                <w:szCs w:val="20"/>
                <w:color w:val="auto"/>
              </w:rPr>
            </w:pPr>
            <w:r>
              <w:rPr>
                <w:rFonts w:ascii="Arial" w:cs="Arial" w:eastAsia="Arial" w:hAnsi="Arial"/>
                <w:sz w:val="15"/>
                <w:szCs w:val="15"/>
                <w:color w:val="auto"/>
              </w:rPr>
              <w:t>Benefits paid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24"/>
              <w:spacing w:after="0"/>
              <w:rPr>
                <w:sz w:val="20"/>
                <w:szCs w:val="20"/>
                <w:color w:val="auto"/>
              </w:rPr>
            </w:pPr>
            <w:r>
              <w:rPr>
                <w:rFonts w:ascii="Arial" w:cs="Arial" w:eastAsia="Arial" w:hAnsi="Arial"/>
                <w:sz w:val="15"/>
                <w:szCs w:val="15"/>
                <w:b w:val="1"/>
                <w:bCs w:val="1"/>
                <w:color w:val="auto"/>
              </w:rPr>
              <w:t>(229)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(224)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(399)</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5"/>
                <w:szCs w:val="15"/>
                <w:color w:val="auto"/>
              </w:rPr>
              <w:t>(384)</w:t>
            </w:r>
          </w:p>
        </w:tc>
      </w:tr>
      <w:tr>
        <w:trPr>
          <w:trHeight w:val="170"/>
        </w:trPr>
        <w:tc>
          <w:tcPr>
            <w:tcW w:w="5680" w:type="dxa"/>
            <w:vAlign w:val="bottom"/>
            <w:tcBorders>
              <w:top w:val="single" w:sz="8" w:color="CFF0FC"/>
              <w:bottom w:val="single" w:sz="8" w:color="CFF0FC"/>
            </w:tcBorders>
            <w:shd w:val="clear" w:color="auto" w:fill="CFF0FC"/>
          </w:tcPr>
          <w:p>
            <w:pPr>
              <w:spacing w:after="0" w:line="171" w:lineRule="exact"/>
              <w:rPr>
                <w:sz w:val="20"/>
                <w:szCs w:val="20"/>
                <w:color w:val="auto"/>
              </w:rPr>
            </w:pPr>
            <w:r>
              <w:rPr>
                <w:rFonts w:ascii="Arial" w:cs="Arial" w:eastAsia="Arial" w:hAnsi="Arial"/>
                <w:sz w:val="15"/>
                <w:szCs w:val="15"/>
                <w:color w:val="auto"/>
              </w:rPr>
              <w:t>Projected benefit obligation at end of year</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3,253</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64"/>
              <w:spacing w:after="0" w:line="171"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3,225</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44"/>
              <w:spacing w:after="0" w:line="171"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b w:val="1"/>
                <w:bCs w:val="1"/>
                <w:color w:val="auto"/>
              </w:rPr>
              <w:t>8,156</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jc w:val="right"/>
              <w:ind w:right="187"/>
              <w:spacing w:after="0" w:line="171"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7,796</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70"/>
        </w:trPr>
        <w:tc>
          <w:tcPr>
            <w:tcW w:w="5680" w:type="dxa"/>
            <w:vAlign w:val="bottom"/>
          </w:tcPr>
          <w:p>
            <w:pPr>
              <w:spacing w:after="0" w:line="171" w:lineRule="exact"/>
              <w:rPr>
                <w:sz w:val="20"/>
                <w:szCs w:val="20"/>
                <w:color w:val="auto"/>
              </w:rPr>
            </w:pPr>
            <w:r>
              <w:rPr>
                <w:rFonts w:ascii="Arial" w:cs="Arial" w:eastAsia="Arial" w:hAnsi="Arial"/>
                <w:sz w:val="15"/>
                <w:szCs w:val="15"/>
                <w:b w:val="1"/>
                <w:bCs w:val="1"/>
                <w:i w:val="1"/>
                <w:iCs w:val="1"/>
                <w:color w:val="auto"/>
              </w:rPr>
              <w:t>Change in Plan Assets: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5680" w:type="dxa"/>
            <w:vAlign w:val="bottom"/>
            <w:shd w:val="clear" w:color="auto" w:fill="CFF0FC"/>
          </w:tcPr>
          <w:p>
            <w:pPr>
              <w:spacing w:after="0"/>
              <w:rPr>
                <w:sz w:val="20"/>
                <w:szCs w:val="20"/>
                <w:color w:val="auto"/>
              </w:rPr>
            </w:pPr>
            <w:r>
              <w:rPr>
                <w:rFonts w:ascii="Arial" w:cs="Arial" w:eastAsia="Arial" w:hAnsi="Arial"/>
                <w:sz w:val="15"/>
                <w:szCs w:val="15"/>
                <w:color w:val="auto"/>
              </w:rPr>
              <w:t>Plan assets at fair value at beginning of year</w:t>
            </w:r>
          </w:p>
        </w:tc>
        <w:tc>
          <w:tcPr>
            <w:tcW w:w="320" w:type="dxa"/>
            <w:vAlign w:val="bottom"/>
            <w:gridSpan w:val="3"/>
            <w:shd w:val="clear" w:color="auto" w:fill="CFF0FC"/>
          </w:tcPr>
          <w:p>
            <w:pPr>
              <w:jc w:val="right"/>
              <w:ind w:right="71"/>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3,175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3,427</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7,674</w:t>
            </w:r>
          </w:p>
        </w:tc>
        <w:tc>
          <w:tcPr>
            <w:tcW w:w="1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87"/>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8,390</w:t>
            </w:r>
          </w:p>
        </w:tc>
        <w:tc>
          <w:tcPr>
            <w:tcW w:w="100" w:type="dxa"/>
            <w:vAlign w:val="bottom"/>
            <w:shd w:val="clear" w:color="auto" w:fill="CFF0FC"/>
          </w:tcPr>
          <w:p>
            <w:pPr>
              <w:spacing w:after="0"/>
              <w:rPr>
                <w:sz w:val="15"/>
                <w:szCs w:val="15"/>
                <w:color w:val="auto"/>
              </w:rPr>
            </w:pPr>
          </w:p>
        </w:tc>
      </w:tr>
      <w:tr>
        <w:trPr>
          <w:trHeight w:val="178"/>
        </w:trPr>
        <w:tc>
          <w:tcPr>
            <w:tcW w:w="5680" w:type="dxa"/>
            <w:vAlign w:val="bottom"/>
          </w:tcPr>
          <w:p>
            <w:pPr>
              <w:spacing w:after="0"/>
              <w:rPr>
                <w:sz w:val="20"/>
                <w:szCs w:val="20"/>
                <w:color w:val="auto"/>
              </w:rPr>
            </w:pPr>
            <w:r>
              <w:rPr>
                <w:rFonts w:ascii="Arial" w:cs="Arial" w:eastAsia="Arial" w:hAnsi="Arial"/>
                <w:sz w:val="15"/>
                <w:szCs w:val="15"/>
                <w:color w:val="auto"/>
              </w:rPr>
              <w:t>Actual return on plan assets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273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(38)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656</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5"/>
                <w:szCs w:val="15"/>
                <w:color w:val="auto"/>
              </w:rPr>
              <w:t>(408)</w:t>
            </w:r>
          </w:p>
        </w:tc>
      </w:tr>
      <w:tr>
        <w:trPr>
          <w:trHeight w:val="178"/>
        </w:trPr>
        <w:tc>
          <w:tcPr>
            <w:tcW w:w="5680" w:type="dxa"/>
            <w:vAlign w:val="bottom"/>
            <w:shd w:val="clear" w:color="auto" w:fill="CFF0FC"/>
          </w:tcPr>
          <w:p>
            <w:pPr>
              <w:spacing w:after="0"/>
              <w:rPr>
                <w:sz w:val="20"/>
                <w:szCs w:val="20"/>
                <w:color w:val="auto"/>
              </w:rPr>
            </w:pPr>
            <w:r>
              <w:rPr>
                <w:rFonts w:ascii="Arial" w:cs="Arial" w:eastAsia="Arial" w:hAnsi="Arial"/>
                <w:sz w:val="15"/>
                <w:szCs w:val="15"/>
                <w:color w:val="auto"/>
              </w:rPr>
              <w:t>Currency effect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100</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r>
      <w:tr>
        <w:trPr>
          <w:trHeight w:val="178"/>
        </w:trPr>
        <w:tc>
          <w:tcPr>
            <w:tcW w:w="5680" w:type="dxa"/>
            <w:vAlign w:val="bottom"/>
          </w:tcPr>
          <w:p>
            <w:pPr>
              <w:spacing w:after="0"/>
              <w:rPr>
                <w:sz w:val="20"/>
                <w:szCs w:val="20"/>
                <w:color w:val="auto"/>
              </w:rPr>
            </w:pPr>
            <w:r>
              <w:rPr>
                <w:rFonts w:ascii="Arial" w:cs="Arial" w:eastAsia="Arial" w:hAnsi="Arial"/>
                <w:sz w:val="15"/>
                <w:szCs w:val="15"/>
                <w:color w:val="auto"/>
              </w:rPr>
              <w:t>Company contributions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5"/>
                <w:szCs w:val="15"/>
                <w:color w:val="auto"/>
              </w:rPr>
            </w:pPr>
          </w:p>
        </w:tc>
      </w:tr>
      <w:tr>
        <w:trPr>
          <w:trHeight w:val="178"/>
        </w:trPr>
        <w:tc>
          <w:tcPr>
            <w:tcW w:w="5680" w:type="dxa"/>
            <w:vAlign w:val="bottom"/>
            <w:shd w:val="clear" w:color="auto" w:fill="CFF0FC"/>
          </w:tcPr>
          <w:p>
            <w:pPr>
              <w:spacing w:after="0"/>
              <w:rPr>
                <w:sz w:val="20"/>
                <w:szCs w:val="20"/>
                <w:color w:val="auto"/>
              </w:rPr>
            </w:pPr>
            <w:r>
              <w:rPr>
                <w:rFonts w:ascii="Arial" w:cs="Arial" w:eastAsia="Arial" w:hAnsi="Arial"/>
                <w:sz w:val="15"/>
                <w:szCs w:val="15"/>
                <w:color w:val="auto"/>
              </w:rPr>
              <w:t>Contributions by plan participants</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71</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FF0FC"/>
          </w:tcPr>
          <w:p>
            <w:pPr>
              <w:spacing w:after="0"/>
              <w:rPr>
                <w:sz w:val="15"/>
                <w:szCs w:val="15"/>
                <w:color w:val="auto"/>
              </w:rPr>
            </w:pPr>
          </w:p>
        </w:tc>
      </w:tr>
      <w:tr>
        <w:trPr>
          <w:trHeight w:val="178"/>
        </w:trPr>
        <w:tc>
          <w:tcPr>
            <w:tcW w:w="5680" w:type="dxa"/>
            <w:vAlign w:val="bottom"/>
          </w:tcPr>
          <w:p>
            <w:pPr>
              <w:spacing w:after="0"/>
              <w:rPr>
                <w:sz w:val="20"/>
                <w:szCs w:val="20"/>
                <w:color w:val="auto"/>
              </w:rPr>
            </w:pPr>
            <w:r>
              <w:rPr>
                <w:rFonts w:ascii="Arial" w:cs="Arial" w:eastAsia="Arial" w:hAnsi="Arial"/>
                <w:sz w:val="15"/>
                <w:szCs w:val="15"/>
                <w:color w:val="auto"/>
              </w:rPr>
              <w:t>Benefits paid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24"/>
              <w:spacing w:after="0"/>
              <w:rPr>
                <w:sz w:val="20"/>
                <w:szCs w:val="20"/>
                <w:color w:val="auto"/>
              </w:rPr>
            </w:pPr>
            <w:r>
              <w:rPr>
                <w:rFonts w:ascii="Arial" w:cs="Arial" w:eastAsia="Arial" w:hAnsi="Arial"/>
                <w:sz w:val="15"/>
                <w:szCs w:val="15"/>
                <w:b w:val="1"/>
                <w:bCs w:val="1"/>
                <w:color w:val="auto"/>
              </w:rPr>
              <w:t>(229)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(224)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(399)</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5"/>
                <w:szCs w:val="15"/>
                <w:color w:val="auto"/>
              </w:rPr>
              <w:t>(384)</w:t>
            </w:r>
          </w:p>
        </w:tc>
      </w:tr>
      <w:tr>
        <w:trPr>
          <w:trHeight w:val="170"/>
        </w:trPr>
        <w:tc>
          <w:tcPr>
            <w:tcW w:w="5680" w:type="dxa"/>
            <w:vAlign w:val="bottom"/>
            <w:tcBorders>
              <w:top w:val="single" w:sz="8" w:color="CFF0FC"/>
              <w:bottom w:val="single" w:sz="8" w:color="CFF0FC"/>
            </w:tcBorders>
            <w:shd w:val="clear" w:color="auto" w:fill="CFF0FC"/>
          </w:tcPr>
          <w:p>
            <w:pPr>
              <w:spacing w:after="0" w:line="171" w:lineRule="exact"/>
              <w:rPr>
                <w:sz w:val="20"/>
                <w:szCs w:val="20"/>
                <w:color w:val="auto"/>
              </w:rPr>
            </w:pPr>
            <w:r>
              <w:rPr>
                <w:rFonts w:ascii="Arial" w:cs="Arial" w:eastAsia="Arial" w:hAnsi="Arial"/>
                <w:sz w:val="15"/>
                <w:szCs w:val="15"/>
                <w:color w:val="auto"/>
              </w:rPr>
              <w:t>Plan assets at fair value at end of year</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3,229</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64"/>
              <w:spacing w:after="0" w:line="171"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3,175</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44"/>
              <w:spacing w:after="0" w:line="171"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b w:val="1"/>
                <w:bCs w:val="1"/>
                <w:color w:val="auto"/>
              </w:rPr>
              <w:t>8,103</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jc w:val="right"/>
              <w:ind w:right="187"/>
              <w:spacing w:after="0" w:line="171"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FF0FC"/>
          </w:tcPr>
          <w:p>
            <w:pPr>
              <w:jc w:val="right"/>
              <w:ind w:right="20"/>
              <w:spacing w:after="0" w:line="171" w:lineRule="exact"/>
              <w:rPr>
                <w:sz w:val="20"/>
                <w:szCs w:val="20"/>
                <w:color w:val="auto"/>
              </w:rPr>
            </w:pPr>
            <w:r>
              <w:rPr>
                <w:rFonts w:ascii="Arial" w:cs="Arial" w:eastAsia="Arial" w:hAnsi="Arial"/>
                <w:sz w:val="15"/>
                <w:szCs w:val="15"/>
                <w:color w:val="auto"/>
              </w:rPr>
              <w:t>7,674</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70"/>
        </w:trPr>
        <w:tc>
          <w:tcPr>
            <w:tcW w:w="5680" w:type="dxa"/>
            <w:vAlign w:val="bottom"/>
          </w:tcPr>
          <w:p>
            <w:pPr>
              <w:spacing w:after="0" w:line="158" w:lineRule="exact"/>
              <w:rPr>
                <w:sz w:val="20"/>
                <w:szCs w:val="20"/>
                <w:color w:val="auto"/>
              </w:rPr>
            </w:pPr>
            <w:r>
              <w:rPr>
                <w:rFonts w:ascii="Arial" w:cs="Arial" w:eastAsia="Arial" w:hAnsi="Arial"/>
                <w:sz w:val="15"/>
                <w:szCs w:val="15"/>
                <w:b w:val="1"/>
                <w:bCs w:val="1"/>
                <w:i w:val="1"/>
                <w:iCs w:val="1"/>
                <w:color w:val="auto"/>
              </w:rPr>
              <w:t>Unfunded Liability</w:t>
            </w:r>
          </w:p>
        </w:tc>
        <w:tc>
          <w:tcPr>
            <w:tcW w:w="320" w:type="dxa"/>
            <w:vAlign w:val="bottom"/>
            <w:gridSpan w:val="3"/>
          </w:tcPr>
          <w:p>
            <w:pPr>
              <w:jc w:val="right"/>
              <w:ind w:right="71"/>
              <w:spacing w:after="0" w:line="158" w:lineRule="exact"/>
              <w:rPr>
                <w:sz w:val="20"/>
                <w:szCs w:val="20"/>
                <w:color w:val="auto"/>
              </w:rPr>
            </w:pPr>
            <w:r>
              <w:rPr>
                <w:rFonts w:ascii="Arial" w:cs="Arial" w:eastAsia="Arial" w:hAnsi="Arial"/>
                <w:sz w:val="15"/>
                <w:szCs w:val="15"/>
                <w:b w:val="1"/>
                <w:bCs w:val="1"/>
                <w:color w:val="auto"/>
              </w:rPr>
              <w:t>$</w:t>
            </w:r>
          </w:p>
        </w:tc>
        <w:tc>
          <w:tcPr>
            <w:tcW w:w="1100" w:type="dxa"/>
            <w:vAlign w:val="bottom"/>
            <w:gridSpan w:val="3"/>
          </w:tcPr>
          <w:p>
            <w:pPr>
              <w:jc w:val="right"/>
              <w:ind w:right="24"/>
              <w:spacing w:after="0" w:line="158" w:lineRule="exact"/>
              <w:rPr>
                <w:sz w:val="20"/>
                <w:szCs w:val="20"/>
                <w:color w:val="auto"/>
              </w:rPr>
            </w:pPr>
            <w:r>
              <w:rPr>
                <w:rFonts w:ascii="Arial" w:cs="Arial" w:eastAsia="Arial" w:hAnsi="Arial"/>
                <w:sz w:val="15"/>
                <w:szCs w:val="15"/>
                <w:b w:val="1"/>
                <w:bCs w:val="1"/>
                <w:color w:val="auto"/>
              </w:rPr>
              <w:t>(24)</w:t>
            </w:r>
          </w:p>
        </w:tc>
        <w:tc>
          <w:tcPr>
            <w:tcW w:w="80" w:type="dxa"/>
            <w:vAlign w:val="bottom"/>
          </w:tcPr>
          <w:p>
            <w:pPr>
              <w:spacing w:after="0"/>
              <w:rPr>
                <w:sz w:val="14"/>
                <w:szCs w:val="14"/>
                <w:color w:val="auto"/>
              </w:rPr>
            </w:pPr>
          </w:p>
        </w:tc>
        <w:tc>
          <w:tcPr>
            <w:tcW w:w="220" w:type="dxa"/>
            <w:vAlign w:val="bottom"/>
          </w:tcPr>
          <w:p>
            <w:pPr>
              <w:jc w:val="right"/>
              <w:ind w:right="64"/>
              <w:spacing w:after="0" w:line="158" w:lineRule="exact"/>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00"/>
              <w:spacing w:after="0" w:line="158" w:lineRule="exact"/>
              <w:rPr>
                <w:sz w:val="20"/>
                <w:szCs w:val="20"/>
                <w:color w:val="auto"/>
              </w:rPr>
            </w:pPr>
            <w:r>
              <w:rPr>
                <w:rFonts w:ascii="Arial" w:cs="Arial" w:eastAsia="Arial" w:hAnsi="Arial"/>
                <w:sz w:val="15"/>
                <w:szCs w:val="15"/>
                <w:color w:val="auto"/>
              </w:rPr>
              <w:t>(50)</w:t>
            </w:r>
          </w:p>
        </w:tc>
        <w:tc>
          <w:tcPr>
            <w:tcW w:w="280" w:type="dxa"/>
            <w:vAlign w:val="bottom"/>
            <w:gridSpan w:val="2"/>
          </w:tcPr>
          <w:p>
            <w:pPr>
              <w:jc w:val="right"/>
              <w:ind w:right="44"/>
              <w:spacing w:after="0" w:line="158" w:lineRule="exact"/>
              <w:rPr>
                <w:sz w:val="20"/>
                <w:szCs w:val="20"/>
                <w:color w:val="auto"/>
              </w:rPr>
            </w:pPr>
            <w:r>
              <w:rPr>
                <w:rFonts w:ascii="Arial" w:cs="Arial" w:eastAsia="Arial" w:hAnsi="Arial"/>
                <w:sz w:val="15"/>
                <w:szCs w:val="15"/>
                <w:b w:val="1"/>
                <w:bCs w:val="1"/>
                <w:color w:val="auto"/>
              </w:rPr>
              <w:t>$</w:t>
            </w:r>
          </w:p>
        </w:tc>
        <w:tc>
          <w:tcPr>
            <w:tcW w:w="1140" w:type="dxa"/>
            <w:vAlign w:val="bottom"/>
            <w:gridSpan w:val="3"/>
          </w:tcPr>
          <w:p>
            <w:pPr>
              <w:jc w:val="right"/>
              <w:ind w:right="140"/>
              <w:spacing w:after="0" w:line="158" w:lineRule="exact"/>
              <w:rPr>
                <w:sz w:val="20"/>
                <w:szCs w:val="20"/>
                <w:color w:val="auto"/>
              </w:rPr>
            </w:pPr>
            <w:r>
              <w:rPr>
                <w:rFonts w:ascii="Arial" w:cs="Arial" w:eastAsia="Arial" w:hAnsi="Arial"/>
                <w:sz w:val="15"/>
                <w:szCs w:val="15"/>
                <w:b w:val="1"/>
                <w:bCs w:val="1"/>
                <w:color w:val="auto"/>
              </w:rPr>
              <w:t>(53)</w:t>
            </w:r>
          </w:p>
        </w:tc>
        <w:tc>
          <w:tcPr>
            <w:tcW w:w="380" w:type="dxa"/>
            <w:vAlign w:val="bottom"/>
            <w:gridSpan w:val="2"/>
          </w:tcPr>
          <w:p>
            <w:pPr>
              <w:jc w:val="right"/>
              <w:ind w:right="187"/>
              <w:spacing w:after="0" w:line="158" w:lineRule="exact"/>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60"/>
              <w:spacing w:after="0" w:line="158" w:lineRule="exact"/>
              <w:rPr>
                <w:sz w:val="20"/>
                <w:szCs w:val="20"/>
                <w:color w:val="auto"/>
              </w:rPr>
            </w:pPr>
            <w:r>
              <w:rPr>
                <w:rFonts w:ascii="Arial" w:cs="Arial" w:eastAsia="Arial" w:hAnsi="Arial"/>
                <w:sz w:val="15"/>
                <w:szCs w:val="15"/>
                <w:color w:val="auto"/>
              </w:rPr>
              <w:t>(122)</w:t>
            </w: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68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i w:val="1"/>
                <w:iCs w:val="1"/>
                <w:color w:val="auto"/>
              </w:rPr>
              <w:t>Amounts Recognized in Balance Sheet:</w:t>
            </w: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8"/>
        </w:trPr>
        <w:tc>
          <w:tcPr>
            <w:tcW w:w="5680" w:type="dxa"/>
            <w:vAlign w:val="bottom"/>
          </w:tcPr>
          <w:p>
            <w:pPr>
              <w:spacing w:after="0"/>
              <w:rPr>
                <w:sz w:val="20"/>
                <w:szCs w:val="20"/>
                <w:color w:val="auto"/>
              </w:rPr>
            </w:pPr>
            <w:r>
              <w:rPr>
                <w:rFonts w:ascii="Arial" w:cs="Arial" w:eastAsia="Arial" w:hAnsi="Arial"/>
                <w:sz w:val="15"/>
                <w:szCs w:val="15"/>
                <w:i w:val="1"/>
                <w:iCs w:val="1"/>
                <w:color w:val="auto"/>
              </w:rPr>
              <w:t>Postretirement Benefits</w:t>
            </w:r>
          </w:p>
        </w:tc>
        <w:tc>
          <w:tcPr>
            <w:tcW w:w="320" w:type="dxa"/>
            <w:vAlign w:val="bottom"/>
            <w:gridSpan w:val="3"/>
          </w:tcPr>
          <w:p>
            <w:pPr>
              <w:jc w:val="right"/>
              <w:ind w:right="71"/>
              <w:spacing w:after="0"/>
              <w:rPr>
                <w:sz w:val="20"/>
                <w:szCs w:val="20"/>
                <w:color w:val="auto"/>
              </w:rPr>
            </w:pPr>
            <w:r>
              <w:rPr>
                <w:rFonts w:ascii="Arial" w:cs="Arial" w:eastAsia="Arial" w:hAnsi="Arial"/>
                <w:sz w:val="15"/>
                <w:szCs w:val="15"/>
                <w:b w:val="1"/>
                <w:bCs w:val="1"/>
                <w:color w:val="auto"/>
              </w:rPr>
              <w:t>$</w:t>
            </w:r>
          </w:p>
        </w:tc>
        <w:tc>
          <w:tcPr>
            <w:tcW w:w="1100" w:type="dxa"/>
            <w:vAlign w:val="bottom"/>
            <w:gridSpan w:val="3"/>
          </w:tcPr>
          <w:p>
            <w:pPr>
              <w:jc w:val="right"/>
              <w:ind w:right="24"/>
              <w:spacing w:after="0"/>
              <w:rPr>
                <w:sz w:val="20"/>
                <w:szCs w:val="20"/>
                <w:color w:val="auto"/>
              </w:rPr>
            </w:pPr>
            <w:r>
              <w:rPr>
                <w:rFonts w:ascii="Arial" w:cs="Arial" w:eastAsia="Arial" w:hAnsi="Arial"/>
                <w:sz w:val="15"/>
                <w:szCs w:val="15"/>
                <w:b w:val="1"/>
                <w:bCs w:val="1"/>
                <w:color w:val="auto"/>
              </w:rPr>
              <w:t>(159)</w:t>
            </w:r>
          </w:p>
        </w:tc>
        <w:tc>
          <w:tcPr>
            <w:tcW w:w="8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(154)</w:t>
            </w:r>
          </w:p>
        </w:tc>
        <w:tc>
          <w:tcPr>
            <w:tcW w:w="28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(320)</w:t>
            </w:r>
          </w:p>
        </w:tc>
        <w:tc>
          <w:tcPr>
            <w:tcW w:w="380" w:type="dxa"/>
            <w:vAlign w:val="bottom"/>
            <w:gridSpan w:val="2"/>
          </w:tcPr>
          <w:p>
            <w:pPr>
              <w:jc w:val="right"/>
              <w:ind w:right="187"/>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5"/>
                <w:szCs w:val="15"/>
                <w:color w:val="auto"/>
              </w:rPr>
              <w:t>(358)</w:t>
            </w:r>
          </w:p>
        </w:tc>
      </w:tr>
      <w:tr>
        <w:trPr>
          <w:trHeight w:val="178"/>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i w:val="1"/>
                <w:iCs w:val="1"/>
                <w:color w:val="auto"/>
              </w:rPr>
              <w:t>Other Assets</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135</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104</w:t>
            </w:r>
          </w:p>
        </w:tc>
        <w:tc>
          <w:tcPr>
            <w:tcW w:w="16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267</w:t>
            </w:r>
          </w:p>
        </w:tc>
        <w:tc>
          <w:tcPr>
            <w:tcW w:w="1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236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5680" w:type="dxa"/>
            <w:vAlign w:val="bottom"/>
          </w:tcPr>
          <w:p>
            <w:pPr>
              <w:spacing w:after="0"/>
              <w:rPr>
                <w:sz w:val="14"/>
                <w:szCs w:val="14"/>
                <w:color w:val="auto"/>
              </w:rPr>
            </w:pPr>
          </w:p>
        </w:tc>
        <w:tc>
          <w:tcPr>
            <w:tcW w:w="320" w:type="dxa"/>
            <w:vAlign w:val="bottom"/>
            <w:gridSpan w:val="3"/>
          </w:tcPr>
          <w:p>
            <w:pPr>
              <w:jc w:val="right"/>
              <w:ind w:right="71"/>
              <w:spacing w:after="0" w:line="171" w:lineRule="exact"/>
              <w:rPr>
                <w:sz w:val="20"/>
                <w:szCs w:val="20"/>
                <w:color w:val="auto"/>
              </w:rPr>
            </w:pPr>
            <w:r>
              <w:rPr>
                <w:rFonts w:ascii="Arial" w:cs="Arial" w:eastAsia="Arial" w:hAnsi="Arial"/>
                <w:sz w:val="15"/>
                <w:szCs w:val="15"/>
                <w:b w:val="1"/>
                <w:bCs w:val="1"/>
                <w:color w:val="auto"/>
              </w:rPr>
              <w:t>$</w:t>
            </w:r>
          </w:p>
        </w:tc>
        <w:tc>
          <w:tcPr>
            <w:tcW w:w="1100" w:type="dxa"/>
            <w:vAlign w:val="bottom"/>
            <w:gridSpan w:val="3"/>
          </w:tcPr>
          <w:p>
            <w:pPr>
              <w:jc w:val="right"/>
              <w:ind w:right="24"/>
              <w:spacing w:after="0" w:line="171" w:lineRule="exact"/>
              <w:rPr>
                <w:sz w:val="20"/>
                <w:szCs w:val="20"/>
                <w:color w:val="auto"/>
              </w:rPr>
            </w:pPr>
            <w:r>
              <w:rPr>
                <w:rFonts w:ascii="Arial" w:cs="Arial" w:eastAsia="Arial" w:hAnsi="Arial"/>
                <w:sz w:val="15"/>
                <w:szCs w:val="15"/>
                <w:b w:val="1"/>
                <w:bCs w:val="1"/>
                <w:color w:val="auto"/>
              </w:rPr>
              <w:t>(24)</w:t>
            </w:r>
          </w:p>
        </w:tc>
        <w:tc>
          <w:tcPr>
            <w:tcW w:w="80" w:type="dxa"/>
            <w:vAlign w:val="bottom"/>
          </w:tcPr>
          <w:p>
            <w:pPr>
              <w:spacing w:after="0"/>
              <w:rPr>
                <w:sz w:val="14"/>
                <w:szCs w:val="14"/>
                <w:color w:val="auto"/>
              </w:rPr>
            </w:pPr>
          </w:p>
        </w:tc>
        <w:tc>
          <w:tcPr>
            <w:tcW w:w="220" w:type="dxa"/>
            <w:vAlign w:val="bottom"/>
          </w:tcPr>
          <w:p>
            <w:pPr>
              <w:jc w:val="right"/>
              <w:ind w:right="64"/>
              <w:spacing w:after="0" w:line="171" w:lineRule="exact"/>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00"/>
              <w:spacing w:after="0" w:line="171" w:lineRule="exact"/>
              <w:rPr>
                <w:sz w:val="20"/>
                <w:szCs w:val="20"/>
                <w:color w:val="auto"/>
              </w:rPr>
            </w:pPr>
            <w:r>
              <w:rPr>
                <w:rFonts w:ascii="Arial" w:cs="Arial" w:eastAsia="Arial" w:hAnsi="Arial"/>
                <w:sz w:val="15"/>
                <w:szCs w:val="15"/>
                <w:color w:val="auto"/>
              </w:rPr>
              <w:t>(50)</w:t>
            </w:r>
          </w:p>
        </w:tc>
        <w:tc>
          <w:tcPr>
            <w:tcW w:w="280" w:type="dxa"/>
            <w:vAlign w:val="bottom"/>
            <w:gridSpan w:val="2"/>
          </w:tcPr>
          <w:p>
            <w:pPr>
              <w:jc w:val="right"/>
              <w:ind w:right="44"/>
              <w:spacing w:after="0" w:line="171" w:lineRule="exact"/>
              <w:rPr>
                <w:sz w:val="20"/>
                <w:szCs w:val="20"/>
                <w:color w:val="auto"/>
              </w:rPr>
            </w:pPr>
            <w:r>
              <w:rPr>
                <w:rFonts w:ascii="Arial" w:cs="Arial" w:eastAsia="Arial" w:hAnsi="Arial"/>
                <w:sz w:val="15"/>
                <w:szCs w:val="15"/>
                <w:b w:val="1"/>
                <w:bCs w:val="1"/>
                <w:color w:val="auto"/>
              </w:rPr>
              <w:t>$</w:t>
            </w:r>
          </w:p>
        </w:tc>
        <w:tc>
          <w:tcPr>
            <w:tcW w:w="1140" w:type="dxa"/>
            <w:vAlign w:val="bottom"/>
            <w:gridSpan w:val="3"/>
          </w:tcPr>
          <w:p>
            <w:pPr>
              <w:jc w:val="right"/>
              <w:ind w:right="140"/>
              <w:spacing w:after="0" w:line="171" w:lineRule="exact"/>
              <w:rPr>
                <w:sz w:val="20"/>
                <w:szCs w:val="20"/>
                <w:color w:val="auto"/>
              </w:rPr>
            </w:pPr>
            <w:r>
              <w:rPr>
                <w:rFonts w:ascii="Arial" w:cs="Arial" w:eastAsia="Arial" w:hAnsi="Arial"/>
                <w:sz w:val="15"/>
                <w:szCs w:val="15"/>
                <w:b w:val="1"/>
                <w:bCs w:val="1"/>
                <w:color w:val="auto"/>
              </w:rPr>
              <w:t>(53)</w:t>
            </w:r>
          </w:p>
        </w:tc>
        <w:tc>
          <w:tcPr>
            <w:tcW w:w="380" w:type="dxa"/>
            <w:vAlign w:val="bottom"/>
            <w:gridSpan w:val="2"/>
          </w:tcPr>
          <w:p>
            <w:pPr>
              <w:jc w:val="right"/>
              <w:ind w:right="187"/>
              <w:spacing w:after="0" w:line="171" w:lineRule="exact"/>
              <w:rPr>
                <w:sz w:val="20"/>
                <w:szCs w:val="20"/>
                <w:color w:val="auto"/>
              </w:rPr>
            </w:pPr>
            <w:r>
              <w:rPr>
                <w:rFonts w:ascii="Arial" w:cs="Arial" w:eastAsia="Arial" w:hAnsi="Arial"/>
                <w:sz w:val="15"/>
                <w:szCs w:val="15"/>
                <w:color w:val="auto"/>
              </w:rPr>
              <w:t>$</w:t>
            </w:r>
          </w:p>
        </w:tc>
        <w:tc>
          <w:tcPr>
            <w:tcW w:w="940" w:type="dxa"/>
            <w:vAlign w:val="bottom"/>
            <w:gridSpan w:val="3"/>
          </w:tcPr>
          <w:p>
            <w:pPr>
              <w:jc w:val="right"/>
              <w:ind w:right="60"/>
              <w:spacing w:after="0" w:line="171" w:lineRule="exact"/>
              <w:rPr>
                <w:sz w:val="20"/>
                <w:szCs w:val="20"/>
                <w:color w:val="auto"/>
              </w:rPr>
            </w:pPr>
            <w:r>
              <w:rPr>
                <w:rFonts w:ascii="Arial" w:cs="Arial" w:eastAsia="Arial" w:hAnsi="Arial"/>
                <w:sz w:val="15"/>
                <w:szCs w:val="15"/>
                <w:color w:val="auto"/>
              </w:rPr>
              <w:t>(122)</w:t>
            </w: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68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i w:val="1"/>
                <w:iCs w:val="1"/>
                <w:color w:val="auto"/>
              </w:rPr>
              <w:t>Amounts Recognized in Accumulated Other Comprehensive Loss:</w:t>
            </w: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8"/>
        </w:trPr>
        <w:tc>
          <w:tcPr>
            <w:tcW w:w="5680" w:type="dxa"/>
            <w:vAlign w:val="bottom"/>
          </w:tcPr>
          <w:p>
            <w:pPr>
              <w:spacing w:after="0" w:line="158" w:lineRule="exact"/>
              <w:rPr>
                <w:sz w:val="20"/>
                <w:szCs w:val="20"/>
                <w:color w:val="auto"/>
              </w:rPr>
            </w:pPr>
            <w:r>
              <w:rPr>
                <w:rFonts w:ascii="Arial" w:cs="Arial" w:eastAsia="Arial" w:hAnsi="Arial"/>
                <w:sz w:val="15"/>
                <w:szCs w:val="15"/>
                <w:color w:val="auto"/>
              </w:rPr>
              <w:t>Actuarial losses</w:t>
            </w:r>
          </w:p>
        </w:tc>
        <w:tc>
          <w:tcPr>
            <w:tcW w:w="320" w:type="dxa"/>
            <w:vAlign w:val="bottom"/>
            <w:gridSpan w:val="3"/>
          </w:tcPr>
          <w:p>
            <w:pPr>
              <w:jc w:val="right"/>
              <w:ind w:right="71"/>
              <w:spacing w:after="0" w:line="158"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line="158" w:lineRule="exact"/>
              <w:rPr>
                <w:sz w:val="20"/>
                <w:szCs w:val="20"/>
                <w:color w:val="auto"/>
              </w:rPr>
            </w:pPr>
            <w:r>
              <w:rPr>
                <w:rFonts w:ascii="Arial" w:cs="Arial" w:eastAsia="Arial" w:hAnsi="Arial"/>
                <w:sz w:val="15"/>
                <w:szCs w:val="15"/>
                <w:b w:val="1"/>
                <w:bCs w:val="1"/>
                <w:color w:val="auto"/>
              </w:rPr>
              <w:t>381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4"/>
              <w:spacing w:after="0" w:line="158"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405</w:t>
            </w:r>
          </w:p>
        </w:tc>
        <w:tc>
          <w:tcPr>
            <w:tcW w:w="160" w:type="dxa"/>
            <w:vAlign w:val="bottom"/>
          </w:tcPr>
          <w:p>
            <w:pPr>
              <w:spacing w:after="0"/>
              <w:rPr>
                <w:sz w:val="15"/>
                <w:szCs w:val="15"/>
                <w:color w:val="auto"/>
              </w:rPr>
            </w:pPr>
          </w:p>
        </w:tc>
        <w:tc>
          <w:tcPr>
            <w:tcW w:w="280" w:type="dxa"/>
            <w:vAlign w:val="bottom"/>
            <w:gridSpan w:val="2"/>
          </w:tcPr>
          <w:p>
            <w:pPr>
              <w:jc w:val="right"/>
              <w:ind w:right="44"/>
              <w:spacing w:after="0" w:line="158"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20"/>
              <w:spacing w:after="0" w:line="158" w:lineRule="exact"/>
              <w:rPr>
                <w:sz w:val="20"/>
                <w:szCs w:val="20"/>
                <w:color w:val="auto"/>
              </w:rPr>
            </w:pPr>
            <w:r>
              <w:rPr>
                <w:rFonts w:ascii="Arial" w:cs="Arial" w:eastAsia="Arial" w:hAnsi="Arial"/>
                <w:sz w:val="15"/>
                <w:szCs w:val="15"/>
                <w:b w:val="1"/>
                <w:bCs w:val="1"/>
                <w:color w:val="auto"/>
              </w:rPr>
              <w:t>2,316</w:t>
            </w:r>
          </w:p>
        </w:tc>
        <w:tc>
          <w:tcPr>
            <w:tcW w:w="180" w:type="dxa"/>
            <w:vAlign w:val="bottom"/>
          </w:tcPr>
          <w:p>
            <w:pPr>
              <w:spacing w:after="0"/>
              <w:rPr>
                <w:sz w:val="15"/>
                <w:szCs w:val="15"/>
                <w:color w:val="auto"/>
              </w:rPr>
            </w:pPr>
          </w:p>
        </w:tc>
        <w:tc>
          <w:tcPr>
            <w:tcW w:w="380" w:type="dxa"/>
            <w:vAlign w:val="bottom"/>
            <w:gridSpan w:val="2"/>
          </w:tcPr>
          <w:p>
            <w:pPr>
              <w:jc w:val="right"/>
              <w:ind w:right="187"/>
              <w:spacing w:after="0" w:line="158"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2,296</w:t>
            </w:r>
          </w:p>
        </w:tc>
        <w:tc>
          <w:tcPr>
            <w:tcW w:w="100" w:type="dxa"/>
            <w:vAlign w:val="bottom"/>
          </w:tcPr>
          <w:p>
            <w:pPr>
              <w:spacing w:after="0"/>
              <w:rPr>
                <w:sz w:val="15"/>
                <w:szCs w:val="15"/>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8"/>
        </w:trPr>
        <w:tc>
          <w:tcPr>
            <w:tcW w:w="5680" w:type="dxa"/>
            <w:vAlign w:val="bottom"/>
          </w:tcPr>
          <w:p>
            <w:pPr>
              <w:spacing w:after="0" w:line="158" w:lineRule="exact"/>
              <w:rPr>
                <w:sz w:val="20"/>
                <w:szCs w:val="20"/>
                <w:color w:val="auto"/>
              </w:rPr>
            </w:pPr>
            <w:r>
              <w:rPr>
                <w:rFonts w:ascii="Arial" w:cs="Arial" w:eastAsia="Arial" w:hAnsi="Arial"/>
                <w:sz w:val="15"/>
                <w:szCs w:val="15"/>
                <w:color w:val="auto"/>
              </w:rPr>
              <w:t>Accumulated benefit obligation</w:t>
            </w:r>
          </w:p>
        </w:tc>
        <w:tc>
          <w:tcPr>
            <w:tcW w:w="320" w:type="dxa"/>
            <w:vAlign w:val="bottom"/>
            <w:gridSpan w:val="3"/>
          </w:tcPr>
          <w:p>
            <w:pPr>
              <w:jc w:val="right"/>
              <w:ind w:right="71"/>
              <w:spacing w:after="0" w:line="158"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line="158" w:lineRule="exact"/>
              <w:rPr>
                <w:sz w:val="20"/>
                <w:szCs w:val="20"/>
                <w:color w:val="auto"/>
              </w:rPr>
            </w:pPr>
            <w:r>
              <w:rPr>
                <w:rFonts w:ascii="Arial" w:cs="Arial" w:eastAsia="Arial" w:hAnsi="Arial"/>
                <w:sz w:val="15"/>
                <w:szCs w:val="15"/>
                <w:b w:val="1"/>
                <w:bCs w:val="1"/>
                <w:color w:val="auto"/>
              </w:rPr>
              <w:t>3,169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4"/>
              <w:spacing w:after="0" w:line="158"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3,137</w:t>
            </w:r>
          </w:p>
        </w:tc>
        <w:tc>
          <w:tcPr>
            <w:tcW w:w="160" w:type="dxa"/>
            <w:vAlign w:val="bottom"/>
          </w:tcPr>
          <w:p>
            <w:pPr>
              <w:spacing w:after="0"/>
              <w:rPr>
                <w:sz w:val="15"/>
                <w:szCs w:val="15"/>
                <w:color w:val="auto"/>
              </w:rPr>
            </w:pPr>
          </w:p>
        </w:tc>
        <w:tc>
          <w:tcPr>
            <w:tcW w:w="280" w:type="dxa"/>
            <w:vAlign w:val="bottom"/>
            <w:gridSpan w:val="2"/>
          </w:tcPr>
          <w:p>
            <w:pPr>
              <w:jc w:val="right"/>
              <w:ind w:right="44"/>
              <w:spacing w:after="0" w:line="158"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20"/>
              <w:spacing w:after="0" w:line="158" w:lineRule="exact"/>
              <w:rPr>
                <w:sz w:val="20"/>
                <w:szCs w:val="20"/>
                <w:color w:val="auto"/>
              </w:rPr>
            </w:pPr>
            <w:r>
              <w:rPr>
                <w:rFonts w:ascii="Arial" w:cs="Arial" w:eastAsia="Arial" w:hAnsi="Arial"/>
                <w:sz w:val="15"/>
                <w:szCs w:val="15"/>
                <w:b w:val="1"/>
                <w:bCs w:val="1"/>
                <w:color w:val="auto"/>
              </w:rPr>
              <w:t>7,995</w:t>
            </w:r>
          </w:p>
        </w:tc>
        <w:tc>
          <w:tcPr>
            <w:tcW w:w="180" w:type="dxa"/>
            <w:vAlign w:val="bottom"/>
          </w:tcPr>
          <w:p>
            <w:pPr>
              <w:spacing w:after="0"/>
              <w:rPr>
                <w:sz w:val="15"/>
                <w:szCs w:val="15"/>
                <w:color w:val="auto"/>
              </w:rPr>
            </w:pPr>
          </w:p>
        </w:tc>
        <w:tc>
          <w:tcPr>
            <w:tcW w:w="380" w:type="dxa"/>
            <w:vAlign w:val="bottom"/>
            <w:gridSpan w:val="2"/>
          </w:tcPr>
          <w:p>
            <w:pPr>
              <w:jc w:val="right"/>
              <w:ind w:right="187"/>
              <w:spacing w:after="0" w:line="158"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7,634</w:t>
            </w:r>
          </w:p>
        </w:tc>
        <w:tc>
          <w:tcPr>
            <w:tcW w:w="100" w:type="dxa"/>
            <w:vAlign w:val="bottom"/>
          </w:tcPr>
          <w:p>
            <w:pPr>
              <w:spacing w:after="0"/>
              <w:rPr>
                <w:sz w:val="15"/>
                <w:szCs w:val="15"/>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4404995</wp:posOffset>
            </wp:positionH>
            <wp:positionV relativeFrom="paragraph">
              <wp:posOffset>-2179955</wp:posOffset>
            </wp:positionV>
            <wp:extent cx="90170" cy="154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0170" cy="15430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-2179955</wp:posOffset>
            </wp:positionV>
            <wp:extent cx="90170" cy="154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0170" cy="15430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-2179955</wp:posOffset>
            </wp:positionV>
            <wp:extent cx="90170" cy="154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01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-2179955</wp:posOffset>
            </wp:positionV>
            <wp:extent cx="97790" cy="154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7790" cy="15430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-1261110</wp:posOffset>
            </wp:positionV>
            <wp:extent cx="90170" cy="154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0170" cy="15430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-1261110</wp:posOffset>
            </wp:positionV>
            <wp:extent cx="90170" cy="1543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0170" cy="15430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-1261110</wp:posOffset>
            </wp:positionV>
            <wp:extent cx="90170" cy="154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01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-1261110</wp:posOffset>
            </wp:positionV>
            <wp:extent cx="97790" cy="154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7790" cy="15430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-643890</wp:posOffset>
            </wp:positionV>
            <wp:extent cx="647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-643890</wp:posOffset>
            </wp:positionV>
            <wp:extent cx="647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-643890</wp:posOffset>
            </wp:positionV>
            <wp:extent cx="647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-643890</wp:posOffset>
            </wp:positionV>
            <wp:extent cx="723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asset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54" w:name="page55"/>
    <w:bookmarkEnd w:id="54"/>
    <w:p>
      <w:pPr>
        <w:spacing w:after="0"/>
        <w:rPr>
          <w:sz w:val="20"/>
          <w:szCs w:val="20"/>
          <w:color w:val="auto"/>
        </w:rPr>
      </w:pPr>
      <w:r>
        <w:rPr>
          <w:rFonts w:ascii="Arial" w:cs="Arial" w:eastAsia="Arial" w:hAnsi="Arial"/>
          <w:sz w:val="15"/>
          <w:szCs w:val="15"/>
          <w:color w:val="auto"/>
        </w:rPr>
        <w:t>Actuarial gains and losses arising during 2025 and 2024 were primarily attributable to changes in the discount rate used to determine the PBO.</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weighted-average allocation of plan assets as of December 31, 2025 and 2024 and the target allocations by asset category as of December 31, 2025 were as follows: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US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International</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0"/>
        </w:trPr>
        <w:tc>
          <w:tcPr>
            <w:tcW w:w="422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44"/>
              <w:spacing w:after="0" w:line="171" w:lineRule="exact"/>
              <w:rPr>
                <w:sz w:val="20"/>
                <w:szCs w:val="20"/>
                <w:color w:val="auto"/>
              </w:rPr>
            </w:pPr>
            <w:r>
              <w:rPr>
                <w:rFonts w:ascii="Arial" w:cs="Arial" w:eastAsia="Arial" w:hAnsi="Arial"/>
                <w:sz w:val="15"/>
                <w:szCs w:val="15"/>
                <w:color w:val="auto"/>
              </w:rPr>
              <w:t>Target</w:t>
            </w:r>
          </w:p>
        </w:tc>
        <w:tc>
          <w:tcPr>
            <w:tcW w:w="360" w:type="dxa"/>
            <w:vAlign w:val="bottom"/>
          </w:tcPr>
          <w:p>
            <w:pPr>
              <w:spacing w:after="0"/>
              <w:rPr>
                <w:sz w:val="14"/>
                <w:szCs w:val="14"/>
                <w:color w:val="auto"/>
              </w:rPr>
            </w:pPr>
          </w:p>
        </w:tc>
        <w:tc>
          <w:tcPr>
            <w:tcW w:w="900" w:type="dxa"/>
            <w:vAlign w:val="bottom"/>
            <w:tcBorders>
              <w:bottom w:val="single" w:sz="8" w:color="auto"/>
            </w:tcBorders>
          </w:tcPr>
          <w:p>
            <w:pPr>
              <w:jc w:val="right"/>
              <w:ind w:right="224"/>
              <w:spacing w:after="0" w:line="171" w:lineRule="exact"/>
              <w:rPr>
                <w:sz w:val="20"/>
                <w:szCs w:val="20"/>
                <w:color w:val="auto"/>
              </w:rPr>
            </w:pPr>
            <w:r>
              <w:rPr>
                <w:rFonts w:ascii="Arial" w:cs="Arial" w:eastAsia="Arial" w:hAnsi="Arial"/>
                <w:sz w:val="15"/>
                <w:szCs w:val="15"/>
                <w:b w:val="1"/>
                <w:bCs w:val="1"/>
                <w:color w:val="auto"/>
              </w:rPr>
              <w:t>2025</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224"/>
              <w:spacing w:after="0" w:line="171" w:lineRule="exact"/>
              <w:rPr>
                <w:sz w:val="20"/>
                <w:szCs w:val="20"/>
                <w:color w:val="auto"/>
              </w:rPr>
            </w:pPr>
            <w:r>
              <w:rPr>
                <w:rFonts w:ascii="Arial" w:cs="Arial" w:eastAsia="Arial" w:hAnsi="Arial"/>
                <w:sz w:val="15"/>
                <w:szCs w:val="15"/>
                <w:color w:val="auto"/>
              </w:rPr>
              <w:t>2024</w:t>
            </w:r>
          </w:p>
        </w:tc>
        <w:tc>
          <w:tcPr>
            <w:tcW w:w="28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04"/>
              <w:spacing w:after="0" w:line="171" w:lineRule="exact"/>
              <w:rPr>
                <w:sz w:val="20"/>
                <w:szCs w:val="20"/>
                <w:color w:val="auto"/>
              </w:rPr>
            </w:pPr>
            <w:r>
              <w:rPr>
                <w:rFonts w:ascii="Arial" w:cs="Arial" w:eastAsia="Arial" w:hAnsi="Arial"/>
                <w:sz w:val="15"/>
                <w:szCs w:val="15"/>
                <w:color w:val="auto"/>
              </w:rPr>
              <w:t>Target</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right"/>
              <w:ind w:right="224"/>
              <w:spacing w:after="0" w:line="171" w:lineRule="exact"/>
              <w:rPr>
                <w:sz w:val="20"/>
                <w:szCs w:val="20"/>
                <w:color w:val="auto"/>
              </w:rPr>
            </w:pPr>
            <w:r>
              <w:rPr>
                <w:rFonts w:ascii="Arial" w:cs="Arial" w:eastAsia="Arial" w:hAnsi="Arial"/>
                <w:sz w:val="15"/>
                <w:szCs w:val="15"/>
                <w:b w:val="1"/>
                <w:bCs w:val="1"/>
                <w:color w:val="auto"/>
              </w:rPr>
              <w:t>2025</w:t>
            </w: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284"/>
              <w:spacing w:after="0" w:line="171" w:lineRule="exact"/>
              <w:rPr>
                <w:sz w:val="20"/>
                <w:szCs w:val="20"/>
                <w:color w:val="auto"/>
              </w:rPr>
            </w:pPr>
            <w:r>
              <w:rPr>
                <w:rFonts w:ascii="Arial" w:cs="Arial" w:eastAsia="Arial" w:hAnsi="Arial"/>
                <w:sz w:val="15"/>
                <w:szCs w:val="15"/>
                <w:color w:val="auto"/>
              </w:rPr>
              <w:t>2024</w:t>
            </w:r>
          </w:p>
        </w:tc>
        <w:tc>
          <w:tcPr>
            <w:tcW w:w="140" w:type="dxa"/>
            <w:vAlign w:val="bottom"/>
          </w:tcPr>
          <w:p>
            <w:pPr>
              <w:spacing w:after="0"/>
              <w:rPr>
                <w:sz w:val="14"/>
                <w:szCs w:val="14"/>
                <w:color w:val="auto"/>
              </w:rPr>
            </w:pPr>
          </w:p>
        </w:tc>
      </w:tr>
      <w:tr>
        <w:trPr>
          <w:trHeight w:val="170"/>
        </w:trPr>
        <w:tc>
          <w:tcPr>
            <w:tcW w:w="422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Cash and cash equivalents</w:t>
            </w: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93"/>
              </w:rPr>
              <w:t>0 - 3</w:t>
            </w:r>
          </w:p>
        </w:tc>
        <w:tc>
          <w:tcPr>
            <w:tcW w:w="360" w:type="dxa"/>
            <w:vAlign w:val="bottom"/>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rPr>
              <w:t>%</w:t>
            </w:r>
          </w:p>
        </w:tc>
        <w:tc>
          <w:tcPr>
            <w:tcW w:w="90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w:t>
            </w:r>
          </w:p>
        </w:tc>
        <w:tc>
          <w:tcPr>
            <w:tcW w:w="2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93"/>
              </w:rPr>
              <w:t>0 - 5</w:t>
            </w:r>
          </w:p>
        </w:tc>
        <w:tc>
          <w:tcPr>
            <w:tcW w:w="34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FF0FC"/>
          </w:tcPr>
          <w:p>
            <w:pPr>
              <w:jc w:val="right"/>
              <w:ind w:right="24"/>
              <w:spacing w:after="0" w:line="171" w:lineRule="exact"/>
              <w:rPr>
                <w:sz w:val="20"/>
                <w:szCs w:val="20"/>
                <w:color w:val="auto"/>
              </w:rPr>
            </w:pPr>
            <w:r>
              <w:rPr>
                <w:rFonts w:ascii="Arial" w:cs="Arial" w:eastAsia="Arial" w:hAnsi="Arial"/>
                <w:sz w:val="15"/>
                <w:szCs w:val="15"/>
                <w:b w:val="1"/>
                <w:bCs w:val="1"/>
                <w:color w:val="auto"/>
              </w:rPr>
              <w:t>%</w:t>
            </w:r>
          </w:p>
        </w:tc>
        <w:tc>
          <w:tcPr>
            <w:tcW w:w="960" w:type="dxa"/>
            <w:vAlign w:val="bottom"/>
            <w:tcBorders>
              <w:right w:val="single" w:sz="8" w:color="CFF0FC"/>
            </w:tcBorders>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89"/>
              </w:rPr>
              <w:t>%</w:t>
            </w:r>
          </w:p>
        </w:tc>
      </w:tr>
      <w:tr>
        <w:trPr>
          <w:trHeight w:val="178"/>
        </w:trPr>
        <w:tc>
          <w:tcPr>
            <w:tcW w:w="4220" w:type="dxa"/>
            <w:vAlign w:val="bottom"/>
          </w:tcPr>
          <w:p>
            <w:pPr>
              <w:spacing w:after="0"/>
              <w:rPr>
                <w:sz w:val="20"/>
                <w:szCs w:val="20"/>
                <w:color w:val="auto"/>
              </w:rPr>
            </w:pPr>
            <w:r>
              <w:rPr>
                <w:rFonts w:ascii="Arial" w:cs="Arial" w:eastAsia="Arial" w:hAnsi="Arial"/>
                <w:sz w:val="15"/>
                <w:szCs w:val="15"/>
                <w:color w:val="auto"/>
              </w:rPr>
              <w:t>Equity securities</w:t>
            </w:r>
          </w:p>
        </w:tc>
        <w:tc>
          <w:tcPr>
            <w:tcW w:w="5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w w:val="93"/>
              </w:rPr>
              <w:t>0 - 5</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w:t>
            </w:r>
          </w:p>
        </w:tc>
        <w:tc>
          <w:tcPr>
            <w:tcW w:w="300" w:type="dxa"/>
            <w:vAlign w:val="bottom"/>
          </w:tcPr>
          <w:p>
            <w:pPr>
              <w:jc w:val="right"/>
              <w:spacing w:after="0"/>
              <w:rPr>
                <w:sz w:val="20"/>
                <w:szCs w:val="20"/>
                <w:color w:val="auto"/>
              </w:rPr>
            </w:pPr>
            <w:r>
              <w:rPr>
                <w:rFonts w:ascii="Arial" w:cs="Arial" w:eastAsia="Arial" w:hAnsi="Arial"/>
                <w:sz w:val="15"/>
                <w:szCs w:val="15"/>
                <w:color w:val="auto"/>
              </w:rPr>
              <w:t>- 10</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2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r>
      <w:tr>
        <w:trPr>
          <w:trHeight w:val="178"/>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Debt securities</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- 90</w:t>
            </w:r>
          </w:p>
        </w:tc>
        <w:tc>
          <w:tcPr>
            <w:tcW w:w="36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82</w:t>
            </w:r>
          </w:p>
        </w:tc>
        <w:tc>
          <w:tcPr>
            <w:tcW w:w="2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w:t>
            </w: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- 70</w:t>
            </w:r>
          </w:p>
        </w:tc>
        <w:tc>
          <w:tcPr>
            <w:tcW w:w="34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69</w:t>
            </w:r>
          </w:p>
        </w:tc>
        <w:tc>
          <w:tcPr>
            <w:tcW w:w="28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69</w:t>
            </w:r>
          </w:p>
        </w:tc>
        <w:tc>
          <w:tcPr>
            <w:tcW w:w="140" w:type="dxa"/>
            <w:vAlign w:val="bottom"/>
          </w:tcPr>
          <w:p>
            <w:pPr>
              <w:spacing w:after="0"/>
              <w:rPr>
                <w:sz w:val="15"/>
                <w:szCs w:val="15"/>
                <w:color w:val="auto"/>
              </w:rPr>
            </w:pPr>
          </w:p>
        </w:tc>
      </w:tr>
      <w:tr>
        <w:trPr>
          <w:trHeight w:val="178"/>
        </w:trPr>
        <w:tc>
          <w:tcPr>
            <w:tcW w:w="4220" w:type="dxa"/>
            <w:vAlign w:val="bottom"/>
          </w:tcPr>
          <w:p>
            <w:pPr>
              <w:spacing w:after="0"/>
              <w:rPr>
                <w:sz w:val="20"/>
                <w:szCs w:val="20"/>
                <w:color w:val="auto"/>
              </w:rPr>
            </w:pPr>
            <w:r>
              <w:rPr>
                <w:rFonts w:ascii="Arial" w:cs="Arial" w:eastAsia="Arial" w:hAnsi="Arial"/>
                <w:sz w:val="15"/>
                <w:szCs w:val="15"/>
                <w:color w:val="auto"/>
              </w:rPr>
              <w:t>Private equity and real estate</w:t>
            </w:r>
          </w:p>
        </w:tc>
        <w:tc>
          <w:tcPr>
            <w:tcW w:w="560" w:type="dxa"/>
            <w:vAlign w:val="bottom"/>
          </w:tcPr>
          <w:p>
            <w:pPr>
              <w:jc w:val="right"/>
              <w:spacing w:after="0"/>
              <w:rPr>
                <w:sz w:val="20"/>
                <w:szCs w:val="20"/>
                <w:color w:val="auto"/>
              </w:rPr>
            </w:pPr>
            <w:r>
              <w:rPr>
                <w:rFonts w:ascii="Arial" w:cs="Arial" w:eastAsia="Arial" w:hAnsi="Arial"/>
                <w:sz w:val="15"/>
                <w:szCs w:val="15"/>
                <w:color w:val="auto"/>
              </w:rPr>
              <w:t>5</w:t>
            </w:r>
          </w:p>
        </w:tc>
        <w:tc>
          <w:tcPr>
            <w:tcW w:w="300" w:type="dxa"/>
            <w:vAlign w:val="bottom"/>
          </w:tcPr>
          <w:p>
            <w:pPr>
              <w:jc w:val="right"/>
              <w:spacing w:after="0"/>
              <w:rPr>
                <w:sz w:val="20"/>
                <w:szCs w:val="20"/>
                <w:color w:val="auto"/>
              </w:rPr>
            </w:pPr>
            <w:r>
              <w:rPr>
                <w:rFonts w:ascii="Arial" w:cs="Arial" w:eastAsia="Arial" w:hAnsi="Arial"/>
                <w:sz w:val="15"/>
                <w:szCs w:val="15"/>
                <w:color w:val="auto"/>
              </w:rPr>
              <w:t>- 12</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w:t>
            </w:r>
          </w:p>
        </w:tc>
        <w:tc>
          <w:tcPr>
            <w:tcW w:w="300" w:type="dxa"/>
            <w:vAlign w:val="bottom"/>
          </w:tcPr>
          <w:p>
            <w:pPr>
              <w:jc w:val="right"/>
              <w:spacing w:after="0"/>
              <w:rPr>
                <w:sz w:val="20"/>
                <w:szCs w:val="20"/>
                <w:color w:val="auto"/>
              </w:rPr>
            </w:pPr>
            <w:r>
              <w:rPr>
                <w:rFonts w:ascii="Arial" w:cs="Arial" w:eastAsia="Arial" w:hAnsi="Arial"/>
                <w:sz w:val="15"/>
                <w:szCs w:val="15"/>
                <w:color w:val="auto"/>
              </w:rPr>
              <w:t>- 17</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2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17</w:t>
            </w:r>
          </w:p>
        </w:tc>
        <w:tc>
          <w:tcPr>
            <w:tcW w:w="140" w:type="dxa"/>
            <w:vAlign w:val="bottom"/>
          </w:tcPr>
          <w:p>
            <w:pPr>
              <w:spacing w:after="0"/>
              <w:rPr>
                <w:sz w:val="15"/>
                <w:szCs w:val="15"/>
                <w:color w:val="auto"/>
              </w:rPr>
            </w:pPr>
          </w:p>
        </w:tc>
      </w:tr>
      <w:tr>
        <w:trPr>
          <w:trHeight w:val="178"/>
        </w:trPr>
        <w:tc>
          <w:tcPr>
            <w:tcW w:w="4220" w:type="dxa"/>
            <w:vAlign w:val="bottom"/>
            <w:shd w:val="clear" w:color="auto" w:fill="CFF0FC"/>
          </w:tcPr>
          <w:p>
            <w:pPr>
              <w:spacing w:after="0"/>
              <w:rPr>
                <w:sz w:val="20"/>
                <w:szCs w:val="20"/>
                <w:color w:val="auto"/>
              </w:rPr>
            </w:pPr>
            <w:r>
              <w:rPr>
                <w:rFonts w:ascii="Arial" w:cs="Arial" w:eastAsia="Arial" w:hAnsi="Arial"/>
                <w:sz w:val="15"/>
                <w:szCs w:val="15"/>
                <w:color w:val="auto"/>
              </w:rPr>
              <w:t>Private debt</w:t>
            </w: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2 - 8</w:t>
            </w:r>
          </w:p>
        </w:tc>
        <w:tc>
          <w:tcPr>
            <w:tcW w:w="36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w:t>
            </w:r>
          </w:p>
        </w:tc>
        <w:tc>
          <w:tcPr>
            <w:tcW w:w="28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- 10</w:t>
            </w:r>
          </w:p>
        </w:tc>
        <w:tc>
          <w:tcPr>
            <w:tcW w:w="34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8</w:t>
            </w:r>
          </w:p>
        </w:tc>
        <w:tc>
          <w:tcPr>
            <w:tcW w:w="28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5"/>
                <w:szCs w:val="15"/>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0"/>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5"/>
                <w:szCs w:val="15"/>
                <w:color w:val="auto"/>
              </w:rPr>
              <w:t>100</w:t>
            </w:r>
          </w:p>
        </w:tc>
        <w:tc>
          <w:tcPr>
            <w:tcW w:w="360" w:type="dxa"/>
            <w:vAlign w:val="bottom"/>
          </w:tcPr>
          <w:p>
            <w:pPr>
              <w:jc w:val="right"/>
              <w:ind w:right="44"/>
              <w:spacing w:after="0" w:line="158"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100</w:t>
            </w:r>
          </w:p>
        </w:tc>
        <w:tc>
          <w:tcPr>
            <w:tcW w:w="280" w:type="dxa"/>
            <w:vAlign w:val="bottom"/>
          </w:tcPr>
          <w:p>
            <w:pPr>
              <w:jc w:val="right"/>
              <w:ind w:right="24"/>
              <w:spacing w:after="0" w:line="158" w:lineRule="exact"/>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line="158" w:lineRule="exact"/>
              <w:rPr>
                <w:sz w:val="20"/>
                <w:szCs w:val="20"/>
                <w:color w:val="auto"/>
              </w:rPr>
            </w:pPr>
            <w:r>
              <w:rPr>
                <w:rFonts w:ascii="Arial" w:cs="Arial" w:eastAsia="Arial" w:hAnsi="Arial"/>
                <w:sz w:val="15"/>
                <w:szCs w:val="15"/>
                <w:color w:val="auto"/>
              </w:rPr>
              <w:t>100</w:t>
            </w:r>
          </w:p>
        </w:tc>
        <w:tc>
          <w:tcPr>
            <w:tcW w:w="280" w:type="dxa"/>
            <w:vAlign w:val="bottom"/>
          </w:tcPr>
          <w:p>
            <w:pPr>
              <w:jc w:val="right"/>
              <w:ind w:right="24"/>
              <w:spacing w:after="0" w:line="158" w:lineRule="exact"/>
              <w:rPr>
                <w:sz w:val="20"/>
                <w:szCs w:val="20"/>
                <w:color w:val="auto"/>
              </w:rPr>
            </w:pPr>
            <w:r>
              <w:rPr>
                <w:rFonts w:ascii="Arial" w:cs="Arial" w:eastAsia="Arial" w:hAnsi="Arial"/>
                <w:sz w:val="15"/>
                <w:szCs w:val="15"/>
                <w:color w:val="auto"/>
              </w:rPr>
              <w:t>%</w:t>
            </w:r>
          </w:p>
        </w:tc>
        <w:tc>
          <w:tcPr>
            <w:tcW w:w="520" w:type="dxa"/>
            <w:vAlign w:val="bottom"/>
          </w:tcPr>
          <w:p>
            <w:pPr>
              <w:spacing w:after="0"/>
              <w:rPr>
                <w:sz w:val="14"/>
                <w:szCs w:val="14"/>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5"/>
                <w:szCs w:val="15"/>
                <w:color w:val="auto"/>
              </w:rPr>
              <w:t>100</w:t>
            </w:r>
          </w:p>
        </w:tc>
        <w:tc>
          <w:tcPr>
            <w:tcW w:w="340" w:type="dxa"/>
            <w:vAlign w:val="bottom"/>
          </w:tcPr>
          <w:p>
            <w:pPr>
              <w:jc w:val="right"/>
              <w:ind w:right="24"/>
              <w:spacing w:after="0" w:line="158"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100</w:t>
            </w:r>
          </w:p>
        </w:tc>
        <w:tc>
          <w:tcPr>
            <w:tcW w:w="280" w:type="dxa"/>
            <w:vAlign w:val="bottom"/>
          </w:tcPr>
          <w:p>
            <w:pPr>
              <w:jc w:val="right"/>
              <w:ind w:right="24"/>
              <w:spacing w:after="0" w:line="158" w:lineRule="exact"/>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24"/>
              <w:spacing w:after="0" w:line="158" w:lineRule="exact"/>
              <w:rPr>
                <w:sz w:val="20"/>
                <w:szCs w:val="20"/>
                <w:color w:val="auto"/>
              </w:rPr>
            </w:pPr>
            <w:r>
              <w:rPr>
                <w:rFonts w:ascii="Arial" w:cs="Arial" w:eastAsia="Arial" w:hAnsi="Arial"/>
                <w:sz w:val="15"/>
                <w:szCs w:val="15"/>
                <w:color w:val="auto"/>
              </w:rPr>
              <w:t>100</w:t>
            </w:r>
          </w:p>
        </w:tc>
        <w:tc>
          <w:tcPr>
            <w:tcW w:w="140" w:type="dxa"/>
            <w:vAlign w:val="bottom"/>
          </w:tcPr>
          <w:p>
            <w:pPr>
              <w:jc w:val="right"/>
              <w:spacing w:after="0" w:line="158" w:lineRule="exact"/>
              <w:rPr>
                <w:sz w:val="20"/>
                <w:szCs w:val="20"/>
                <w:color w:val="auto"/>
              </w:rPr>
            </w:pPr>
            <w:r>
              <w:rPr>
                <w:rFonts w:ascii="Arial" w:cs="Arial" w:eastAsia="Arial" w:hAnsi="Arial"/>
                <w:sz w:val="15"/>
                <w:szCs w:val="15"/>
                <w:color w:val="auto"/>
                <w:w w:val="89"/>
              </w:rPr>
              <w:t>%</w:t>
            </w:r>
          </w:p>
        </w:tc>
      </w:tr>
      <w:tr>
        <w:trPr>
          <w:trHeight w:val="20"/>
        </w:trPr>
        <w:tc>
          <w:tcPr>
            <w:tcW w:w="4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-144145</wp:posOffset>
            </wp:positionV>
            <wp:extent cx="723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-144145</wp:posOffset>
            </wp:positionV>
            <wp:extent cx="647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-144145</wp:posOffset>
            </wp:positionV>
            <wp:extent cx="647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-144145</wp:posOffset>
            </wp:positionV>
            <wp:extent cx="647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-144145</wp:posOffset>
            </wp:positionV>
            <wp:extent cx="647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-144145</wp:posOffset>
            </wp:positionV>
            <wp:extent cx="647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expected rate of return on assets assumptions reflect the long-term average rate of return expected to be earned on plan assets.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fair value of SLB’s pension plan assets at December 31, 2025 and 2024, by asset category, is presented below and was determined based on valuation techniques categorized as follows:</w:t>
      </w:r>
    </w:p>
    <w:p>
      <w:pPr>
        <w:spacing w:after="0" w:line="47" w:lineRule="exact"/>
        <w:rPr>
          <w:sz w:val="20"/>
          <w:szCs w:val="20"/>
          <w:color w:val="auto"/>
        </w:rPr>
      </w:pPr>
    </w:p>
    <w:p>
      <w:pPr>
        <w:ind w:left="760" w:hanging="384"/>
        <w:spacing w:after="0"/>
        <w:tabs>
          <w:tab w:leader="none" w:pos="76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Level One: The use of quoted prices in active markets for identical instruments.</w:t>
      </w:r>
    </w:p>
    <w:p>
      <w:pPr>
        <w:spacing w:after="0" w:line="26" w:lineRule="exact"/>
        <w:rPr>
          <w:rFonts w:ascii="Times New Roman" w:cs="Times New Roman" w:eastAsia="Times New Roman" w:hAnsi="Times New Roman"/>
          <w:sz w:val="15"/>
          <w:szCs w:val="15"/>
          <w:color w:val="auto"/>
        </w:rPr>
      </w:pPr>
    </w:p>
    <w:p>
      <w:pPr>
        <w:ind w:left="760" w:hanging="384"/>
        <w:spacing w:after="0" w:line="249" w:lineRule="auto"/>
        <w:tabs>
          <w:tab w:leader="none" w:pos="76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1" w:lineRule="exact"/>
        <w:rPr>
          <w:rFonts w:ascii="Times New Roman" w:cs="Times New Roman" w:eastAsia="Times New Roman" w:hAnsi="Times New Roman"/>
          <w:sz w:val="15"/>
          <w:szCs w:val="15"/>
          <w:color w:val="auto"/>
        </w:rPr>
      </w:pPr>
    </w:p>
    <w:p>
      <w:pPr>
        <w:ind w:left="760" w:hanging="384"/>
        <w:spacing w:after="0" w:line="264" w:lineRule="auto"/>
        <w:tabs>
          <w:tab w:leader="none" w:pos="76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Level Three: The use of significant unobservable inputs that typically require the use of management’s estimates of assumptions that market participants would use in pricing.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5"/>
                <w:szCs w:val="15"/>
                <w:color w:val="auto"/>
              </w:rPr>
              <w:t>US Plan Assets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3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520"/>
              <w:spacing w:after="0" w:line="171" w:lineRule="exact"/>
              <w:rPr>
                <w:sz w:val="20"/>
                <w:szCs w:val="20"/>
                <w:color w:val="auto"/>
              </w:rPr>
            </w:pPr>
            <w:r>
              <w:rPr>
                <w:rFonts w:ascii="Arial" w:cs="Arial" w:eastAsia="Arial" w:hAnsi="Arial"/>
                <w:sz w:val="15"/>
                <w:szCs w:val="15"/>
                <w:b w:val="1"/>
                <w:bCs w:val="1"/>
                <w:color w:val="auto"/>
              </w:rPr>
              <w:t>2025</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560"/>
              <w:spacing w:after="0" w:line="171" w:lineRule="exact"/>
              <w:rPr>
                <w:sz w:val="20"/>
                <w:szCs w:val="20"/>
                <w:color w:val="auto"/>
              </w:rPr>
            </w:pPr>
            <w:r>
              <w:rPr>
                <w:rFonts w:ascii="Arial" w:cs="Arial" w:eastAsia="Arial" w:hAnsi="Arial"/>
                <w:sz w:val="15"/>
                <w:szCs w:val="15"/>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5"/>
                <w:szCs w:val="15"/>
                <w:color w:val="auto"/>
              </w:rPr>
              <w:t>Level</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line="159" w:lineRule="exact"/>
              <w:rPr>
                <w:sz w:val="20"/>
                <w:szCs w:val="20"/>
                <w:color w:val="auto"/>
              </w:rPr>
            </w:pPr>
            <w:r>
              <w:rPr>
                <w:rFonts w:ascii="Arial" w:cs="Arial" w:eastAsia="Arial" w:hAnsi="Arial"/>
                <w:sz w:val="15"/>
                <w:szCs w:val="15"/>
                <w:color w:val="auto"/>
              </w:rPr>
              <w:t>Level</w:t>
            </w:r>
          </w:p>
        </w:tc>
        <w:tc>
          <w:tcPr>
            <w:tcW w:w="120" w:type="dxa"/>
            <w:vAlign w:val="bottom"/>
          </w:tcPr>
          <w:p>
            <w:pPr>
              <w:spacing w:after="0"/>
              <w:rPr>
                <w:sz w:val="13"/>
                <w:szCs w:val="13"/>
                <w:color w:val="auto"/>
              </w:rPr>
            </w:pPr>
          </w:p>
        </w:tc>
        <w:tc>
          <w:tcPr>
            <w:tcW w:w="600" w:type="dxa"/>
            <w:vAlign w:val="bottom"/>
          </w:tcPr>
          <w:p>
            <w:pPr>
              <w:ind w:left="60"/>
              <w:spacing w:after="0" w:line="159" w:lineRule="exact"/>
              <w:rPr>
                <w:sz w:val="20"/>
                <w:szCs w:val="20"/>
                <w:color w:val="auto"/>
              </w:rPr>
            </w:pPr>
            <w:r>
              <w:rPr>
                <w:rFonts w:ascii="Arial" w:cs="Arial" w:eastAsia="Arial" w:hAnsi="Arial"/>
                <w:sz w:val="15"/>
                <w:szCs w:val="15"/>
                <w:color w:val="auto"/>
              </w:rPr>
              <w:t>Level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40"/>
              <w:spacing w:after="0" w:line="159" w:lineRule="exact"/>
              <w:rPr>
                <w:sz w:val="20"/>
                <w:szCs w:val="20"/>
                <w:color w:val="auto"/>
              </w:rPr>
            </w:pPr>
            <w:r>
              <w:rPr>
                <w:rFonts w:ascii="Arial" w:cs="Arial" w:eastAsia="Arial" w:hAnsi="Arial"/>
                <w:sz w:val="15"/>
                <w:szCs w:val="15"/>
                <w:color w:val="auto"/>
              </w:rPr>
              <w:t>Level</w:t>
            </w:r>
          </w:p>
        </w:tc>
        <w:tc>
          <w:tcPr>
            <w:tcW w:w="140" w:type="dxa"/>
            <w:vAlign w:val="bottom"/>
          </w:tcPr>
          <w:p>
            <w:pPr>
              <w:spacing w:after="0"/>
              <w:rPr>
                <w:sz w:val="13"/>
                <w:szCs w:val="13"/>
                <w:color w:val="auto"/>
              </w:rPr>
            </w:pPr>
          </w:p>
        </w:tc>
        <w:tc>
          <w:tcPr>
            <w:tcW w:w="680" w:type="dxa"/>
            <w:vAlign w:val="bottom"/>
            <w:gridSpan w:val="2"/>
          </w:tcPr>
          <w:p>
            <w:pPr>
              <w:jc w:val="center"/>
              <w:ind w:right="240"/>
              <w:spacing w:after="0" w:line="159" w:lineRule="exact"/>
              <w:rPr>
                <w:sz w:val="20"/>
                <w:szCs w:val="20"/>
                <w:color w:val="auto"/>
              </w:rPr>
            </w:pPr>
            <w:r>
              <w:rPr>
                <w:rFonts w:ascii="Arial" w:cs="Arial" w:eastAsia="Arial" w:hAnsi="Arial"/>
                <w:sz w:val="15"/>
                <w:szCs w:val="15"/>
                <w:color w:val="auto"/>
              </w:rPr>
              <w:t>Level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24"/>
              <w:spacing w:after="0" w:line="159" w:lineRule="exact"/>
              <w:rPr>
                <w:sz w:val="20"/>
                <w:szCs w:val="20"/>
                <w:color w:val="auto"/>
              </w:rPr>
            </w:pPr>
            <w:r>
              <w:rPr>
                <w:rFonts w:ascii="Arial" w:cs="Arial" w:eastAsia="Arial" w:hAnsi="Arial"/>
                <w:sz w:val="15"/>
                <w:szCs w:val="15"/>
                <w:color w:val="auto"/>
              </w:rPr>
              <w:t>Level</w:t>
            </w:r>
          </w:p>
        </w:tc>
        <w:tc>
          <w:tcPr>
            <w:tcW w:w="100" w:type="dxa"/>
            <w:vAlign w:val="bottom"/>
          </w:tcPr>
          <w:p>
            <w:pPr>
              <w:spacing w:after="0"/>
              <w:rPr>
                <w:sz w:val="13"/>
                <w:szCs w:val="13"/>
                <w:color w:val="auto"/>
              </w:rPr>
            </w:pPr>
          </w:p>
        </w:tc>
      </w:tr>
      <w:tr>
        <w:trPr>
          <w:trHeight w:val="190"/>
        </w:trPr>
        <w:tc>
          <w:tcPr>
            <w:tcW w:w="3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One</w:t>
            </w:r>
          </w:p>
        </w:tc>
        <w:tc>
          <w:tcPr>
            <w:tcW w:w="120" w:type="dxa"/>
            <w:vAlign w:val="bottom"/>
          </w:tcPr>
          <w:p>
            <w:pPr>
              <w:spacing w:after="0"/>
              <w:rPr>
                <w:sz w:val="16"/>
                <w:szCs w:val="16"/>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5"/>
                <w:szCs w:val="15"/>
                <w:color w:val="auto"/>
              </w:rPr>
              <w:t>Two</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Three</w:t>
            </w:r>
          </w:p>
        </w:tc>
        <w:tc>
          <w:tcPr>
            <w:tcW w:w="14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5"/>
                <w:szCs w:val="15"/>
                <w:color w:val="auto"/>
              </w:rPr>
              <w:t>One</w:t>
            </w:r>
          </w:p>
        </w:tc>
        <w:tc>
          <w:tcPr>
            <w:tcW w:w="140" w:type="dxa"/>
            <w:vAlign w:val="bottom"/>
          </w:tcPr>
          <w:p>
            <w:pPr>
              <w:spacing w:after="0"/>
              <w:rPr>
                <w:sz w:val="16"/>
                <w:szCs w:val="16"/>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5"/>
                <w:szCs w:val="15"/>
                <w:color w:val="auto"/>
              </w:rPr>
              <w:t>Two</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Three</w:t>
            </w:r>
          </w:p>
        </w:tc>
      </w:tr>
      <w:tr>
        <w:trPr>
          <w:trHeight w:val="170"/>
        </w:trPr>
        <w:tc>
          <w:tcPr>
            <w:tcW w:w="3340" w:type="dxa"/>
            <w:vAlign w:val="bottom"/>
            <w:shd w:val="clear" w:color="auto" w:fill="CFF0FC"/>
          </w:tcPr>
          <w:p>
            <w:pPr>
              <w:spacing w:after="0" w:line="171" w:lineRule="exact"/>
              <w:rPr>
                <w:sz w:val="20"/>
                <w:szCs w:val="20"/>
                <w:color w:val="auto"/>
              </w:rPr>
            </w:pPr>
            <w:r>
              <w:rPr>
                <w:rFonts w:ascii="Arial" w:cs="Arial" w:eastAsia="Arial" w:hAnsi="Arial"/>
                <w:sz w:val="15"/>
                <w:szCs w:val="15"/>
                <w:b w:val="1"/>
                <w:bCs w:val="1"/>
                <w:color w:val="auto"/>
              </w:rPr>
              <w:t>Asset Category:</w:t>
            </w:r>
          </w:p>
        </w:tc>
        <w:tc>
          <w:tcPr>
            <w:tcW w:w="5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3340" w:type="dxa"/>
            <w:vAlign w:val="bottom"/>
          </w:tcPr>
          <w:p>
            <w:pPr>
              <w:spacing w:after="0"/>
              <w:rPr>
                <w:sz w:val="20"/>
                <w:szCs w:val="20"/>
                <w:color w:val="auto"/>
              </w:rPr>
            </w:pPr>
            <w:r>
              <w:rPr>
                <w:rFonts w:ascii="Arial" w:cs="Arial" w:eastAsia="Arial" w:hAnsi="Arial"/>
                <w:sz w:val="15"/>
                <w:szCs w:val="15"/>
                <w:b w:val="1"/>
                <w:bCs w:val="1"/>
                <w:color w:val="auto"/>
              </w:rPr>
              <w:t>Cash and Cash Equivalents</w:t>
            </w:r>
          </w:p>
        </w:tc>
        <w:tc>
          <w:tcPr>
            <w:tcW w:w="7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31</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31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33</w:t>
            </w: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33</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8"/>
        </w:trPr>
        <w:tc>
          <w:tcPr>
            <w:tcW w:w="33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Equity Securities</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92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r>
      <w:tr>
        <w:trPr>
          <w:trHeight w:val="178"/>
        </w:trPr>
        <w:tc>
          <w:tcPr>
            <w:tcW w:w="3340" w:type="dxa"/>
            <w:vAlign w:val="bottom"/>
          </w:tcPr>
          <w:p>
            <w:pPr>
              <w:spacing w:after="0"/>
              <w:rPr>
                <w:sz w:val="20"/>
                <w:szCs w:val="20"/>
                <w:color w:val="auto"/>
              </w:rPr>
            </w:pPr>
            <w:r>
              <w:rPr>
                <w:rFonts w:ascii="Arial" w:cs="Arial" w:eastAsia="Arial" w:hAnsi="Arial"/>
                <w:sz w:val="15"/>
                <w:szCs w:val="15"/>
                <w:b w:val="1"/>
                <w:bCs w:val="1"/>
                <w:color w:val="auto"/>
              </w:rPr>
              <w:t>Debt Securities: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3340" w:type="dxa"/>
            <w:vAlign w:val="bottom"/>
            <w:shd w:val="clear" w:color="auto" w:fill="CFF0FC"/>
          </w:tcPr>
          <w:p>
            <w:pPr>
              <w:ind w:left="80"/>
              <w:spacing w:after="0"/>
              <w:rPr>
                <w:sz w:val="20"/>
                <w:szCs w:val="20"/>
                <w:color w:val="auto"/>
              </w:rPr>
            </w:pPr>
            <w:r>
              <w:rPr>
                <w:rFonts w:ascii="Arial" w:cs="Arial" w:eastAsia="Arial" w:hAnsi="Arial"/>
                <w:sz w:val="15"/>
                <w:szCs w:val="15"/>
                <w:color w:val="auto"/>
              </w:rPr>
              <w:t>Corporate bonds</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b w:val="1"/>
                <w:bCs w:val="1"/>
                <w:color w:val="auto"/>
              </w:rPr>
              <w:t>1,931</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b w:val="1"/>
                <w:bCs w:val="1"/>
                <w:color w:val="auto"/>
              </w:rPr>
              <w:t>1,931</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1,713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1,713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r>
      <w:tr>
        <w:trPr>
          <w:trHeight w:val="178"/>
        </w:trPr>
        <w:tc>
          <w:tcPr>
            <w:tcW w:w="3340" w:type="dxa"/>
            <w:vAlign w:val="bottom"/>
          </w:tcPr>
          <w:p>
            <w:pPr>
              <w:ind w:left="80"/>
              <w:spacing w:after="0"/>
              <w:rPr>
                <w:sz w:val="20"/>
                <w:szCs w:val="20"/>
                <w:color w:val="auto"/>
              </w:rPr>
            </w:pPr>
            <w:r>
              <w:rPr>
                <w:rFonts w:ascii="Arial" w:cs="Arial" w:eastAsia="Arial" w:hAnsi="Arial"/>
                <w:sz w:val="15"/>
                <w:szCs w:val="15"/>
                <w:color w:val="auto"/>
              </w:rPr>
              <w:t>Government and related debt securities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707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679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861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848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8"/>
        </w:trPr>
        <w:tc>
          <w:tcPr>
            <w:tcW w:w="3340" w:type="dxa"/>
            <w:vAlign w:val="bottom"/>
            <w:shd w:val="clear" w:color="auto" w:fill="CFF0FC"/>
          </w:tcPr>
          <w:p>
            <w:pPr>
              <w:ind w:left="80"/>
              <w:spacing w:after="0"/>
              <w:rPr>
                <w:sz w:val="20"/>
                <w:szCs w:val="20"/>
                <w:color w:val="auto"/>
              </w:rPr>
            </w:pPr>
            <w:r>
              <w:rPr>
                <w:rFonts w:ascii="Arial" w:cs="Arial" w:eastAsia="Arial" w:hAnsi="Arial"/>
                <w:sz w:val="15"/>
                <w:szCs w:val="15"/>
                <w:color w:val="auto"/>
              </w:rPr>
              <w:t>Other</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r>
      <w:tr>
        <w:trPr>
          <w:trHeight w:val="178"/>
        </w:trPr>
        <w:tc>
          <w:tcPr>
            <w:tcW w:w="3340" w:type="dxa"/>
            <w:vAlign w:val="bottom"/>
          </w:tcPr>
          <w:p>
            <w:pPr>
              <w:spacing w:after="0"/>
              <w:rPr>
                <w:sz w:val="20"/>
                <w:szCs w:val="20"/>
                <w:color w:val="auto"/>
              </w:rPr>
            </w:pPr>
            <w:r>
              <w:rPr>
                <w:rFonts w:ascii="Arial" w:cs="Arial" w:eastAsia="Arial" w:hAnsi="Arial"/>
                <w:sz w:val="15"/>
                <w:szCs w:val="15"/>
                <w:b w:val="1"/>
                <w:bCs w:val="1"/>
                <w:color w:val="auto"/>
              </w:rPr>
              <w:t>Alternative Investments: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3340" w:type="dxa"/>
            <w:vAlign w:val="bottom"/>
            <w:shd w:val="clear" w:color="auto" w:fill="CFF0FC"/>
          </w:tcPr>
          <w:p>
            <w:pPr>
              <w:ind w:left="80"/>
              <w:spacing w:after="0"/>
              <w:rPr>
                <w:sz w:val="20"/>
                <w:szCs w:val="20"/>
                <w:color w:val="auto"/>
              </w:rPr>
            </w:pPr>
            <w:r>
              <w:rPr>
                <w:rFonts w:ascii="Arial" w:cs="Arial" w:eastAsia="Arial" w:hAnsi="Arial"/>
                <w:sz w:val="15"/>
                <w:szCs w:val="15"/>
                <w:color w:val="auto"/>
              </w:rPr>
              <w:t>Private equity</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210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210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234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234</w:t>
            </w:r>
          </w:p>
        </w:tc>
      </w:tr>
      <w:tr>
        <w:trPr>
          <w:trHeight w:val="178"/>
        </w:trPr>
        <w:tc>
          <w:tcPr>
            <w:tcW w:w="3340" w:type="dxa"/>
            <w:vAlign w:val="bottom"/>
          </w:tcPr>
          <w:p>
            <w:pPr>
              <w:ind w:left="80"/>
              <w:spacing w:after="0"/>
              <w:rPr>
                <w:sz w:val="20"/>
                <w:szCs w:val="20"/>
                <w:color w:val="auto"/>
              </w:rPr>
            </w:pPr>
            <w:r>
              <w:rPr>
                <w:rFonts w:ascii="Arial" w:cs="Arial" w:eastAsia="Arial" w:hAnsi="Arial"/>
                <w:sz w:val="15"/>
                <w:szCs w:val="15"/>
                <w:color w:val="auto"/>
              </w:rPr>
              <w:t>Private debt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181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181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186</w:t>
            </w:r>
          </w:p>
        </w:tc>
      </w:tr>
      <w:tr>
        <w:trPr>
          <w:trHeight w:val="178"/>
        </w:trPr>
        <w:tc>
          <w:tcPr>
            <w:tcW w:w="3340" w:type="dxa"/>
            <w:vAlign w:val="bottom"/>
            <w:shd w:val="clear" w:color="auto" w:fill="CFF0FC"/>
          </w:tcPr>
          <w:p>
            <w:pPr>
              <w:ind w:left="80"/>
              <w:spacing w:after="0"/>
              <w:rPr>
                <w:sz w:val="20"/>
                <w:szCs w:val="20"/>
                <w:color w:val="auto"/>
              </w:rPr>
            </w:pPr>
            <w:r>
              <w:rPr>
                <w:rFonts w:ascii="Arial" w:cs="Arial" w:eastAsia="Arial" w:hAnsi="Arial"/>
                <w:sz w:val="15"/>
                <w:szCs w:val="15"/>
                <w:color w:val="auto"/>
              </w:rPr>
              <w:t>Real estate</w:t>
            </w:r>
          </w:p>
        </w:tc>
        <w:tc>
          <w:tcPr>
            <w:tcW w:w="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63</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65</w:t>
            </w:r>
          </w:p>
        </w:tc>
      </w:tr>
      <w:tr>
        <w:trPr>
          <w:trHeight w:val="20"/>
        </w:trPr>
        <w:tc>
          <w:tcPr>
            <w:tcW w:w="33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0"/>
        </w:trPr>
        <w:tc>
          <w:tcPr>
            <w:tcW w:w="3340" w:type="dxa"/>
            <w:vAlign w:val="bottom"/>
          </w:tcPr>
          <w:p>
            <w:pPr>
              <w:spacing w:after="0" w:line="158" w:lineRule="exact"/>
              <w:rPr>
                <w:sz w:val="20"/>
                <w:szCs w:val="20"/>
                <w:color w:val="auto"/>
              </w:rPr>
            </w:pPr>
            <w:r>
              <w:rPr>
                <w:rFonts w:ascii="Arial" w:cs="Arial" w:eastAsia="Arial" w:hAnsi="Arial"/>
                <w:sz w:val="15"/>
                <w:szCs w:val="15"/>
                <w:color w:val="auto"/>
              </w:rPr>
              <w:t>Total</w:t>
            </w:r>
          </w:p>
        </w:tc>
        <w:tc>
          <w:tcPr>
            <w:tcW w:w="580" w:type="dxa"/>
            <w:vAlign w:val="bottom"/>
          </w:tcPr>
          <w:p>
            <w:pPr>
              <w:spacing w:after="0"/>
              <w:rPr>
                <w:sz w:val="14"/>
                <w:szCs w:val="14"/>
                <w:color w:val="auto"/>
              </w:rPr>
            </w:pPr>
          </w:p>
        </w:tc>
        <w:tc>
          <w:tcPr>
            <w:tcW w:w="140" w:type="dxa"/>
            <w:vAlign w:val="bottom"/>
          </w:tcPr>
          <w:p>
            <w:pPr>
              <w:jc w:val="right"/>
              <w:spacing w:after="0" w:line="158" w:lineRule="exact"/>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3,229</w:t>
            </w:r>
          </w:p>
        </w:tc>
        <w:tc>
          <w:tcPr>
            <w:tcW w:w="200" w:type="dxa"/>
            <w:vAlign w:val="bottom"/>
          </w:tcPr>
          <w:p>
            <w:pPr>
              <w:spacing w:after="0"/>
              <w:rPr>
                <w:sz w:val="14"/>
                <w:szCs w:val="14"/>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132</w:t>
            </w:r>
          </w:p>
        </w:tc>
        <w:tc>
          <w:tcPr>
            <w:tcW w:w="220" w:type="dxa"/>
            <w:vAlign w:val="bottom"/>
          </w:tcPr>
          <w:p>
            <w:pPr>
              <w:spacing w:after="0"/>
              <w:rPr>
                <w:sz w:val="14"/>
                <w:szCs w:val="14"/>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200"/>
              <w:spacing w:after="0" w:line="158" w:lineRule="exact"/>
              <w:rPr>
                <w:sz w:val="20"/>
                <w:szCs w:val="20"/>
                <w:color w:val="auto"/>
              </w:rPr>
            </w:pPr>
            <w:r>
              <w:rPr>
                <w:rFonts w:ascii="Arial" w:cs="Arial" w:eastAsia="Arial" w:hAnsi="Arial"/>
                <w:sz w:val="15"/>
                <w:szCs w:val="15"/>
                <w:b w:val="1"/>
                <w:bCs w:val="1"/>
                <w:color w:val="auto"/>
              </w:rPr>
              <w:t>2,643</w:t>
            </w:r>
          </w:p>
        </w:tc>
        <w:tc>
          <w:tcPr>
            <w:tcW w:w="120" w:type="dxa"/>
            <w:vAlign w:val="bottom"/>
          </w:tcPr>
          <w:p>
            <w:pPr>
              <w:jc w:val="right"/>
              <w:spacing w:after="0" w:line="158" w:lineRule="exact"/>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454</w:t>
            </w:r>
          </w:p>
        </w:tc>
        <w:tc>
          <w:tcPr>
            <w:tcW w:w="200" w:type="dxa"/>
            <w:vAlign w:val="bottom"/>
          </w:tcPr>
          <w:p>
            <w:pPr>
              <w:spacing w:after="0"/>
              <w:rPr>
                <w:sz w:val="14"/>
                <w:szCs w:val="14"/>
                <w:color w:val="auto"/>
              </w:rPr>
            </w:pPr>
          </w:p>
        </w:tc>
        <w:tc>
          <w:tcPr>
            <w:tcW w:w="140" w:type="dxa"/>
            <w:vAlign w:val="bottom"/>
          </w:tcPr>
          <w:p>
            <w:pPr>
              <w:jc w:val="right"/>
              <w:spacing w:after="0" w:line="158"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3,175</w:t>
            </w:r>
          </w:p>
        </w:tc>
        <w:tc>
          <w:tcPr>
            <w:tcW w:w="24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104</w:t>
            </w:r>
          </w:p>
        </w:tc>
        <w:tc>
          <w:tcPr>
            <w:tcW w:w="220" w:type="dxa"/>
            <w:vAlign w:val="bottom"/>
          </w:tcPr>
          <w:p>
            <w:pPr>
              <w:spacing w:after="0"/>
              <w:rPr>
                <w:sz w:val="14"/>
                <w:szCs w:val="14"/>
                <w:color w:val="auto"/>
              </w:rPr>
            </w:pPr>
          </w:p>
        </w:tc>
        <w:tc>
          <w:tcPr>
            <w:tcW w:w="140" w:type="dxa"/>
            <w:vAlign w:val="bottom"/>
          </w:tcPr>
          <w:p>
            <w:pPr>
              <w:jc w:val="right"/>
              <w:spacing w:after="0" w:line="158"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2,586</w:t>
            </w:r>
          </w:p>
        </w:tc>
        <w:tc>
          <w:tcPr>
            <w:tcW w:w="24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485</w:t>
            </w:r>
          </w:p>
        </w:tc>
      </w:tr>
      <w:tr>
        <w:trPr>
          <w:trHeight w:val="20"/>
        </w:trPr>
        <w:tc>
          <w:tcPr>
            <w:tcW w:w="3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2"/>
        </w:trPr>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ind w:left="580"/>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6"/>
        </w:trPr>
        <w:tc>
          <w:tcPr>
            <w:tcW w:w="3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-982345</wp:posOffset>
            </wp:positionV>
            <wp:extent cx="647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-982345</wp:posOffset>
            </wp:positionV>
            <wp:extent cx="647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-982345</wp:posOffset>
            </wp:positionV>
            <wp:extent cx="647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-982345</wp:posOffset>
            </wp:positionV>
            <wp:extent cx="647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-982345</wp:posOffset>
            </wp:positionV>
            <wp:extent cx="647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-982345</wp:posOffset>
            </wp:positionV>
            <wp:extent cx="647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-982345</wp:posOffset>
            </wp:positionV>
            <wp:extent cx="647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-982345</wp:posOffset>
            </wp:positionV>
            <wp:extent cx="647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ind w:left="460"/>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3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color w:val="auto"/>
              </w:rPr>
              <w:t>International Plan Assets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60"/>
              <w:spacing w:after="0" w:line="171" w:lineRule="exact"/>
              <w:rPr>
                <w:sz w:val="20"/>
                <w:szCs w:val="20"/>
                <w:color w:val="auto"/>
              </w:rPr>
            </w:pPr>
            <w:r>
              <w:rPr>
                <w:rFonts w:ascii="Arial" w:cs="Arial" w:eastAsia="Arial" w:hAnsi="Arial"/>
                <w:sz w:val="15"/>
                <w:szCs w:val="15"/>
                <w:b w:val="1"/>
                <w:bCs w:val="1"/>
                <w:color w:val="auto"/>
              </w:rPr>
              <w:t>2025</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0"/>
              <w:spacing w:after="0" w:line="171" w:lineRule="exact"/>
              <w:rPr>
                <w:sz w:val="20"/>
                <w:szCs w:val="20"/>
                <w:color w:val="auto"/>
              </w:rPr>
            </w:pPr>
            <w:r>
              <w:rPr>
                <w:rFonts w:ascii="Arial" w:cs="Arial" w:eastAsia="Arial" w:hAnsi="Arial"/>
                <w:sz w:val="15"/>
                <w:szCs w:val="15"/>
                <w:color w:val="auto"/>
              </w:rPr>
              <w:t>2024</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4"/>
              <w:spacing w:after="0" w:line="159" w:lineRule="exact"/>
              <w:rPr>
                <w:sz w:val="20"/>
                <w:szCs w:val="20"/>
                <w:color w:val="auto"/>
              </w:rPr>
            </w:pPr>
            <w:r>
              <w:rPr>
                <w:rFonts w:ascii="Arial" w:cs="Arial" w:eastAsia="Arial" w:hAnsi="Arial"/>
                <w:sz w:val="15"/>
                <w:szCs w:val="15"/>
                <w:color w:val="auto"/>
              </w:rPr>
              <w:t>Level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4"/>
              <w:spacing w:after="0" w:line="159" w:lineRule="exact"/>
              <w:rPr>
                <w:sz w:val="20"/>
                <w:szCs w:val="20"/>
                <w:color w:val="auto"/>
              </w:rPr>
            </w:pPr>
            <w:r>
              <w:rPr>
                <w:rFonts w:ascii="Arial" w:cs="Arial" w:eastAsia="Arial" w:hAnsi="Arial"/>
                <w:sz w:val="15"/>
                <w:szCs w:val="15"/>
                <w:color w:val="auto"/>
              </w:rPr>
              <w:t>Level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04"/>
              <w:spacing w:after="0" w:line="159" w:lineRule="exact"/>
              <w:rPr>
                <w:sz w:val="20"/>
                <w:szCs w:val="20"/>
                <w:color w:val="auto"/>
              </w:rPr>
            </w:pPr>
            <w:r>
              <w:rPr>
                <w:rFonts w:ascii="Arial" w:cs="Arial" w:eastAsia="Arial" w:hAnsi="Arial"/>
                <w:sz w:val="15"/>
                <w:szCs w:val="15"/>
                <w:color w:val="auto"/>
              </w:rPr>
              <w:t>Level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04"/>
              <w:spacing w:after="0" w:line="159" w:lineRule="exact"/>
              <w:rPr>
                <w:sz w:val="20"/>
                <w:szCs w:val="20"/>
                <w:color w:val="auto"/>
              </w:rPr>
            </w:pPr>
            <w:r>
              <w:rPr>
                <w:rFonts w:ascii="Arial" w:cs="Arial" w:eastAsia="Arial" w:hAnsi="Arial"/>
                <w:sz w:val="15"/>
                <w:szCs w:val="15"/>
                <w:color w:val="auto"/>
              </w:rPr>
              <w:t>Level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25"/>
              <w:spacing w:after="0" w:line="159" w:lineRule="exact"/>
              <w:rPr>
                <w:sz w:val="20"/>
                <w:szCs w:val="20"/>
                <w:color w:val="auto"/>
              </w:rPr>
            </w:pPr>
            <w:r>
              <w:rPr>
                <w:rFonts w:ascii="Arial" w:cs="Arial" w:eastAsia="Arial" w:hAnsi="Arial"/>
                <w:sz w:val="15"/>
                <w:szCs w:val="15"/>
                <w:color w:val="auto"/>
              </w:rPr>
              <w:t>Level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ind w:left="60"/>
              <w:spacing w:after="0" w:line="159" w:lineRule="exact"/>
              <w:rPr>
                <w:sz w:val="20"/>
                <w:szCs w:val="20"/>
                <w:color w:val="auto"/>
              </w:rPr>
            </w:pPr>
            <w:r>
              <w:rPr>
                <w:rFonts w:ascii="Arial" w:cs="Arial" w:eastAsia="Arial" w:hAnsi="Arial"/>
                <w:sz w:val="15"/>
                <w:szCs w:val="15"/>
                <w:color w:val="auto"/>
              </w:rPr>
              <w:t>Level</w:t>
            </w:r>
          </w:p>
        </w:tc>
        <w:tc>
          <w:tcPr>
            <w:tcW w:w="100" w:type="dxa"/>
            <w:vAlign w:val="bottom"/>
          </w:tcPr>
          <w:p>
            <w:pPr>
              <w:spacing w:after="0"/>
              <w:rPr>
                <w:sz w:val="13"/>
                <w:szCs w:val="13"/>
                <w:color w:val="auto"/>
              </w:rPr>
            </w:pPr>
          </w:p>
        </w:tc>
      </w:tr>
      <w:tr>
        <w:trPr>
          <w:trHeight w:val="190"/>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Arial" w:cs="Arial" w:eastAsia="Arial" w:hAnsi="Arial"/>
                <w:sz w:val="15"/>
                <w:szCs w:val="15"/>
                <w:color w:val="auto"/>
              </w:rPr>
              <w:t>One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44"/>
              <w:spacing w:after="0"/>
              <w:rPr>
                <w:sz w:val="20"/>
                <w:szCs w:val="20"/>
                <w:color w:val="auto"/>
              </w:rPr>
            </w:pPr>
            <w:r>
              <w:rPr>
                <w:rFonts w:ascii="Arial" w:cs="Arial" w:eastAsia="Arial" w:hAnsi="Arial"/>
                <w:sz w:val="15"/>
                <w:szCs w:val="15"/>
                <w:color w:val="auto"/>
              </w:rPr>
              <w:t>Two</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4"/>
              <w:spacing w:after="0"/>
              <w:rPr>
                <w:sz w:val="20"/>
                <w:szCs w:val="20"/>
                <w:color w:val="auto"/>
              </w:rPr>
            </w:pPr>
            <w:r>
              <w:rPr>
                <w:rFonts w:ascii="Arial" w:cs="Arial" w:eastAsia="Arial" w:hAnsi="Arial"/>
                <w:sz w:val="15"/>
                <w:szCs w:val="15"/>
                <w:color w:val="auto"/>
              </w:rPr>
              <w:t>Three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5"/>
                <w:szCs w:val="15"/>
                <w:color w:val="auto"/>
              </w:rPr>
              <w:t>Total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44"/>
              <w:spacing w:after="0"/>
              <w:rPr>
                <w:sz w:val="20"/>
                <w:szCs w:val="20"/>
                <w:color w:val="auto"/>
              </w:rPr>
            </w:pPr>
            <w:r>
              <w:rPr>
                <w:rFonts w:ascii="Arial" w:cs="Arial" w:eastAsia="Arial" w:hAnsi="Arial"/>
                <w:sz w:val="15"/>
                <w:szCs w:val="15"/>
                <w:color w:val="auto"/>
              </w:rPr>
              <w:t>One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45"/>
              <w:spacing w:after="0"/>
              <w:rPr>
                <w:sz w:val="20"/>
                <w:szCs w:val="20"/>
                <w:color w:val="auto"/>
              </w:rPr>
            </w:pPr>
            <w:r>
              <w:rPr>
                <w:rFonts w:ascii="Arial" w:cs="Arial" w:eastAsia="Arial" w:hAnsi="Arial"/>
                <w:sz w:val="15"/>
                <w:szCs w:val="15"/>
                <w:color w:val="auto"/>
              </w:rPr>
              <w:t>Two</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5"/>
                <w:szCs w:val="15"/>
                <w:color w:val="auto"/>
              </w:rPr>
              <w:t>Three</w:t>
            </w:r>
          </w:p>
        </w:tc>
      </w:tr>
      <w:tr>
        <w:trPr>
          <w:trHeight w:val="170"/>
        </w:trPr>
        <w:tc>
          <w:tcPr>
            <w:tcW w:w="3920" w:type="dxa"/>
            <w:vAlign w:val="bottom"/>
            <w:shd w:val="clear" w:color="auto" w:fill="CFF0FC"/>
          </w:tcPr>
          <w:p>
            <w:pPr>
              <w:spacing w:after="0" w:line="171" w:lineRule="exact"/>
              <w:rPr>
                <w:sz w:val="20"/>
                <w:szCs w:val="20"/>
                <w:color w:val="auto"/>
              </w:rPr>
            </w:pPr>
            <w:r>
              <w:rPr>
                <w:rFonts w:ascii="Arial" w:cs="Arial" w:eastAsia="Arial" w:hAnsi="Arial"/>
                <w:sz w:val="15"/>
                <w:szCs w:val="15"/>
                <w:b w:val="1"/>
                <w:bCs w:val="1"/>
                <w:color w:val="auto"/>
              </w:rPr>
              <w:t>Asset Category:</w:t>
            </w: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3920" w:type="dxa"/>
            <w:vAlign w:val="bottom"/>
          </w:tcPr>
          <w:p>
            <w:pPr>
              <w:spacing w:after="0"/>
              <w:rPr>
                <w:sz w:val="20"/>
                <w:szCs w:val="20"/>
                <w:color w:val="auto"/>
              </w:rPr>
            </w:pPr>
            <w:r>
              <w:rPr>
                <w:rFonts w:ascii="Arial" w:cs="Arial" w:eastAsia="Arial" w:hAnsi="Arial"/>
                <w:sz w:val="15"/>
                <w:szCs w:val="15"/>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77</w:t>
            </w:r>
          </w:p>
        </w:tc>
        <w:tc>
          <w:tcPr>
            <w:tcW w:w="3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43</w:t>
            </w:r>
          </w:p>
        </w:tc>
        <w:tc>
          <w:tcPr>
            <w:tcW w:w="3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34</w:t>
            </w:r>
          </w:p>
        </w:tc>
        <w:tc>
          <w:tcPr>
            <w:tcW w:w="320" w:type="dxa"/>
            <w:vAlign w:val="bottom"/>
            <w:gridSpan w:val="2"/>
          </w:tcPr>
          <w:p>
            <w:pPr>
              <w:ind w:left="200"/>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90</w:t>
            </w:r>
          </w:p>
        </w:tc>
        <w:tc>
          <w:tcPr>
            <w:tcW w:w="14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89</w:t>
            </w: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w:t>
            </w:r>
          </w:p>
        </w:tc>
        <w:tc>
          <w:tcPr>
            <w:tcW w:w="3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39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Equity Securities</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482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482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3920" w:type="dxa"/>
            <w:vAlign w:val="bottom"/>
          </w:tcPr>
          <w:p>
            <w:pPr>
              <w:spacing w:after="0"/>
              <w:rPr>
                <w:sz w:val="20"/>
                <w:szCs w:val="20"/>
                <w:color w:val="auto"/>
              </w:rPr>
            </w:pPr>
            <w:r>
              <w:rPr>
                <w:rFonts w:ascii="Arial" w:cs="Arial" w:eastAsia="Arial" w:hAnsi="Arial"/>
                <w:sz w:val="15"/>
                <w:szCs w:val="15"/>
                <w:b w:val="1"/>
                <w:bCs w:val="1"/>
                <w:color w:val="auto"/>
              </w:rPr>
              <w:t>Debt Securities: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3920" w:type="dxa"/>
            <w:vAlign w:val="bottom"/>
            <w:shd w:val="clear" w:color="auto" w:fill="CFF0FC"/>
          </w:tcPr>
          <w:p>
            <w:pPr>
              <w:ind w:left="80"/>
              <w:spacing w:after="0"/>
              <w:rPr>
                <w:sz w:val="20"/>
                <w:szCs w:val="20"/>
                <w:color w:val="auto"/>
              </w:rPr>
            </w:pPr>
            <w:r>
              <w:rPr>
                <w:rFonts w:ascii="Arial" w:cs="Arial" w:eastAsia="Arial" w:hAnsi="Arial"/>
                <w:sz w:val="15"/>
                <w:szCs w:val="15"/>
                <w:color w:val="auto"/>
              </w:rPr>
              <w:t>Corporate bonds</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3,008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3,008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2,948</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r>
      <w:tr>
        <w:trPr>
          <w:trHeight w:val="178"/>
        </w:trPr>
        <w:tc>
          <w:tcPr>
            <w:tcW w:w="3920" w:type="dxa"/>
            <w:vAlign w:val="bottom"/>
          </w:tcPr>
          <w:p>
            <w:pPr>
              <w:ind w:left="80"/>
              <w:spacing w:after="0"/>
              <w:rPr>
                <w:sz w:val="20"/>
                <w:szCs w:val="20"/>
                <w:color w:val="auto"/>
              </w:rPr>
            </w:pPr>
            <w:r>
              <w:rPr>
                <w:rFonts w:ascii="Arial" w:cs="Arial" w:eastAsia="Arial" w:hAnsi="Arial"/>
                <w:sz w:val="15"/>
                <w:szCs w:val="15"/>
                <w:color w:val="auto"/>
              </w:rPr>
              <w:t>Government and related debt securities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2,046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514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1,532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1,969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448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1,521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78"/>
        </w:trPr>
        <w:tc>
          <w:tcPr>
            <w:tcW w:w="3920" w:type="dxa"/>
            <w:vAlign w:val="bottom"/>
            <w:shd w:val="clear" w:color="auto" w:fill="CFF0FC"/>
          </w:tcPr>
          <w:p>
            <w:pPr>
              <w:ind w:left="8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550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550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390</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r>
      <w:tr>
        <w:trPr>
          <w:trHeight w:val="178"/>
        </w:trPr>
        <w:tc>
          <w:tcPr>
            <w:tcW w:w="3920" w:type="dxa"/>
            <w:vAlign w:val="bottom"/>
          </w:tcPr>
          <w:p>
            <w:pPr>
              <w:spacing w:after="0"/>
              <w:rPr>
                <w:sz w:val="20"/>
                <w:szCs w:val="20"/>
                <w:color w:val="auto"/>
              </w:rPr>
            </w:pPr>
            <w:r>
              <w:rPr>
                <w:rFonts w:ascii="Arial" w:cs="Arial" w:eastAsia="Arial" w:hAnsi="Arial"/>
                <w:sz w:val="15"/>
                <w:szCs w:val="15"/>
                <w:b w:val="1"/>
                <w:bCs w:val="1"/>
                <w:color w:val="auto"/>
              </w:rPr>
              <w:t>Alternative Investments: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3920" w:type="dxa"/>
            <w:vAlign w:val="bottom"/>
            <w:shd w:val="clear" w:color="auto" w:fill="CFF0FC"/>
          </w:tcPr>
          <w:p>
            <w:pPr>
              <w:ind w:left="80"/>
              <w:spacing w:after="0"/>
              <w:rPr>
                <w:sz w:val="20"/>
                <w:szCs w:val="20"/>
                <w:color w:val="auto"/>
              </w:rPr>
            </w:pPr>
            <w:r>
              <w:rPr>
                <w:rFonts w:ascii="Arial" w:cs="Arial" w:eastAsia="Arial" w:hAnsi="Arial"/>
                <w:sz w:val="15"/>
                <w:szCs w:val="15"/>
                <w:color w:val="auto"/>
              </w:rPr>
              <w:t>Private equity</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1,108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1,108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1,136</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1,136</w:t>
            </w:r>
          </w:p>
        </w:tc>
        <w:tc>
          <w:tcPr>
            <w:tcW w:w="100" w:type="dxa"/>
            <w:vAlign w:val="bottom"/>
            <w:shd w:val="clear" w:color="auto" w:fill="CFF0FC"/>
          </w:tcPr>
          <w:p>
            <w:pPr>
              <w:spacing w:after="0"/>
              <w:rPr>
                <w:sz w:val="15"/>
                <w:szCs w:val="15"/>
                <w:color w:val="auto"/>
              </w:rPr>
            </w:pPr>
          </w:p>
        </w:tc>
      </w:tr>
      <w:tr>
        <w:trPr>
          <w:trHeight w:val="178"/>
        </w:trPr>
        <w:tc>
          <w:tcPr>
            <w:tcW w:w="3920" w:type="dxa"/>
            <w:vAlign w:val="bottom"/>
          </w:tcPr>
          <w:p>
            <w:pPr>
              <w:ind w:left="80"/>
              <w:spacing w:after="0"/>
              <w:rPr>
                <w:sz w:val="20"/>
                <w:szCs w:val="20"/>
                <w:color w:val="auto"/>
              </w:rPr>
            </w:pPr>
            <w:r>
              <w:rPr>
                <w:rFonts w:ascii="Arial" w:cs="Arial" w:eastAsia="Arial" w:hAnsi="Arial"/>
                <w:sz w:val="15"/>
                <w:szCs w:val="15"/>
                <w:color w:val="auto"/>
              </w:rPr>
              <w:t>Private debt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686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686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738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738</w:t>
            </w:r>
          </w:p>
        </w:tc>
        <w:tc>
          <w:tcPr>
            <w:tcW w:w="100" w:type="dxa"/>
            <w:vAlign w:val="bottom"/>
          </w:tcPr>
          <w:p>
            <w:pPr>
              <w:spacing w:after="0"/>
              <w:rPr>
                <w:sz w:val="15"/>
                <w:szCs w:val="15"/>
                <w:color w:val="auto"/>
              </w:rPr>
            </w:pPr>
          </w:p>
        </w:tc>
      </w:tr>
      <w:tr>
        <w:trPr>
          <w:trHeight w:val="178"/>
        </w:trPr>
        <w:tc>
          <w:tcPr>
            <w:tcW w:w="39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5"/>
                <w:szCs w:val="15"/>
                <w:color w:val="auto"/>
              </w:rPr>
              <w:t>Real estate</w:t>
            </w: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146</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146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139</w:t>
            </w:r>
          </w:p>
        </w:tc>
        <w:tc>
          <w:tcPr>
            <w:tcW w:w="14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0"/>
        </w:trPr>
        <w:tc>
          <w:tcPr>
            <w:tcW w:w="3920" w:type="dxa"/>
            <w:vAlign w:val="bottom"/>
          </w:tcPr>
          <w:p>
            <w:pPr>
              <w:spacing w:after="0" w:line="158" w:lineRule="exact"/>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line="158" w:lineRule="exact"/>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8,103</w:t>
            </w:r>
          </w:p>
        </w:tc>
        <w:tc>
          <w:tcPr>
            <w:tcW w:w="320" w:type="dxa"/>
            <w:vAlign w:val="bottom"/>
            <w:gridSpan w:val="2"/>
          </w:tcPr>
          <w:p>
            <w:pPr>
              <w:jc w:val="right"/>
              <w:ind w:right="40"/>
              <w:spacing w:after="0" w:line="158" w:lineRule="exact"/>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1,039</w:t>
            </w:r>
          </w:p>
        </w:tc>
        <w:tc>
          <w:tcPr>
            <w:tcW w:w="340" w:type="dxa"/>
            <w:vAlign w:val="bottom"/>
            <w:gridSpan w:val="2"/>
          </w:tcPr>
          <w:p>
            <w:pPr>
              <w:jc w:val="right"/>
              <w:ind w:right="40"/>
              <w:spacing w:after="0" w:line="158" w:lineRule="exact"/>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5,124</w:t>
            </w:r>
          </w:p>
        </w:tc>
        <w:tc>
          <w:tcPr>
            <w:tcW w:w="320" w:type="dxa"/>
            <w:vAlign w:val="bottom"/>
            <w:gridSpan w:val="2"/>
          </w:tcPr>
          <w:p>
            <w:pPr>
              <w:ind w:left="200"/>
              <w:spacing w:after="0" w:line="158" w:lineRule="exact"/>
              <w:rPr>
                <w:sz w:val="20"/>
                <w:szCs w:val="20"/>
                <w:color w:val="auto"/>
              </w:rPr>
            </w:pPr>
            <w:r>
              <w:rPr>
                <w:rFonts w:ascii="Arial" w:cs="Arial" w:eastAsia="Arial" w:hAnsi="Arial"/>
                <w:sz w:val="15"/>
                <w:szCs w:val="15"/>
                <w:b w:val="1"/>
                <w:bCs w:val="1"/>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1,940</w:t>
            </w:r>
          </w:p>
        </w:tc>
        <w:tc>
          <w:tcPr>
            <w:tcW w:w="34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7,674</w:t>
            </w:r>
          </w:p>
        </w:tc>
        <w:tc>
          <w:tcPr>
            <w:tcW w:w="140" w:type="dxa"/>
            <w:vAlign w:val="bottom"/>
          </w:tcPr>
          <w:p>
            <w:pPr>
              <w:spacing w:after="0"/>
              <w:rPr>
                <w:sz w:val="14"/>
                <w:szCs w:val="14"/>
                <w:color w:val="auto"/>
              </w:rPr>
            </w:pPr>
          </w:p>
        </w:tc>
        <w:tc>
          <w:tcPr>
            <w:tcW w:w="20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58" w:lineRule="exact"/>
              <w:rPr>
                <w:sz w:val="20"/>
                <w:szCs w:val="20"/>
                <w:color w:val="auto"/>
              </w:rPr>
            </w:pPr>
            <w:r>
              <w:rPr>
                <w:rFonts w:ascii="Arial" w:cs="Arial" w:eastAsia="Arial" w:hAnsi="Arial"/>
                <w:sz w:val="15"/>
                <w:szCs w:val="15"/>
                <w:color w:val="auto"/>
              </w:rPr>
              <w:t>801</w:t>
            </w:r>
          </w:p>
        </w:tc>
        <w:tc>
          <w:tcPr>
            <w:tcW w:w="340" w:type="dxa"/>
            <w:vAlign w:val="bottom"/>
            <w:gridSpan w:val="2"/>
          </w:tcPr>
          <w:p>
            <w:pPr>
              <w:jc w:val="right"/>
              <w:ind w:right="40"/>
              <w:spacing w:after="0" w:line="158"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5"/>
                <w:szCs w:val="15"/>
                <w:color w:val="auto"/>
              </w:rPr>
              <w:t>4,860</w:t>
            </w:r>
          </w:p>
        </w:tc>
        <w:tc>
          <w:tcPr>
            <w:tcW w:w="340" w:type="dxa"/>
            <w:vAlign w:val="bottom"/>
            <w:gridSpan w:val="2"/>
          </w:tcPr>
          <w:p>
            <w:pPr>
              <w:jc w:val="right"/>
              <w:ind w:right="60"/>
              <w:spacing w:after="0" w:line="158"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5"/>
                <w:szCs w:val="15"/>
                <w:color w:val="auto"/>
              </w:rPr>
              <w:t>2,013</w:t>
            </w:r>
          </w:p>
        </w:tc>
        <w:tc>
          <w:tcPr>
            <w:tcW w:w="100" w:type="dxa"/>
            <w:vAlign w:val="bottom"/>
          </w:tcPr>
          <w:p>
            <w:pPr>
              <w:spacing w:after="0"/>
              <w:rPr>
                <w:sz w:val="14"/>
                <w:szCs w:val="14"/>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-144145</wp:posOffset>
            </wp:positionV>
            <wp:extent cx="647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-144145</wp:posOffset>
            </wp:positionV>
            <wp:extent cx="647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-144145</wp:posOffset>
            </wp:positionV>
            <wp:extent cx="647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-144145</wp:posOffset>
            </wp:positionV>
            <wp:extent cx="647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-144145</wp:posOffset>
            </wp:positionV>
            <wp:extent cx="647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-144145</wp:posOffset>
            </wp:positionV>
            <wp:extent cx="647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-144145</wp:posOffset>
            </wp:positionV>
            <wp:extent cx="647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SLB’s funding policy is to contribute amounts that are based upon a number of factors including the funded status of the plans, amounts that are deductible for income tax purposes, legal funding requirements, and available cash flow. SLB does not expect to make any material contributions to its postretirement benefit plans in 2026.</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Postretirement Benefits Other Than Pensions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SLB provides healthcare benefits to certain former US employees who have retired.</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actuarial assumptions used to determine the accumulated postretirement benefit obligation and net periodic benefit cost for the US postretirement medical plan were as follows: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5"/>
                <w:szCs w:val="15"/>
                <w:color w:val="auto"/>
              </w:rPr>
              <w:t>Benefit Obligation</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5"/>
          </w:tcPr>
          <w:p>
            <w:pPr>
              <w:jc w:val="right"/>
              <w:spacing w:after="0"/>
              <w:rPr>
                <w:sz w:val="20"/>
                <w:szCs w:val="20"/>
                <w:color w:val="auto"/>
              </w:rPr>
            </w:pPr>
            <w:r>
              <w:rPr>
                <w:rFonts w:ascii="Arial" w:cs="Arial" w:eastAsia="Arial" w:hAnsi="Arial"/>
                <w:sz w:val="15"/>
                <w:szCs w:val="15"/>
                <w:color w:val="auto"/>
              </w:rPr>
              <w:t>Net Periodic Benefit</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5"/>
                <w:szCs w:val="15"/>
                <w:color w:val="auto"/>
              </w:rPr>
              <w:t>At December 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jc w:val="right"/>
              <w:ind w:right="44"/>
              <w:spacing w:after="0"/>
              <w:rPr>
                <w:sz w:val="20"/>
                <w:szCs w:val="20"/>
                <w:color w:val="auto"/>
              </w:rPr>
            </w:pPr>
            <w:r>
              <w:rPr>
                <w:rFonts w:ascii="Arial" w:cs="Arial" w:eastAsia="Arial" w:hAnsi="Arial"/>
                <w:sz w:val="15"/>
                <w:szCs w:val="15"/>
                <w:color w:val="auto"/>
              </w:rPr>
              <w:t>Cost for the Year</w:t>
            </w: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264"/>
              <w:spacing w:after="0" w:line="171" w:lineRule="exact"/>
              <w:rPr>
                <w:sz w:val="20"/>
                <w:szCs w:val="20"/>
                <w:color w:val="auto"/>
              </w:rPr>
            </w:pPr>
            <w:r>
              <w:rPr>
                <w:rFonts w:ascii="Arial" w:cs="Arial" w:eastAsia="Arial" w:hAnsi="Arial"/>
                <w:sz w:val="15"/>
                <w:szCs w:val="15"/>
                <w:b w:val="1"/>
                <w:bCs w:val="1"/>
                <w:color w:val="auto"/>
              </w:rPr>
              <w:t>2025</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2"/>
          </w:tcPr>
          <w:p>
            <w:pPr>
              <w:jc w:val="right"/>
              <w:ind w:right="264"/>
              <w:spacing w:after="0" w:line="171" w:lineRule="exact"/>
              <w:rPr>
                <w:sz w:val="20"/>
                <w:szCs w:val="20"/>
                <w:color w:val="auto"/>
              </w:rPr>
            </w:pPr>
            <w:r>
              <w:rPr>
                <w:rFonts w:ascii="Arial" w:cs="Arial" w:eastAsia="Arial" w:hAnsi="Arial"/>
                <w:sz w:val="15"/>
                <w:szCs w:val="15"/>
                <w:color w:val="auto"/>
              </w:rPr>
              <w:t>2024</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4"/>
          </w:tcPr>
          <w:p>
            <w:pPr>
              <w:jc w:val="right"/>
              <w:ind w:right="264"/>
              <w:spacing w:after="0" w:line="171" w:lineRule="exact"/>
              <w:rPr>
                <w:sz w:val="20"/>
                <w:szCs w:val="20"/>
                <w:color w:val="auto"/>
              </w:rPr>
            </w:pPr>
            <w:r>
              <w:rPr>
                <w:rFonts w:ascii="Arial" w:cs="Arial" w:eastAsia="Arial" w:hAnsi="Arial"/>
                <w:sz w:val="15"/>
                <w:szCs w:val="15"/>
                <w:b w:val="1"/>
                <w:bCs w:val="1"/>
                <w:color w:val="auto"/>
              </w:rPr>
              <w:t>2025</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4"/>
              <w:spacing w:after="0" w:line="171" w:lineRule="exact"/>
              <w:rPr>
                <w:sz w:val="20"/>
                <w:szCs w:val="20"/>
                <w:color w:val="auto"/>
              </w:rPr>
            </w:pPr>
            <w:r>
              <w:rPr>
                <w:rFonts w:ascii="Arial" w:cs="Arial" w:eastAsia="Arial" w:hAnsi="Arial"/>
                <w:sz w:val="15"/>
                <w:szCs w:val="15"/>
                <w:color w:val="auto"/>
              </w:rPr>
              <w:t>2024</w:t>
            </w:r>
          </w:p>
        </w:tc>
        <w:tc>
          <w:tcPr>
            <w:tcW w:w="2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4"/>
              <w:spacing w:after="0" w:line="171" w:lineRule="exact"/>
              <w:rPr>
                <w:sz w:val="20"/>
                <w:szCs w:val="20"/>
                <w:color w:val="auto"/>
              </w:rPr>
            </w:pPr>
            <w:r>
              <w:rPr>
                <w:rFonts w:ascii="Arial" w:cs="Arial" w:eastAsia="Arial" w:hAnsi="Arial"/>
                <w:sz w:val="15"/>
                <w:szCs w:val="15"/>
                <w:color w:val="auto"/>
              </w:rPr>
              <w:t>2023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Discount rate</w:t>
            </w:r>
          </w:p>
        </w:tc>
        <w:tc>
          <w:tcPr>
            <w:tcW w:w="126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b w:val="1"/>
                <w:bCs w:val="1"/>
                <w:color w:val="auto"/>
              </w:rPr>
              <w:t>5.70%</w:t>
            </w:r>
          </w:p>
        </w:tc>
        <w:tc>
          <w:tcPr>
            <w:tcW w:w="1160" w:type="dxa"/>
            <w:vAlign w:val="bottom"/>
            <w:gridSpan w:val="3"/>
            <w:shd w:val="clear" w:color="auto" w:fill="CFF0FC"/>
          </w:tcPr>
          <w:p>
            <w:pPr>
              <w:jc w:val="right"/>
              <w:spacing w:after="0" w:line="171" w:lineRule="exact"/>
              <w:rPr>
                <w:sz w:val="20"/>
                <w:szCs w:val="20"/>
                <w:color w:val="auto"/>
              </w:rPr>
            </w:pPr>
            <w:r>
              <w:rPr>
                <w:rFonts w:ascii="Arial" w:cs="Arial" w:eastAsia="Arial" w:hAnsi="Arial"/>
                <w:sz w:val="15"/>
                <w:szCs w:val="15"/>
                <w:color w:val="auto"/>
              </w:rPr>
              <w:t>5.25%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3"/>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5.70%</w:t>
            </w:r>
          </w:p>
        </w:tc>
        <w:tc>
          <w:tcPr>
            <w:tcW w:w="1320" w:type="dxa"/>
            <w:vAlign w:val="bottom"/>
            <w:gridSpan w:val="4"/>
            <w:shd w:val="clear" w:color="auto" w:fill="CFF0FC"/>
          </w:tcPr>
          <w:p>
            <w:pPr>
              <w:jc w:val="right"/>
              <w:ind w:right="4"/>
              <w:spacing w:after="0" w:line="171" w:lineRule="exact"/>
              <w:rPr>
                <w:sz w:val="20"/>
                <w:szCs w:val="20"/>
                <w:color w:val="auto"/>
              </w:rPr>
            </w:pPr>
            <w:r>
              <w:rPr>
                <w:rFonts w:ascii="Arial" w:cs="Arial" w:eastAsia="Arial" w:hAnsi="Arial"/>
                <w:sz w:val="15"/>
                <w:szCs w:val="15"/>
                <w:color w:val="auto"/>
              </w:rPr>
              <w:t>5.25%</w:t>
            </w:r>
          </w:p>
        </w:tc>
        <w:tc>
          <w:tcPr>
            <w:tcW w:w="1220" w:type="dxa"/>
            <w:vAlign w:val="bottom"/>
            <w:gridSpan w:val="4"/>
            <w:shd w:val="clear" w:color="auto" w:fill="CFF0FC"/>
          </w:tcPr>
          <w:p>
            <w:pPr>
              <w:jc w:val="right"/>
              <w:spacing w:after="0" w:line="171" w:lineRule="exact"/>
              <w:rPr>
                <w:sz w:val="20"/>
                <w:szCs w:val="20"/>
                <w:color w:val="auto"/>
              </w:rPr>
            </w:pPr>
            <w:r>
              <w:rPr>
                <w:rFonts w:ascii="Arial" w:cs="Arial" w:eastAsia="Arial" w:hAnsi="Arial"/>
                <w:sz w:val="15"/>
                <w:szCs w:val="15"/>
                <w:color w:val="auto"/>
              </w:rPr>
              <w:t>5.50%</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20"/>
                <w:szCs w:val="20"/>
                <w:color w:val="auto"/>
              </w:rPr>
            </w:pPr>
            <w:r>
              <w:rPr>
                <w:rFonts w:ascii="Arial" w:cs="Arial" w:eastAsia="Arial" w:hAnsi="Arial"/>
                <w:sz w:val="15"/>
                <w:szCs w:val="15"/>
                <w:color w:val="auto"/>
              </w:rPr>
              <w:t>Return on plan assets</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b w:val="1"/>
                <w:bCs w:val="1"/>
                <w:color w:val="auto"/>
              </w:rPr>
              <w:t>4.91%</w:t>
            </w:r>
          </w:p>
        </w:tc>
        <w:tc>
          <w:tcPr>
            <w:tcW w:w="1320" w:type="dxa"/>
            <w:vAlign w:val="bottom"/>
            <w:gridSpan w:val="4"/>
          </w:tcPr>
          <w:p>
            <w:pPr>
              <w:jc w:val="right"/>
              <w:ind w:right="4"/>
              <w:spacing w:after="0"/>
              <w:rPr>
                <w:sz w:val="20"/>
                <w:szCs w:val="20"/>
                <w:color w:val="auto"/>
              </w:rPr>
            </w:pPr>
            <w:r>
              <w:rPr>
                <w:rFonts w:ascii="Arial" w:cs="Arial" w:eastAsia="Arial" w:hAnsi="Arial"/>
                <w:sz w:val="15"/>
                <w:szCs w:val="15"/>
                <w:color w:val="auto"/>
              </w:rPr>
              <w:t>4.43%</w:t>
            </w:r>
          </w:p>
        </w:tc>
        <w:tc>
          <w:tcPr>
            <w:tcW w:w="1220" w:type="dxa"/>
            <w:vAlign w:val="bottom"/>
            <w:gridSpan w:val="4"/>
          </w:tcPr>
          <w:p>
            <w:pPr>
              <w:jc w:val="right"/>
              <w:spacing w:after="0"/>
              <w:rPr>
                <w:sz w:val="20"/>
                <w:szCs w:val="20"/>
                <w:color w:val="auto"/>
              </w:rPr>
            </w:pPr>
            <w:r>
              <w:rPr>
                <w:rFonts w:ascii="Arial" w:cs="Arial" w:eastAsia="Arial" w:hAnsi="Arial"/>
                <w:sz w:val="15"/>
                <w:szCs w:val="15"/>
                <w:color w:val="auto"/>
              </w:rPr>
              <w:t>4.41%</w:t>
            </w:r>
          </w:p>
        </w:tc>
        <w:tc>
          <w:tcPr>
            <w:tcW w:w="0" w:type="dxa"/>
            <w:vAlign w:val="bottom"/>
          </w:tcPr>
          <w:p>
            <w:pPr>
              <w:spacing w:after="0"/>
              <w:rPr>
                <w:sz w:val="1"/>
                <w:szCs w:val="1"/>
                <w:color w:val="auto"/>
              </w:rPr>
            </w:pPr>
          </w:p>
        </w:tc>
      </w:tr>
      <w:tr>
        <w:trPr>
          <w:trHeight w:val="178"/>
        </w:trPr>
        <w:tc>
          <w:tcPr>
            <w:tcW w:w="5020" w:type="dxa"/>
            <w:vAlign w:val="bottom"/>
            <w:shd w:val="clear" w:color="auto" w:fill="CFF0FC"/>
          </w:tcPr>
          <w:p>
            <w:pPr>
              <w:spacing w:after="0"/>
              <w:rPr>
                <w:sz w:val="20"/>
                <w:szCs w:val="20"/>
                <w:color w:val="auto"/>
              </w:rPr>
            </w:pPr>
            <w:r>
              <w:rPr>
                <w:rFonts w:ascii="Arial" w:cs="Arial" w:eastAsia="Arial" w:hAnsi="Arial"/>
                <w:sz w:val="15"/>
                <w:szCs w:val="15"/>
                <w:color w:val="auto"/>
              </w:rPr>
              <w:t>Current medical cost trend rate</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7.75%</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7.25%</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5"/>
                <w:szCs w:val="15"/>
                <w:b w:val="1"/>
                <w:bCs w:val="1"/>
                <w:color w:val="auto"/>
              </w:rPr>
              <w:t>7.75%</w:t>
            </w:r>
          </w:p>
        </w:tc>
        <w:tc>
          <w:tcPr>
            <w:tcW w:w="1320" w:type="dxa"/>
            <w:vAlign w:val="bottom"/>
            <w:gridSpan w:val="4"/>
            <w:shd w:val="clear" w:color="auto" w:fill="CFF0FC"/>
          </w:tcPr>
          <w:p>
            <w:pPr>
              <w:jc w:val="right"/>
              <w:ind w:right="4"/>
              <w:spacing w:after="0"/>
              <w:rPr>
                <w:sz w:val="20"/>
                <w:szCs w:val="20"/>
                <w:color w:val="auto"/>
              </w:rPr>
            </w:pPr>
            <w:r>
              <w:rPr>
                <w:rFonts w:ascii="Arial" w:cs="Arial" w:eastAsia="Arial" w:hAnsi="Arial"/>
                <w:sz w:val="15"/>
                <w:szCs w:val="15"/>
                <w:color w:val="auto"/>
              </w:rPr>
              <w:t>7.25%</w:t>
            </w: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20"/>
                <w:szCs w:val="20"/>
                <w:color w:val="auto"/>
              </w:rPr>
            </w:pPr>
            <w:r>
              <w:rPr>
                <w:rFonts w:ascii="Arial" w:cs="Arial" w:eastAsia="Arial" w:hAnsi="Arial"/>
                <w:sz w:val="15"/>
                <w:szCs w:val="15"/>
                <w:color w:val="auto"/>
              </w:rPr>
              <w:t>Ultimate medical cost trend rate</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4.50%</w:t>
            </w:r>
          </w:p>
        </w:tc>
        <w:tc>
          <w:tcPr>
            <w:tcW w:w="1160" w:type="dxa"/>
            <w:vAlign w:val="bottom"/>
            <w:gridSpan w:val="3"/>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b w:val="1"/>
                <w:bCs w:val="1"/>
                <w:color w:val="auto"/>
              </w:rPr>
              <w:t>4.50%</w:t>
            </w:r>
          </w:p>
        </w:tc>
        <w:tc>
          <w:tcPr>
            <w:tcW w:w="1320" w:type="dxa"/>
            <w:vAlign w:val="bottom"/>
            <w:gridSpan w:val="4"/>
          </w:tcPr>
          <w:p>
            <w:pPr>
              <w:jc w:val="right"/>
              <w:ind w:right="4"/>
              <w:spacing w:after="0"/>
              <w:rPr>
                <w:sz w:val="20"/>
                <w:szCs w:val="20"/>
                <w:color w:val="auto"/>
              </w:rPr>
            </w:pPr>
            <w:r>
              <w:rPr>
                <w:rFonts w:ascii="Arial" w:cs="Arial" w:eastAsia="Arial" w:hAnsi="Arial"/>
                <w:sz w:val="15"/>
                <w:szCs w:val="15"/>
                <w:color w:val="auto"/>
              </w:rPr>
              <w:t>4.50%</w:t>
            </w:r>
          </w:p>
        </w:tc>
        <w:tc>
          <w:tcPr>
            <w:tcW w:w="1220" w:type="dxa"/>
            <w:vAlign w:val="bottom"/>
            <w:gridSpan w:val="4"/>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178"/>
        </w:trPr>
        <w:tc>
          <w:tcPr>
            <w:tcW w:w="5020" w:type="dxa"/>
            <w:vAlign w:val="bottom"/>
            <w:shd w:val="clear" w:color="auto" w:fill="CFF0FC"/>
          </w:tcPr>
          <w:p>
            <w:pPr>
              <w:spacing w:after="0"/>
              <w:rPr>
                <w:sz w:val="20"/>
                <w:szCs w:val="20"/>
                <w:color w:val="auto"/>
              </w:rPr>
            </w:pPr>
            <w:r>
              <w:rPr>
                <w:rFonts w:ascii="Arial" w:cs="Arial" w:eastAsia="Arial" w:hAnsi="Arial"/>
                <w:sz w:val="15"/>
                <w:szCs w:val="15"/>
                <w:color w:val="auto"/>
              </w:rPr>
              <w:t>Year that the rate reaches the ultimate trend rate</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2039</w:t>
            </w:r>
          </w:p>
        </w:tc>
        <w:tc>
          <w:tcPr>
            <w:tcW w:w="24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rPr>
              <w:t>2035</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2039</w:t>
            </w:r>
          </w:p>
        </w:tc>
        <w:tc>
          <w:tcPr>
            <w:tcW w:w="14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2035</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2035</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6280" w:type="dxa"/>
            <w:vAlign w:val="bottom"/>
            <w:gridSpan w:val="3"/>
          </w:tcPr>
          <w:p>
            <w:pPr>
              <w:spacing w:after="0"/>
              <w:rPr>
                <w:sz w:val="20"/>
                <w:szCs w:val="20"/>
                <w:color w:val="auto"/>
              </w:rPr>
            </w:pPr>
            <w:r>
              <w:rPr>
                <w:rFonts w:ascii="Arial" w:cs="Arial" w:eastAsia="Arial" w:hAnsi="Arial"/>
                <w:sz w:val="15"/>
                <w:szCs w:val="15"/>
                <w:color w:val="auto"/>
              </w:rPr>
              <w:t>The net credit for the US postretirement medical plan included the following components: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339"/>
        </w:trPr>
        <w:tc>
          <w:tcPr>
            <w:tcW w:w="5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444"/>
              <w:spacing w:after="0"/>
              <w:rPr>
                <w:sz w:val="20"/>
                <w:szCs w:val="20"/>
                <w:color w:val="auto"/>
              </w:rPr>
            </w:pPr>
            <w:r>
              <w:rPr>
                <w:rFonts w:ascii="Arial" w:cs="Arial" w:eastAsia="Arial" w:hAnsi="Arial"/>
                <w:sz w:val="15"/>
                <w:szCs w:val="15"/>
                <w:color w:val="auto"/>
                <w:w w:val="95"/>
              </w:rPr>
              <w:t>2024</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384"/>
              <w:spacing w:after="0"/>
              <w:rPr>
                <w:sz w:val="20"/>
                <w:szCs w:val="20"/>
                <w:color w:val="auto"/>
              </w:rPr>
            </w:pPr>
            <w:r>
              <w:rPr>
                <w:rFonts w:ascii="Arial" w:cs="Arial" w:eastAsia="Arial" w:hAnsi="Arial"/>
                <w:sz w:val="15"/>
                <w:szCs w:val="15"/>
                <w:color w:val="auto"/>
              </w:rPr>
              <w:t>2023</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02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Service cost</w:t>
            </w: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584"/>
              <w:spacing w:after="0" w:line="171"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17</w:t>
            </w: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04"/>
              <w:spacing w:after="0" w:line="171"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19</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4"/>
              <w:spacing w:after="0" w:line="171" w:lineRule="exact"/>
              <w:rPr>
                <w:sz w:val="20"/>
                <w:szCs w:val="20"/>
                <w:color w:val="auto"/>
              </w:rPr>
            </w:pPr>
            <w:r>
              <w:rPr>
                <w:rFonts w:ascii="Arial" w:cs="Arial" w:eastAsia="Arial" w:hAnsi="Arial"/>
                <w:sz w:val="15"/>
                <w:szCs w:val="15"/>
                <w:color w:val="auto"/>
                <w:w w:val="71"/>
              </w:rPr>
              <w:t>$</w:t>
            </w:r>
          </w:p>
        </w:tc>
        <w:tc>
          <w:tcPr>
            <w:tcW w:w="1220" w:type="dxa"/>
            <w:vAlign w:val="bottom"/>
            <w:gridSpan w:val="4"/>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20"/>
                <w:szCs w:val="20"/>
                <w:color w:val="auto"/>
              </w:rPr>
            </w:pPr>
            <w:r>
              <w:rPr>
                <w:rFonts w:ascii="Arial" w:cs="Arial" w:eastAsia="Arial" w:hAnsi="Arial"/>
                <w:sz w:val="15"/>
                <w:szCs w:val="15"/>
                <w:color w:val="auto"/>
              </w:rPr>
              <w:t>Interest cost</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b w:val="1"/>
                <w:bCs w:val="1"/>
                <w:color w:val="auto"/>
              </w:rPr>
              <w:t>42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78"/>
        </w:trPr>
        <w:tc>
          <w:tcPr>
            <w:tcW w:w="5020" w:type="dxa"/>
            <w:vAlign w:val="bottom"/>
            <w:shd w:val="clear" w:color="auto" w:fill="CFF0FC"/>
          </w:tcPr>
          <w:p>
            <w:pPr>
              <w:spacing w:after="0"/>
              <w:rPr>
                <w:sz w:val="20"/>
                <w:szCs w:val="20"/>
                <w:color w:val="auto"/>
              </w:rPr>
            </w:pPr>
            <w:r>
              <w:rPr>
                <w:rFonts w:ascii="Arial" w:cs="Arial" w:eastAsia="Arial" w:hAnsi="Arial"/>
                <w:sz w:val="15"/>
                <w:szCs w:val="15"/>
                <w:color w:val="auto"/>
              </w:rPr>
              <w:t>Expected return on plan assets</w:t>
            </w: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(43)</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5"/>
                <w:szCs w:val="15"/>
                <w:color w:val="auto"/>
              </w:rPr>
              <w:t>(42)</w:t>
            </w:r>
          </w:p>
        </w:tc>
        <w:tc>
          <w:tcPr>
            <w:tcW w:w="200" w:type="dxa"/>
            <w:vAlign w:val="bottom"/>
            <w:shd w:val="clear" w:color="auto" w:fill="CFF0FC"/>
          </w:tcPr>
          <w:p>
            <w:pPr>
              <w:spacing w:after="0"/>
              <w:rPr>
                <w:sz w:val="15"/>
                <w:szCs w:val="15"/>
                <w:color w:val="auto"/>
              </w:rPr>
            </w:pPr>
          </w:p>
        </w:tc>
        <w:tc>
          <w:tcPr>
            <w:tcW w:w="1220" w:type="dxa"/>
            <w:vAlign w:val="bottom"/>
            <w:gridSpan w:val="4"/>
            <w:shd w:val="clear" w:color="auto" w:fill="CFF0FC"/>
          </w:tcPr>
          <w:p>
            <w:pPr>
              <w:jc w:val="right"/>
              <w:ind w:right="4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20"/>
                <w:szCs w:val="20"/>
                <w:color w:val="auto"/>
              </w:rPr>
            </w:pPr>
            <w:r>
              <w:rPr>
                <w:rFonts w:ascii="Arial" w:cs="Arial" w:eastAsia="Arial" w:hAnsi="Arial"/>
                <w:sz w:val="15"/>
                <w:szCs w:val="15"/>
                <w:color w:val="auto"/>
              </w:rPr>
              <w:t>Amortization of prior service credit</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(13)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5"/>
                <w:szCs w:val="15"/>
                <w:color w:val="auto"/>
              </w:rPr>
              <w:t>(23)</w:t>
            </w:r>
          </w:p>
        </w:tc>
        <w:tc>
          <w:tcPr>
            <w:tcW w:w="200" w:type="dxa"/>
            <w:vAlign w:val="bottom"/>
          </w:tcPr>
          <w:p>
            <w:pPr>
              <w:spacing w:after="0"/>
              <w:rPr>
                <w:sz w:val="15"/>
                <w:szCs w:val="15"/>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78"/>
        </w:trPr>
        <w:tc>
          <w:tcPr>
            <w:tcW w:w="5020" w:type="dxa"/>
            <w:vAlign w:val="bottom"/>
            <w:shd w:val="clear" w:color="auto" w:fill="CFF0FC"/>
          </w:tcPr>
          <w:p>
            <w:pPr>
              <w:spacing w:after="0"/>
              <w:rPr>
                <w:sz w:val="20"/>
                <w:szCs w:val="20"/>
                <w:color w:val="auto"/>
              </w:rPr>
            </w:pPr>
            <w:r>
              <w:rPr>
                <w:rFonts w:ascii="Arial" w:cs="Arial" w:eastAsia="Arial" w:hAnsi="Arial"/>
                <w:sz w:val="15"/>
                <w:szCs w:val="15"/>
                <w:color w:val="auto"/>
              </w:rPr>
              <w:t>Amortization of net gain</w:t>
            </w: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(13)</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FF0FC"/>
          </w:tcPr>
          <w:p>
            <w:pPr>
              <w:spacing w:after="0"/>
              <w:rPr>
                <w:sz w:val="15"/>
                <w:szCs w:val="15"/>
                <w:color w:val="auto"/>
              </w:rPr>
            </w:pPr>
          </w:p>
        </w:tc>
        <w:tc>
          <w:tcPr>
            <w:tcW w:w="1220" w:type="dxa"/>
            <w:vAlign w:val="bottom"/>
            <w:gridSpan w:val="4"/>
            <w:shd w:val="clear" w:color="auto" w:fill="CFF0FC"/>
          </w:tcPr>
          <w:p>
            <w:pPr>
              <w:jc w:val="right"/>
              <w:ind w:right="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84"/>
              <w:spacing w:after="0" w:line="171" w:lineRule="exact"/>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2"/>
          </w:tcPr>
          <w:p>
            <w:pPr>
              <w:jc w:val="right"/>
              <w:spacing w:after="0" w:line="171" w:lineRule="exact"/>
              <w:rPr>
                <w:sz w:val="20"/>
                <w:szCs w:val="20"/>
                <w:color w:val="auto"/>
              </w:rPr>
            </w:pPr>
            <w:r>
              <w:rPr>
                <w:rFonts w:ascii="Arial" w:cs="Arial" w:eastAsia="Arial" w:hAnsi="Arial"/>
                <w:sz w:val="15"/>
                <w:szCs w:val="15"/>
                <w:b w:val="1"/>
                <w:bCs w:val="1"/>
                <w:color w:val="auto"/>
              </w:rPr>
              <w:t>(10)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4"/>
              <w:spacing w:after="0" w:line="171" w:lineRule="exact"/>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spacing w:after="0" w:line="171" w:lineRule="exact"/>
              <w:rPr>
                <w:sz w:val="20"/>
                <w:szCs w:val="20"/>
                <w:color w:val="auto"/>
              </w:rPr>
            </w:pPr>
            <w:r>
              <w:rPr>
                <w:rFonts w:ascii="Arial" w:cs="Arial" w:eastAsia="Arial" w:hAnsi="Arial"/>
                <w:sz w:val="15"/>
                <w:szCs w:val="15"/>
                <w:color w:val="auto"/>
              </w:rPr>
              <w:t>(18)</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71"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3"/>
          </w:tcPr>
          <w:p>
            <w:pPr>
              <w:jc w:val="right"/>
              <w:spacing w:after="0" w:line="171" w:lineRule="exact"/>
              <w:rPr>
                <w:sz w:val="20"/>
                <w:szCs w:val="20"/>
                <w:color w:val="auto"/>
              </w:rPr>
            </w:pPr>
            <w:r>
              <w:rPr>
                <w:rFonts w:ascii="Arial" w:cs="Arial" w:eastAsia="Arial" w:hAnsi="Arial"/>
                <w:sz w:val="15"/>
                <w:szCs w:val="15"/>
                <w:color w:val="auto"/>
              </w:rPr>
              <w:t>(18)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20" w:type="dxa"/>
            <w:vAlign w:val="bottom"/>
            <w:vMerge w:val="restart"/>
          </w:tcPr>
          <w:p>
            <w:pPr>
              <w:jc w:val="right"/>
              <w:ind w:right="264"/>
              <w:spacing w:after="0"/>
              <w:rPr>
                <w:sz w:val="20"/>
                <w:szCs w:val="20"/>
                <w:color w:val="auto"/>
              </w:rPr>
            </w:pPr>
            <w:r>
              <w:rPr>
                <w:rFonts w:ascii="Arial" w:cs="Arial" w:eastAsia="Arial" w:hAnsi="Arial"/>
                <w:sz w:val="15"/>
                <w:szCs w:val="15"/>
                <w:color w:val="auto"/>
              </w:rPr>
              <w:t>56</w:t>
            </w: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0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6"/>
        </w:trPr>
        <w:tc>
          <w:tcPr>
            <w:tcW w:w="5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auto"/>
        </w:rPr>
        <w:t>The changes in the accumulated postretirement benefit obligation, plan assets and funded status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39"/>
        </w:trPr>
        <w:tc>
          <w:tcPr>
            <w:tcW w:w="7660" w:type="dxa"/>
            <w:vAlign w:val="bottom"/>
          </w:tcPr>
          <w:p>
            <w:pPr>
              <w:spacing w:after="0"/>
              <w:rPr>
                <w:sz w:val="24"/>
                <w:szCs w:val="24"/>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r>
      <w:tr>
        <w:trPr>
          <w:trHeight w:val="170"/>
        </w:trPr>
        <w:tc>
          <w:tcPr>
            <w:tcW w:w="7660" w:type="dxa"/>
            <w:vAlign w:val="bottom"/>
            <w:shd w:val="clear" w:color="auto" w:fill="CFF0FC"/>
          </w:tcPr>
          <w:p>
            <w:pPr>
              <w:spacing w:after="0" w:line="171" w:lineRule="exact"/>
              <w:rPr>
                <w:sz w:val="20"/>
                <w:szCs w:val="20"/>
                <w:color w:val="auto"/>
              </w:rPr>
            </w:pPr>
            <w:r>
              <w:rPr>
                <w:rFonts w:ascii="Arial" w:cs="Arial" w:eastAsia="Arial" w:hAnsi="Arial"/>
                <w:sz w:val="15"/>
                <w:szCs w:val="15"/>
                <w:b w:val="1"/>
                <w:bCs w:val="1"/>
                <w:i w:val="1"/>
                <w:iCs w:val="1"/>
                <w:color w:val="auto"/>
              </w:rPr>
              <w:t>Change in Accumulated Postretirement Benefit Obligation:</w:t>
            </w:r>
          </w:p>
        </w:tc>
        <w:tc>
          <w:tcPr>
            <w:tcW w:w="1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Benefit obligation at beginning of year</w:t>
            </w:r>
          </w:p>
        </w:tc>
        <w:tc>
          <w:tcPr>
            <w:tcW w:w="1160" w:type="dxa"/>
            <w:vAlign w:val="bottom"/>
          </w:tcPr>
          <w:p>
            <w:pPr>
              <w:jc w:val="right"/>
              <w:ind w:right="984"/>
              <w:spacing w:after="0"/>
              <w:rPr>
                <w:sz w:val="20"/>
                <w:szCs w:val="20"/>
                <w:color w:val="auto"/>
              </w:rPr>
            </w:pPr>
            <w:r>
              <w:rPr>
                <w:rFonts w:ascii="Arial" w:cs="Arial" w:eastAsia="Arial" w:hAnsi="Arial"/>
                <w:sz w:val="15"/>
                <w:szCs w:val="15"/>
                <w:b w:val="1"/>
                <w:bCs w:val="1"/>
                <w:color w:val="auto"/>
                <w:w w:val="95"/>
              </w:rPr>
              <w:t>$</w:t>
            </w:r>
          </w:p>
        </w:tc>
        <w:tc>
          <w:tcPr>
            <w:tcW w:w="7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781</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805</w:t>
            </w: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Service cost</w:t>
            </w:r>
          </w:p>
        </w:tc>
        <w:tc>
          <w:tcPr>
            <w:tcW w:w="1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b w:val="1"/>
                <w:bCs w:val="1"/>
                <w:color w:val="auto"/>
              </w:rPr>
              <w:t>17</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19</w:t>
            </w: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Interest cost</w:t>
            </w:r>
          </w:p>
        </w:tc>
        <w:tc>
          <w:tcPr>
            <w:tcW w:w="1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42</w:t>
            </w: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41</w:t>
            </w: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Contribution by plan participants</w:t>
            </w:r>
          </w:p>
        </w:tc>
        <w:tc>
          <w:tcPr>
            <w:tcW w:w="1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b w:val="1"/>
                <w:bCs w:val="1"/>
                <w:color w:val="auto"/>
              </w:rPr>
              <w:t>5</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w:t>
            </w: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Actuarial loss (gain)</w:t>
            </w:r>
          </w:p>
        </w:tc>
        <w:tc>
          <w:tcPr>
            <w:tcW w:w="1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6</w:t>
            </w:r>
          </w:p>
        </w:tc>
        <w:tc>
          <w:tcPr>
            <w:tcW w:w="26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(37)</w:t>
            </w: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Benefits paid</w:t>
            </w:r>
          </w:p>
        </w:tc>
        <w:tc>
          <w:tcPr>
            <w:tcW w:w="1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(61)</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(53)</w:t>
            </w:r>
          </w:p>
        </w:tc>
      </w:tr>
      <w:tr>
        <w:trPr>
          <w:trHeight w:val="170"/>
        </w:trPr>
        <w:tc>
          <w:tcPr>
            <w:tcW w:w="7660" w:type="dxa"/>
            <w:vAlign w:val="bottom"/>
          </w:tcPr>
          <w:p>
            <w:pPr>
              <w:spacing w:after="0" w:line="171" w:lineRule="exact"/>
              <w:rPr>
                <w:sz w:val="20"/>
                <w:szCs w:val="20"/>
                <w:color w:val="auto"/>
              </w:rPr>
            </w:pPr>
            <w:r>
              <w:rPr>
                <w:rFonts w:ascii="Arial" w:cs="Arial" w:eastAsia="Arial" w:hAnsi="Arial"/>
                <w:sz w:val="15"/>
                <w:szCs w:val="15"/>
                <w:color w:val="auto"/>
              </w:rPr>
              <w:t>Benefit obligation at end of year</w:t>
            </w:r>
          </w:p>
        </w:tc>
        <w:tc>
          <w:tcPr>
            <w:tcW w:w="1160" w:type="dxa"/>
            <w:vAlign w:val="bottom"/>
            <w:tcBorders>
              <w:top w:val="single" w:sz="8" w:color="auto"/>
              <w:bottom w:val="single" w:sz="8" w:color="auto"/>
            </w:tcBorders>
          </w:tcPr>
          <w:p>
            <w:pPr>
              <w:jc w:val="right"/>
              <w:ind w:right="984"/>
              <w:spacing w:after="0" w:line="171" w:lineRule="exact"/>
              <w:rPr>
                <w:sz w:val="20"/>
                <w:szCs w:val="20"/>
                <w:color w:val="auto"/>
              </w:rPr>
            </w:pPr>
            <w:r>
              <w:rPr>
                <w:rFonts w:ascii="Arial" w:cs="Arial" w:eastAsia="Arial" w:hAnsi="Arial"/>
                <w:sz w:val="15"/>
                <w:szCs w:val="15"/>
                <w:b w:val="1"/>
                <w:bCs w:val="1"/>
                <w:color w:val="auto"/>
                <w:w w:val="95"/>
              </w:rPr>
              <w:t>$</w:t>
            </w:r>
          </w:p>
        </w:tc>
        <w:tc>
          <w:tcPr>
            <w:tcW w:w="44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790</w:t>
            </w:r>
          </w:p>
        </w:tc>
        <w:tc>
          <w:tcPr>
            <w:tcW w:w="3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781</w:t>
            </w:r>
          </w:p>
        </w:tc>
        <w:tc>
          <w:tcPr>
            <w:tcW w:w="100" w:type="dxa"/>
            <w:vAlign w:val="bottom"/>
          </w:tcPr>
          <w:p>
            <w:pPr>
              <w:spacing w:after="0"/>
              <w:rPr>
                <w:sz w:val="14"/>
                <w:szCs w:val="14"/>
                <w:color w:val="auto"/>
              </w:rPr>
            </w:pPr>
          </w:p>
        </w:tc>
      </w:tr>
      <w:tr>
        <w:trPr>
          <w:trHeight w:val="170"/>
        </w:trPr>
        <w:tc>
          <w:tcPr>
            <w:tcW w:w="7660" w:type="dxa"/>
            <w:vAlign w:val="bottom"/>
            <w:shd w:val="clear" w:color="auto" w:fill="CFF0FC"/>
          </w:tcPr>
          <w:p>
            <w:pPr>
              <w:spacing w:after="0" w:line="171" w:lineRule="exact"/>
              <w:rPr>
                <w:sz w:val="20"/>
                <w:szCs w:val="20"/>
                <w:color w:val="auto"/>
              </w:rPr>
            </w:pPr>
            <w:r>
              <w:rPr>
                <w:rFonts w:ascii="Arial" w:cs="Arial" w:eastAsia="Arial" w:hAnsi="Arial"/>
                <w:sz w:val="15"/>
                <w:szCs w:val="15"/>
                <w:b w:val="1"/>
                <w:bCs w:val="1"/>
                <w:i w:val="1"/>
                <w:iCs w:val="1"/>
                <w:color w:val="auto"/>
              </w:rPr>
              <w:t>Change in Plan Assets:</w:t>
            </w:r>
          </w:p>
        </w:tc>
        <w:tc>
          <w:tcPr>
            <w:tcW w:w="1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Plan assets at fair value at beginning of year</w:t>
            </w:r>
          </w:p>
        </w:tc>
        <w:tc>
          <w:tcPr>
            <w:tcW w:w="1160" w:type="dxa"/>
            <w:vAlign w:val="bottom"/>
          </w:tcPr>
          <w:p>
            <w:pPr>
              <w:jc w:val="right"/>
              <w:ind w:right="984"/>
              <w:spacing w:after="0"/>
              <w:rPr>
                <w:sz w:val="20"/>
                <w:szCs w:val="20"/>
                <w:color w:val="auto"/>
              </w:rPr>
            </w:pPr>
            <w:r>
              <w:rPr>
                <w:rFonts w:ascii="Arial" w:cs="Arial" w:eastAsia="Arial" w:hAnsi="Arial"/>
                <w:sz w:val="15"/>
                <w:szCs w:val="15"/>
                <w:b w:val="1"/>
                <w:bCs w:val="1"/>
                <w:color w:val="auto"/>
                <w:w w:val="95"/>
              </w:rPr>
              <w:t>$</w:t>
            </w:r>
          </w:p>
        </w:tc>
        <w:tc>
          <w:tcPr>
            <w:tcW w:w="7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913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964</w:t>
            </w: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Actual return on plan assets</w:t>
            </w:r>
          </w:p>
        </w:tc>
        <w:tc>
          <w:tcPr>
            <w:tcW w:w="1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b w:val="1"/>
                <w:bCs w:val="1"/>
                <w:color w:val="auto"/>
              </w:rPr>
              <w:t>66</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w:t>
            </w: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Contributions by plan participants</w:t>
            </w:r>
          </w:p>
        </w:tc>
        <w:tc>
          <w:tcPr>
            <w:tcW w:w="1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6</w:t>
            </w: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Benefits paid</w:t>
            </w:r>
          </w:p>
        </w:tc>
        <w:tc>
          <w:tcPr>
            <w:tcW w:w="1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rPr>
              <w:t>(65)</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(58)</w:t>
            </w:r>
          </w:p>
        </w:tc>
      </w:tr>
      <w:tr>
        <w:trPr>
          <w:trHeight w:val="170"/>
        </w:trPr>
        <w:tc>
          <w:tcPr>
            <w:tcW w:w="7660" w:type="dxa"/>
            <w:vAlign w:val="bottom"/>
          </w:tcPr>
          <w:p>
            <w:pPr>
              <w:spacing w:after="0" w:line="171" w:lineRule="exact"/>
              <w:rPr>
                <w:sz w:val="20"/>
                <w:szCs w:val="20"/>
                <w:color w:val="auto"/>
              </w:rPr>
            </w:pPr>
            <w:r>
              <w:rPr>
                <w:rFonts w:ascii="Arial" w:cs="Arial" w:eastAsia="Arial" w:hAnsi="Arial"/>
                <w:sz w:val="15"/>
                <w:szCs w:val="15"/>
                <w:color w:val="auto"/>
              </w:rPr>
              <w:t>Plan assets at fair value at end of year</w:t>
            </w:r>
          </w:p>
        </w:tc>
        <w:tc>
          <w:tcPr>
            <w:tcW w:w="1160" w:type="dxa"/>
            <w:vAlign w:val="bottom"/>
            <w:tcBorders>
              <w:top w:val="single" w:sz="8" w:color="auto"/>
              <w:bottom w:val="single" w:sz="8" w:color="auto"/>
            </w:tcBorders>
          </w:tcPr>
          <w:p>
            <w:pPr>
              <w:jc w:val="right"/>
              <w:ind w:right="984"/>
              <w:spacing w:after="0" w:line="171" w:lineRule="exact"/>
              <w:rPr>
                <w:sz w:val="20"/>
                <w:szCs w:val="20"/>
                <w:color w:val="auto"/>
              </w:rPr>
            </w:pPr>
            <w:r>
              <w:rPr>
                <w:rFonts w:ascii="Arial" w:cs="Arial" w:eastAsia="Arial" w:hAnsi="Arial"/>
                <w:sz w:val="15"/>
                <w:szCs w:val="15"/>
                <w:b w:val="1"/>
                <w:bCs w:val="1"/>
                <w:color w:val="auto"/>
                <w:w w:val="95"/>
              </w:rPr>
              <w:t>$</w:t>
            </w:r>
          </w:p>
        </w:tc>
        <w:tc>
          <w:tcPr>
            <w:tcW w:w="44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918</w:t>
            </w:r>
          </w:p>
        </w:tc>
        <w:tc>
          <w:tcPr>
            <w:tcW w:w="3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913</w:t>
            </w:r>
          </w:p>
        </w:tc>
        <w:tc>
          <w:tcPr>
            <w:tcW w:w="100" w:type="dxa"/>
            <w:vAlign w:val="bottom"/>
          </w:tcPr>
          <w:p>
            <w:pPr>
              <w:spacing w:after="0"/>
              <w:rPr>
                <w:sz w:val="14"/>
                <w:szCs w:val="14"/>
                <w:color w:val="auto"/>
              </w:rPr>
            </w:pPr>
          </w:p>
        </w:tc>
      </w:tr>
      <w:tr>
        <w:trPr>
          <w:trHeight w:val="210"/>
        </w:trPr>
        <w:tc>
          <w:tcPr>
            <w:tcW w:w="7660" w:type="dxa"/>
            <w:vAlign w:val="bottom"/>
            <w:shd w:val="clear" w:color="auto" w:fill="CFF0FC"/>
          </w:tcPr>
          <w:p>
            <w:pPr>
              <w:spacing w:after="0" w:line="158" w:lineRule="exact"/>
              <w:rPr>
                <w:sz w:val="20"/>
                <w:szCs w:val="20"/>
                <w:color w:val="auto"/>
              </w:rPr>
            </w:pPr>
            <w:r>
              <w:rPr>
                <w:rFonts w:ascii="Arial" w:cs="Arial" w:eastAsia="Arial" w:hAnsi="Arial"/>
                <w:sz w:val="15"/>
                <w:szCs w:val="15"/>
                <w:b w:val="1"/>
                <w:bCs w:val="1"/>
                <w:i w:val="1"/>
                <w:iCs w:val="1"/>
                <w:color w:val="auto"/>
              </w:rPr>
              <w:t>Asset</w:t>
            </w:r>
          </w:p>
        </w:tc>
        <w:tc>
          <w:tcPr>
            <w:tcW w:w="1160" w:type="dxa"/>
            <w:vAlign w:val="bottom"/>
            <w:shd w:val="clear" w:color="auto" w:fill="CFF0FC"/>
          </w:tcPr>
          <w:p>
            <w:pPr>
              <w:jc w:val="right"/>
              <w:ind w:right="984"/>
              <w:spacing w:after="0" w:line="158" w:lineRule="exact"/>
              <w:rPr>
                <w:sz w:val="20"/>
                <w:szCs w:val="20"/>
                <w:color w:val="auto"/>
              </w:rPr>
            </w:pPr>
            <w:r>
              <w:rPr>
                <w:rFonts w:ascii="Arial" w:cs="Arial" w:eastAsia="Arial" w:hAnsi="Arial"/>
                <w:sz w:val="15"/>
                <w:szCs w:val="15"/>
                <w:b w:val="1"/>
                <w:bCs w:val="1"/>
                <w:color w:val="auto"/>
                <w:w w:val="95"/>
              </w:rPr>
              <w:t>$</w:t>
            </w:r>
          </w:p>
        </w:tc>
        <w:tc>
          <w:tcPr>
            <w:tcW w:w="760" w:type="dxa"/>
            <w:vAlign w:val="bottom"/>
            <w:gridSpan w:val="2"/>
            <w:shd w:val="clear" w:color="auto" w:fill="CFF0FC"/>
          </w:tcPr>
          <w:p>
            <w:pPr>
              <w:jc w:val="right"/>
              <w:ind w:right="320"/>
              <w:spacing w:after="0" w:line="158" w:lineRule="exact"/>
              <w:rPr>
                <w:sz w:val="20"/>
                <w:szCs w:val="20"/>
                <w:color w:val="auto"/>
              </w:rPr>
            </w:pPr>
            <w:r>
              <w:rPr>
                <w:rFonts w:ascii="Arial" w:cs="Arial" w:eastAsia="Arial" w:hAnsi="Arial"/>
                <w:sz w:val="15"/>
                <w:szCs w:val="15"/>
                <w:b w:val="1"/>
                <w:bCs w:val="1"/>
                <w:color w:val="auto"/>
              </w:rPr>
              <w:t>128</w:t>
            </w:r>
          </w:p>
        </w:tc>
        <w:tc>
          <w:tcPr>
            <w:tcW w:w="260" w:type="dxa"/>
            <w:vAlign w:val="bottom"/>
            <w:shd w:val="clear" w:color="auto" w:fill="CFF0FC"/>
          </w:tcPr>
          <w:p>
            <w:pPr>
              <w:jc w:val="right"/>
              <w:ind w:right="104"/>
              <w:spacing w:after="0" w:line="158"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5"/>
                <w:szCs w:val="15"/>
                <w:color w:val="auto"/>
              </w:rPr>
              <w:t>132</w:t>
            </w:r>
          </w:p>
        </w:tc>
      </w:tr>
      <w:tr>
        <w:trPr>
          <w:trHeight w:val="156"/>
        </w:trPr>
        <w:tc>
          <w:tcPr>
            <w:tcW w:w="7660" w:type="dxa"/>
            <w:vAlign w:val="bottom"/>
            <w:tcBorders>
              <w:top w:val="single" w:sz="8" w:color="CFF0FC"/>
            </w:tcBorders>
          </w:tcPr>
          <w:p>
            <w:pPr>
              <w:spacing w:after="0" w:line="156" w:lineRule="exact"/>
              <w:rPr>
                <w:sz w:val="20"/>
                <w:szCs w:val="20"/>
                <w:color w:val="auto"/>
              </w:rPr>
            </w:pPr>
            <w:r>
              <w:rPr>
                <w:rFonts w:ascii="Arial" w:cs="Arial" w:eastAsia="Arial" w:hAnsi="Arial"/>
                <w:sz w:val="15"/>
                <w:szCs w:val="15"/>
                <w:b w:val="1"/>
                <w:bCs w:val="1"/>
                <w:i w:val="1"/>
                <w:iCs w:val="1"/>
                <w:color w:val="auto"/>
              </w:rPr>
              <w:t>Amounts Recognized in Accumulated Other Comprehensive Loss:</w:t>
            </w:r>
          </w:p>
        </w:tc>
        <w:tc>
          <w:tcPr>
            <w:tcW w:w="1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8"/>
        </w:trPr>
        <w:tc>
          <w:tcPr>
            <w:tcW w:w="7660" w:type="dxa"/>
            <w:vAlign w:val="bottom"/>
            <w:shd w:val="clear" w:color="auto" w:fill="CFF0FC"/>
          </w:tcPr>
          <w:p>
            <w:pPr>
              <w:spacing w:after="0"/>
              <w:rPr>
                <w:sz w:val="20"/>
                <w:szCs w:val="20"/>
                <w:color w:val="auto"/>
              </w:rPr>
            </w:pPr>
            <w:r>
              <w:rPr>
                <w:rFonts w:ascii="Arial" w:cs="Arial" w:eastAsia="Arial" w:hAnsi="Arial"/>
                <w:sz w:val="15"/>
                <w:szCs w:val="15"/>
                <w:color w:val="auto"/>
              </w:rPr>
              <w:t>Actuarial gains</w:t>
            </w:r>
          </w:p>
        </w:tc>
        <w:tc>
          <w:tcPr>
            <w:tcW w:w="1160" w:type="dxa"/>
            <w:vAlign w:val="bottom"/>
            <w:shd w:val="clear" w:color="auto" w:fill="CFF0FC"/>
          </w:tcPr>
          <w:p>
            <w:pPr>
              <w:jc w:val="right"/>
              <w:ind w:right="984"/>
              <w:spacing w:after="0"/>
              <w:rPr>
                <w:sz w:val="20"/>
                <w:szCs w:val="20"/>
                <w:color w:val="auto"/>
              </w:rPr>
            </w:pPr>
            <w:r>
              <w:rPr>
                <w:rFonts w:ascii="Arial" w:cs="Arial" w:eastAsia="Arial" w:hAnsi="Arial"/>
                <w:sz w:val="15"/>
                <w:szCs w:val="15"/>
                <w:b w:val="1"/>
                <w:bCs w:val="1"/>
                <w:color w:val="auto"/>
                <w:w w:val="95"/>
              </w:rPr>
              <w:t>$</w:t>
            </w: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b w:val="1"/>
                <w:bCs w:val="1"/>
                <w:color w:val="auto"/>
              </w:rPr>
              <w:t>228</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224</w:t>
            </w:r>
          </w:p>
        </w:tc>
      </w:tr>
      <w:tr>
        <w:trPr>
          <w:trHeight w:val="178"/>
        </w:trPr>
        <w:tc>
          <w:tcPr>
            <w:tcW w:w="7660" w:type="dxa"/>
            <w:vAlign w:val="bottom"/>
          </w:tcPr>
          <w:p>
            <w:pPr>
              <w:spacing w:after="0"/>
              <w:rPr>
                <w:sz w:val="20"/>
                <w:szCs w:val="20"/>
                <w:color w:val="auto"/>
              </w:rPr>
            </w:pPr>
            <w:r>
              <w:rPr>
                <w:rFonts w:ascii="Arial" w:cs="Arial" w:eastAsia="Arial" w:hAnsi="Arial"/>
                <w:sz w:val="15"/>
                <w:szCs w:val="15"/>
                <w:color w:val="auto"/>
              </w:rPr>
              <w:t>Prior service credit</w:t>
            </w:r>
          </w:p>
        </w:tc>
        <w:tc>
          <w:tcPr>
            <w:tcW w:w="1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13</w:t>
            </w:r>
          </w:p>
        </w:tc>
      </w:tr>
      <w:tr>
        <w:trPr>
          <w:trHeight w:val="20"/>
        </w:trPr>
        <w:tc>
          <w:tcPr>
            <w:tcW w:w="7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6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984"/>
              <w:spacing w:after="0" w:line="171" w:lineRule="exact"/>
              <w:rPr>
                <w:sz w:val="20"/>
                <w:szCs w:val="20"/>
                <w:color w:val="auto"/>
              </w:rPr>
            </w:pPr>
            <w:r>
              <w:rPr>
                <w:rFonts w:ascii="Arial" w:cs="Arial" w:eastAsia="Arial" w:hAnsi="Arial"/>
                <w:sz w:val="15"/>
                <w:szCs w:val="15"/>
                <w:b w:val="1"/>
                <w:bCs w:val="1"/>
                <w:color w:val="auto"/>
                <w:w w:val="95"/>
              </w:rPr>
              <w:t>$</w:t>
            </w:r>
          </w:p>
        </w:tc>
        <w:tc>
          <w:tcPr>
            <w:tcW w:w="760" w:type="dxa"/>
            <w:vAlign w:val="bottom"/>
            <w:gridSpan w:val="2"/>
            <w:shd w:val="clear" w:color="auto" w:fill="CFF0FC"/>
          </w:tcPr>
          <w:p>
            <w:pPr>
              <w:jc w:val="right"/>
              <w:ind w:right="320"/>
              <w:spacing w:after="0" w:line="171" w:lineRule="exact"/>
              <w:rPr>
                <w:sz w:val="20"/>
                <w:szCs w:val="20"/>
                <w:color w:val="auto"/>
              </w:rPr>
            </w:pPr>
            <w:r>
              <w:rPr>
                <w:rFonts w:ascii="Arial" w:cs="Arial" w:eastAsia="Arial" w:hAnsi="Arial"/>
                <w:sz w:val="15"/>
                <w:szCs w:val="15"/>
                <w:b w:val="1"/>
                <w:bCs w:val="1"/>
                <w:color w:val="auto"/>
              </w:rPr>
              <w:t>228</w:t>
            </w:r>
          </w:p>
        </w:tc>
        <w:tc>
          <w:tcPr>
            <w:tcW w:w="260" w:type="dxa"/>
            <w:vAlign w:val="bottom"/>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237</w:t>
            </w: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5871845</wp:posOffset>
            </wp:positionH>
            <wp:positionV relativeFrom="paragraph">
              <wp:posOffset>-1454785</wp:posOffset>
            </wp:positionV>
            <wp:extent cx="97790"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97790" cy="15430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-1454785</wp:posOffset>
            </wp:positionV>
            <wp:extent cx="90170" cy="154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90170" cy="15430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-761365</wp:posOffset>
            </wp:positionV>
            <wp:extent cx="97790" cy="154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7790" cy="15430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-761365</wp:posOffset>
            </wp:positionV>
            <wp:extent cx="90170" cy="154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0170" cy="15430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-507365</wp:posOffset>
            </wp:positionV>
            <wp:extent cx="723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-490855</wp:posOffset>
            </wp:positionV>
            <wp:extent cx="723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-507365</wp:posOffset>
            </wp:positionV>
            <wp:extent cx="647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-490855</wp:posOffset>
            </wp:positionV>
            <wp:extent cx="647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-23495</wp:posOffset>
            </wp:positionV>
            <wp:extent cx="723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-7620</wp:posOffset>
            </wp:positionV>
            <wp:extent cx="723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647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647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asset balance relating to this plan was included in </w:t>
      </w:r>
      <w:r>
        <w:rPr>
          <w:rFonts w:ascii="Arial" w:cs="Arial" w:eastAsia="Arial" w:hAnsi="Arial"/>
          <w:sz w:val="15"/>
          <w:szCs w:val="15"/>
          <w:i w:val="1"/>
          <w:iCs w:val="1"/>
          <w:color w:val="auto"/>
        </w:rPr>
        <w:t>Other Assets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assets of the US postretirement medical plan are invested 84% in debt securities and 16% in equity securities at December 31, 2025. The fair value of these assets was primarily determined based on Level Two valuation techniques.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expected benefits to be paid under the US and International pension plans as well as the postretirement medical plan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39"/>
        </w:trPr>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0" w:type="dxa"/>
            <w:vAlign w:val="bottom"/>
            <w:gridSpan w:val="6"/>
          </w:tcPr>
          <w:p>
            <w:pPr>
              <w:ind w:left="100"/>
              <w:spacing w:after="0"/>
              <w:rPr>
                <w:sz w:val="20"/>
                <w:szCs w:val="20"/>
                <w:color w:val="auto"/>
              </w:rPr>
            </w:pPr>
            <w:r>
              <w:rPr>
                <w:rFonts w:ascii="Arial" w:cs="Arial" w:eastAsia="Arial" w:hAnsi="Arial"/>
                <w:sz w:val="15"/>
                <w:szCs w:val="15"/>
                <w:color w:val="auto"/>
              </w:rPr>
              <w:t>Pension Plans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Postretirement</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64"/>
              <w:spacing w:after="0" w:line="171" w:lineRule="exact"/>
              <w:rPr>
                <w:sz w:val="20"/>
                <w:szCs w:val="20"/>
                <w:color w:val="auto"/>
              </w:rPr>
            </w:pPr>
            <w:r>
              <w:rPr>
                <w:rFonts w:ascii="Arial" w:cs="Arial" w:eastAsia="Arial" w:hAnsi="Arial"/>
                <w:sz w:val="15"/>
                <w:szCs w:val="15"/>
                <w:color w:val="auto"/>
              </w:rPr>
              <w:t>US</w:t>
            </w:r>
          </w:p>
        </w:tc>
        <w:tc>
          <w:tcPr>
            <w:tcW w:w="4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84"/>
              <w:spacing w:after="0" w:line="171" w:lineRule="exact"/>
              <w:rPr>
                <w:sz w:val="20"/>
                <w:szCs w:val="20"/>
                <w:color w:val="auto"/>
              </w:rPr>
            </w:pPr>
            <w:r>
              <w:rPr>
                <w:rFonts w:ascii="Arial" w:cs="Arial" w:eastAsia="Arial" w:hAnsi="Arial"/>
                <w:sz w:val="15"/>
                <w:szCs w:val="15"/>
                <w:color w:val="auto"/>
              </w:rPr>
              <w:t>International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00"/>
              <w:spacing w:after="0" w:line="171" w:lineRule="exact"/>
              <w:rPr>
                <w:sz w:val="20"/>
                <w:szCs w:val="20"/>
                <w:color w:val="auto"/>
              </w:rPr>
            </w:pPr>
            <w:r>
              <w:rPr>
                <w:rFonts w:ascii="Arial" w:cs="Arial" w:eastAsia="Arial" w:hAnsi="Arial"/>
                <w:sz w:val="15"/>
                <w:szCs w:val="15"/>
                <w:color w:val="auto"/>
              </w:rPr>
              <w:t>Medical Plan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gridSpan w:val="2"/>
            <w:shd w:val="clear" w:color="auto" w:fill="CFF0FC"/>
          </w:tcPr>
          <w:p>
            <w:pPr>
              <w:spacing w:after="0" w:line="171" w:lineRule="exact"/>
              <w:rPr>
                <w:sz w:val="20"/>
                <w:szCs w:val="20"/>
                <w:color w:val="auto"/>
              </w:rPr>
            </w:pPr>
            <w:r>
              <w:rPr>
                <w:rFonts w:ascii="Arial" w:cs="Arial" w:eastAsia="Arial" w:hAnsi="Arial"/>
                <w:sz w:val="15"/>
                <w:szCs w:val="15"/>
                <w:color w:val="auto"/>
              </w:rPr>
              <w:t>2026</w:t>
            </w:r>
          </w:p>
        </w:tc>
        <w:tc>
          <w:tcPr>
            <w:tcW w:w="4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64"/>
              <w:spacing w:after="0" w:line="171" w:lineRule="exact"/>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233</w:t>
            </w:r>
          </w:p>
        </w:tc>
        <w:tc>
          <w:tcPr>
            <w:tcW w:w="1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447</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78"/>
        </w:trPr>
        <w:tc>
          <w:tcPr>
            <w:tcW w:w="2280" w:type="dxa"/>
            <w:vAlign w:val="bottom"/>
            <w:gridSpan w:val="2"/>
          </w:tcPr>
          <w:p>
            <w:pPr>
              <w:spacing w:after="0"/>
              <w:rPr>
                <w:sz w:val="20"/>
                <w:szCs w:val="20"/>
                <w:color w:val="auto"/>
              </w:rPr>
            </w:pPr>
            <w:r>
              <w:rPr>
                <w:rFonts w:ascii="Arial" w:cs="Arial" w:eastAsia="Arial" w:hAnsi="Arial"/>
                <w:sz w:val="15"/>
                <w:szCs w:val="15"/>
                <w:color w:val="auto"/>
              </w:rPr>
              <w:t>2027</w:t>
            </w:r>
          </w:p>
        </w:tc>
        <w:tc>
          <w:tcPr>
            <w:tcW w:w="4280" w:type="dxa"/>
            <w:vAlign w:val="bottom"/>
          </w:tcPr>
          <w:p>
            <w:pPr>
              <w:spacing w:after="0"/>
              <w:rPr>
                <w:sz w:val="15"/>
                <w:szCs w:val="15"/>
                <w:color w:val="auto"/>
              </w:rPr>
            </w:pP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234</w:t>
            </w:r>
          </w:p>
        </w:tc>
        <w:tc>
          <w:tcPr>
            <w:tcW w:w="140" w:type="dxa"/>
            <w:vAlign w:val="bottom"/>
          </w:tcPr>
          <w:p>
            <w:pPr>
              <w:spacing w:after="0"/>
              <w:rPr>
                <w:sz w:val="15"/>
                <w:szCs w:val="15"/>
                <w:color w:val="auto"/>
              </w:rPr>
            </w:pPr>
          </w:p>
        </w:tc>
        <w:tc>
          <w:tcPr>
            <w:tcW w:w="3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463</w:t>
            </w:r>
          </w:p>
        </w:tc>
        <w:tc>
          <w:tcPr>
            <w:tcW w:w="1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78"/>
        </w:trPr>
        <w:tc>
          <w:tcPr>
            <w:tcW w:w="22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2028</w:t>
            </w:r>
          </w:p>
        </w:tc>
        <w:tc>
          <w:tcPr>
            <w:tcW w:w="42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477</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78"/>
        </w:trPr>
        <w:tc>
          <w:tcPr>
            <w:tcW w:w="2280" w:type="dxa"/>
            <w:vAlign w:val="bottom"/>
            <w:gridSpan w:val="2"/>
          </w:tcPr>
          <w:p>
            <w:pPr>
              <w:spacing w:after="0"/>
              <w:rPr>
                <w:sz w:val="20"/>
                <w:szCs w:val="20"/>
                <w:color w:val="auto"/>
              </w:rPr>
            </w:pPr>
            <w:r>
              <w:rPr>
                <w:rFonts w:ascii="Arial" w:cs="Arial" w:eastAsia="Arial" w:hAnsi="Arial"/>
                <w:sz w:val="15"/>
                <w:szCs w:val="15"/>
                <w:color w:val="auto"/>
              </w:rPr>
              <w:t>2029</w:t>
            </w:r>
          </w:p>
        </w:tc>
        <w:tc>
          <w:tcPr>
            <w:tcW w:w="4280" w:type="dxa"/>
            <w:vAlign w:val="bottom"/>
          </w:tcPr>
          <w:p>
            <w:pPr>
              <w:spacing w:after="0"/>
              <w:rPr>
                <w:sz w:val="15"/>
                <w:szCs w:val="15"/>
                <w:color w:val="auto"/>
              </w:rPr>
            </w:pP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236</w:t>
            </w:r>
          </w:p>
        </w:tc>
        <w:tc>
          <w:tcPr>
            <w:tcW w:w="140" w:type="dxa"/>
            <w:vAlign w:val="bottom"/>
          </w:tcPr>
          <w:p>
            <w:pPr>
              <w:spacing w:after="0"/>
              <w:rPr>
                <w:sz w:val="15"/>
                <w:szCs w:val="15"/>
                <w:color w:val="auto"/>
              </w:rPr>
            </w:pPr>
          </w:p>
        </w:tc>
        <w:tc>
          <w:tcPr>
            <w:tcW w:w="3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493</w:t>
            </w:r>
          </w:p>
        </w:tc>
        <w:tc>
          <w:tcPr>
            <w:tcW w:w="1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8"/>
        </w:trPr>
        <w:tc>
          <w:tcPr>
            <w:tcW w:w="22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2030</w:t>
            </w:r>
          </w:p>
        </w:tc>
        <w:tc>
          <w:tcPr>
            <w:tcW w:w="428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0"/>
        </w:trPr>
        <w:tc>
          <w:tcPr>
            <w:tcW w:w="2280" w:type="dxa"/>
            <w:vAlign w:val="bottom"/>
            <w:gridSpan w:val="2"/>
          </w:tcPr>
          <w:p>
            <w:pPr>
              <w:spacing w:after="0"/>
              <w:rPr>
                <w:sz w:val="20"/>
                <w:szCs w:val="20"/>
                <w:color w:val="auto"/>
              </w:rPr>
            </w:pPr>
            <w:r>
              <w:rPr>
                <w:rFonts w:ascii="Arial" w:cs="Arial" w:eastAsia="Arial" w:hAnsi="Arial"/>
                <w:sz w:val="15"/>
                <w:szCs w:val="15"/>
                <w:color w:val="auto"/>
              </w:rPr>
              <w:t>2031-2035</w:t>
            </w:r>
          </w:p>
        </w:tc>
        <w:tc>
          <w:tcPr>
            <w:tcW w:w="4280" w:type="dxa"/>
            <w:vAlign w:val="bottom"/>
          </w:tcPr>
          <w:p>
            <w:pPr>
              <w:spacing w:after="0"/>
              <w:rPr>
                <w:sz w:val="17"/>
                <w:szCs w:val="17"/>
                <w:color w:val="auto"/>
              </w:rPr>
            </w:pP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1,185</w:t>
            </w:r>
          </w:p>
        </w:tc>
        <w:tc>
          <w:tcPr>
            <w:tcW w:w="3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2,670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511"/>
        </w:trPr>
        <w:tc>
          <w:tcPr>
            <w:tcW w:w="6560" w:type="dxa"/>
            <w:vAlign w:val="bottom"/>
            <w:gridSpan w:val="3"/>
          </w:tcPr>
          <w:p>
            <w:pPr>
              <w:spacing w:after="0"/>
              <w:rPr>
                <w:sz w:val="20"/>
                <w:szCs w:val="20"/>
                <w:color w:val="auto"/>
              </w:rPr>
            </w:pPr>
            <w:r>
              <w:rPr>
                <w:rFonts w:ascii="Arial" w:cs="Arial" w:eastAsia="Arial" w:hAnsi="Arial"/>
                <w:sz w:val="15"/>
                <w:szCs w:val="15"/>
                <w:b w:val="1"/>
                <w:bCs w:val="1"/>
                <w:color w:val="auto"/>
              </w:rPr>
              <w:t>18. Supplementary Information</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560" w:type="dxa"/>
            <w:vAlign w:val="bottom"/>
            <w:gridSpan w:val="3"/>
          </w:tcPr>
          <w:p>
            <w:pPr>
              <w:spacing w:after="0"/>
              <w:rPr>
                <w:sz w:val="20"/>
                <w:szCs w:val="20"/>
                <w:color w:val="auto"/>
              </w:rPr>
            </w:pPr>
            <w:r>
              <w:rPr>
                <w:rFonts w:ascii="Arial" w:cs="Arial" w:eastAsia="Arial" w:hAnsi="Arial"/>
                <w:sz w:val="15"/>
                <w:szCs w:val="15"/>
                <w:color w:val="auto"/>
              </w:rPr>
              <w:t>Cash paid for interest was $560 million in 2025, $510 million in 2024, and $503 million in 2023.</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560" w:type="dxa"/>
            <w:vAlign w:val="bottom"/>
            <w:gridSpan w:val="3"/>
          </w:tcPr>
          <w:p>
            <w:pPr>
              <w:spacing w:after="0"/>
              <w:rPr>
                <w:sz w:val="20"/>
                <w:szCs w:val="20"/>
                <w:color w:val="auto"/>
              </w:rPr>
            </w:pPr>
            <w:r>
              <w:rPr>
                <w:rFonts w:ascii="Arial" w:cs="Arial" w:eastAsia="Arial" w:hAnsi="Arial"/>
                <w:sz w:val="15"/>
                <w:szCs w:val="15"/>
                <w:i w:val="1"/>
                <w:iCs w:val="1"/>
                <w:color w:val="auto"/>
              </w:rPr>
              <w:t xml:space="preserve">Interest and other income </w:t>
            </w:r>
            <w:r>
              <w:rPr>
                <w:rFonts w:ascii="Arial" w:cs="Arial" w:eastAsia="Arial" w:hAnsi="Arial"/>
                <w:sz w:val="15"/>
                <w:szCs w:val="15"/>
                <w:color w:val="auto"/>
              </w:rPr>
              <w:t>includes the following:</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39"/>
        </w:trPr>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color w:val="auto"/>
              </w:rPr>
              <w:t>2024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560" w:type="dxa"/>
            <w:vAlign w:val="bottom"/>
            <w:gridSpan w:val="3"/>
            <w:shd w:val="clear" w:color="auto" w:fill="CFF0FC"/>
          </w:tcPr>
          <w:p>
            <w:pPr>
              <w:spacing w:after="0" w:line="171" w:lineRule="exact"/>
              <w:rPr>
                <w:sz w:val="20"/>
                <w:szCs w:val="20"/>
                <w:color w:val="auto"/>
              </w:rPr>
            </w:pPr>
            <w:r>
              <w:rPr>
                <w:rFonts w:ascii="Arial" w:cs="Arial" w:eastAsia="Arial" w:hAnsi="Arial"/>
                <w:sz w:val="15"/>
                <w:szCs w:val="15"/>
                <w:color w:val="auto"/>
              </w:rPr>
              <w:t>Earnings of equity method investments</w:t>
            </w:r>
          </w:p>
        </w:tc>
        <w:tc>
          <w:tcPr>
            <w:tcW w:w="920" w:type="dxa"/>
            <w:vAlign w:val="bottom"/>
            <w:shd w:val="clear" w:color="auto" w:fill="CFF0FC"/>
          </w:tcPr>
          <w:p>
            <w:pPr>
              <w:jc w:val="right"/>
              <w:ind w:right="764"/>
              <w:spacing w:after="0" w:line="171" w:lineRule="exact"/>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196</w:t>
            </w:r>
          </w:p>
        </w:tc>
        <w:tc>
          <w:tcPr>
            <w:tcW w:w="1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24"/>
              <w:spacing w:after="0" w:line="171"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182</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60" w:type="dxa"/>
            <w:vAlign w:val="bottom"/>
            <w:gridSpan w:val="3"/>
          </w:tcPr>
          <w:p>
            <w:pPr>
              <w:spacing w:after="0"/>
              <w:rPr>
                <w:sz w:val="20"/>
                <w:szCs w:val="20"/>
                <w:color w:val="auto"/>
              </w:rPr>
            </w:pPr>
            <w:r>
              <w:rPr>
                <w:rFonts w:ascii="Arial" w:cs="Arial" w:eastAsia="Arial" w:hAnsi="Arial"/>
                <w:sz w:val="15"/>
                <w:szCs w:val="15"/>
                <w:color w:val="auto"/>
              </w:rPr>
              <w:t>Gain on sale of Palliser APS project *</w:t>
            </w: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149</w:t>
            </w:r>
          </w:p>
        </w:tc>
        <w:tc>
          <w:tcPr>
            <w:tcW w:w="140" w:type="dxa"/>
            <w:vAlign w:val="bottom"/>
          </w:tcPr>
          <w:p>
            <w:pPr>
              <w:spacing w:after="0"/>
              <w:rPr>
                <w:sz w:val="15"/>
                <w:szCs w:val="15"/>
                <w:color w:val="auto"/>
              </w:rPr>
            </w:pPr>
          </w:p>
        </w:tc>
        <w:tc>
          <w:tcPr>
            <w:tcW w:w="3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6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Interest income</w:t>
            </w: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136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60" w:type="dxa"/>
            <w:vAlign w:val="bottom"/>
            <w:gridSpan w:val="3"/>
          </w:tcPr>
          <w:p>
            <w:pPr>
              <w:spacing w:after="0"/>
              <w:rPr>
                <w:sz w:val="20"/>
                <w:szCs w:val="20"/>
                <w:color w:val="auto"/>
              </w:rPr>
            </w:pPr>
            <w:r>
              <w:rPr>
                <w:rFonts w:ascii="Arial" w:cs="Arial" w:eastAsia="Arial" w:hAnsi="Arial"/>
                <w:sz w:val="15"/>
                <w:szCs w:val="15"/>
                <w:color w:val="auto"/>
              </w:rPr>
              <w:t>Gain on sale of investment *</w:t>
            </w: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6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Gain on sale of Liberty shares *</w:t>
            </w:r>
          </w:p>
        </w:tc>
        <w:tc>
          <w:tcPr>
            <w:tcW w:w="9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20" w:type="dxa"/>
            <w:vAlign w:val="bottom"/>
            <w:tcBorders>
              <w:bottom w:val="single" w:sz="8" w:color="auto"/>
            </w:tcBorders>
          </w:tcPr>
          <w:p>
            <w:pPr>
              <w:jc w:val="right"/>
              <w:ind w:right="764"/>
              <w:spacing w:after="0" w:line="171" w:lineRule="exact"/>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b w:val="1"/>
                <w:bCs w:val="1"/>
                <w:color w:val="auto"/>
              </w:rPr>
              <w:t>481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4"/>
              <w:spacing w:after="0" w:line="171"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342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ind w:left="5540"/>
              <w:spacing w:after="0"/>
              <w:rPr>
                <w:sz w:val="20"/>
                <w:szCs w:val="20"/>
                <w:color w:val="auto"/>
              </w:rPr>
            </w:pPr>
            <w:r>
              <w:rPr>
                <w:rFonts w:ascii="Arial" w:cs="Arial" w:eastAsia="Arial" w:hAnsi="Arial"/>
                <w:sz w:val="15"/>
                <w:szCs w:val="15"/>
                <w:color w:val="auto"/>
              </w:rPr>
              <w:t>57</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656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6"/>
        </w:trPr>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7" w:name="page58"/>
    <w:bookmarkEnd w:id="57"/>
    <w:p>
      <w:pPr>
        <w:spacing w:after="0"/>
        <w:rPr>
          <w:sz w:val="20"/>
          <w:szCs w:val="20"/>
          <w:color w:val="auto"/>
        </w:rPr>
      </w:pPr>
      <w:r>
        <w:rPr>
          <w:rFonts w:ascii="Arial" w:cs="Arial" w:eastAsia="Arial" w:hAnsi="Arial"/>
          <w:sz w:val="15"/>
          <w:szCs w:val="15"/>
          <w:color w:val="auto"/>
        </w:rPr>
        <w:t xml:space="preserve">* See Note 3 – </w:t>
      </w:r>
      <w:r>
        <w:rPr>
          <w:rFonts w:ascii="Arial" w:cs="Arial" w:eastAsia="Arial" w:hAnsi="Arial"/>
          <w:sz w:val="15"/>
          <w:szCs w:val="15"/>
          <w:i w:val="1"/>
          <w:iCs w:val="1"/>
          <w:color w:val="auto"/>
        </w:rPr>
        <w:t>Charges and Credits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depreciation and amortization expense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339"/>
        </w:trPr>
        <w:tc>
          <w:tcPr>
            <w:tcW w:w="6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rPr>
              <w:t>2024</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580" w:type="dxa"/>
            <w:vAlign w:val="bottom"/>
            <w:tcBorders>
              <w:right w:val="single" w:sz="8" w:color="CFF0FC"/>
            </w:tcBorders>
            <w:shd w:val="clear" w:color="auto" w:fill="CFF0FC"/>
          </w:tcPr>
          <w:p>
            <w:pPr>
              <w:spacing w:after="0" w:line="171" w:lineRule="exact"/>
              <w:rPr>
                <w:sz w:val="20"/>
                <w:szCs w:val="20"/>
                <w:color w:val="auto"/>
              </w:rPr>
            </w:pPr>
            <w:r>
              <w:rPr>
                <w:rFonts w:ascii="Arial" w:cs="Arial" w:eastAsia="Arial" w:hAnsi="Arial"/>
                <w:sz w:val="15"/>
                <w:szCs w:val="15"/>
                <w:color w:val="auto"/>
              </w:rPr>
              <w:t>Depreciation of fixed assets</w:t>
            </w:r>
          </w:p>
        </w:tc>
        <w:tc>
          <w:tcPr>
            <w:tcW w:w="280" w:type="dxa"/>
            <w:vAlign w:val="bottom"/>
            <w:shd w:val="clear" w:color="auto" w:fill="CFF0FC"/>
          </w:tcPr>
          <w:p>
            <w:pPr>
              <w:spacing w:after="0"/>
              <w:rPr>
                <w:sz w:val="14"/>
                <w:szCs w:val="14"/>
                <w:color w:val="auto"/>
              </w:rPr>
            </w:pPr>
          </w:p>
        </w:tc>
        <w:tc>
          <w:tcPr>
            <w:tcW w:w="1340" w:type="dxa"/>
            <w:vAlign w:val="bottom"/>
            <w:tcBorders>
              <w:right w:val="single" w:sz="8" w:color="CFF0FC"/>
            </w:tcBorders>
            <w:gridSpan w:val="3"/>
            <w:shd w:val="clear" w:color="auto" w:fill="CFF0FC"/>
          </w:tcPr>
          <w:p>
            <w:pPr>
              <w:jc w:val="right"/>
              <w:ind w:right="180"/>
              <w:spacing w:after="0" w:line="171" w:lineRule="exact"/>
              <w:rPr>
                <w:sz w:val="20"/>
                <w:szCs w:val="20"/>
                <w:color w:val="auto"/>
              </w:rPr>
            </w:pPr>
            <w:r>
              <w:rPr>
                <w:rFonts w:ascii="Arial" w:cs="Arial" w:eastAsia="Arial" w:hAnsi="Arial"/>
                <w:sz w:val="15"/>
                <w:szCs w:val="15"/>
                <w:b w:val="1"/>
                <w:bCs w:val="1"/>
                <w:color w:val="auto"/>
              </w:rPr>
              <w:t>$1,733</w:t>
            </w:r>
          </w:p>
        </w:tc>
        <w:tc>
          <w:tcPr>
            <w:tcW w:w="30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00"/>
              <w:spacing w:after="0" w:line="171" w:lineRule="exact"/>
              <w:rPr>
                <w:sz w:val="20"/>
                <w:szCs w:val="20"/>
                <w:color w:val="auto"/>
              </w:rPr>
            </w:pPr>
            <w:r>
              <w:rPr>
                <w:rFonts w:ascii="Arial" w:cs="Arial" w:eastAsia="Arial" w:hAnsi="Arial"/>
                <w:sz w:val="15"/>
                <w:szCs w:val="15"/>
                <w:color w:val="auto"/>
              </w:rPr>
              <w:t>$1,551</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$1,445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280" w:type="dxa"/>
            <w:vAlign w:val="bottom"/>
          </w:tcPr>
          <w:p>
            <w:pPr>
              <w:spacing w:after="0"/>
              <w:rPr>
                <w:sz w:val="15"/>
                <w:szCs w:val="15"/>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rPr>
              <w:t>376</w:t>
            </w:r>
          </w:p>
        </w:tc>
        <w:tc>
          <w:tcPr>
            <w:tcW w:w="3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334</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Amortization of APS investments</w:t>
            </w:r>
          </w:p>
        </w:tc>
        <w:tc>
          <w:tcPr>
            <w:tcW w:w="280" w:type="dxa"/>
            <w:vAlign w:val="bottom"/>
            <w:shd w:val="clear" w:color="auto" w:fill="CFF0FC"/>
          </w:tcPr>
          <w:p>
            <w:pPr>
              <w:spacing w:after="0"/>
              <w:rPr>
                <w:sz w:val="15"/>
                <w:szCs w:val="15"/>
                <w:color w:val="auto"/>
              </w:rPr>
            </w:pPr>
          </w:p>
        </w:tc>
        <w:tc>
          <w:tcPr>
            <w:tcW w:w="13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5"/>
                <w:szCs w:val="15"/>
                <w:b w:val="1"/>
                <w:bCs w:val="1"/>
                <w:color w:val="auto"/>
              </w:rPr>
              <w:t>369</w:t>
            </w:r>
          </w:p>
        </w:tc>
        <w:tc>
          <w:tcPr>
            <w:tcW w:w="30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481</w:t>
            </w: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20"/>
                <w:szCs w:val="20"/>
                <w:color w:val="auto"/>
              </w:rPr>
            </w:pPr>
            <w:r>
              <w:rPr>
                <w:rFonts w:ascii="Arial" w:cs="Arial" w:eastAsia="Arial" w:hAnsi="Arial"/>
                <w:sz w:val="15"/>
                <w:szCs w:val="15"/>
                <w:color w:val="auto"/>
              </w:rPr>
              <w:t>Amortization of exploration data costs</w:t>
            </w:r>
          </w:p>
        </w:tc>
        <w:tc>
          <w:tcPr>
            <w:tcW w:w="280" w:type="dxa"/>
            <w:vAlign w:val="bottom"/>
          </w:tcPr>
          <w:p>
            <w:pPr>
              <w:spacing w:after="0"/>
              <w:rPr>
                <w:sz w:val="15"/>
                <w:szCs w:val="15"/>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rPr>
              <w:t>165</w:t>
            </w:r>
          </w:p>
        </w:tc>
        <w:tc>
          <w:tcPr>
            <w:tcW w:w="3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153</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3"/>
            <w:shd w:val="clear" w:color="auto" w:fill="CFF0FC"/>
          </w:tcPr>
          <w:p>
            <w:pPr>
              <w:jc w:val="right"/>
              <w:ind w:right="180"/>
              <w:spacing w:after="0" w:line="171" w:lineRule="exact"/>
              <w:rPr>
                <w:sz w:val="20"/>
                <w:szCs w:val="20"/>
                <w:color w:val="auto"/>
              </w:rPr>
            </w:pPr>
            <w:r>
              <w:rPr>
                <w:rFonts w:ascii="Arial" w:cs="Arial" w:eastAsia="Arial" w:hAnsi="Arial"/>
                <w:sz w:val="15"/>
                <w:szCs w:val="15"/>
                <w:b w:val="1"/>
                <w:bCs w:val="1"/>
                <w:color w:val="auto"/>
              </w:rPr>
              <w:t>$2,643</w:t>
            </w:r>
          </w:p>
        </w:tc>
        <w:tc>
          <w:tcPr>
            <w:tcW w:w="30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200"/>
              <w:spacing w:after="0" w:line="171" w:lineRule="exact"/>
              <w:rPr>
                <w:sz w:val="20"/>
                <w:szCs w:val="20"/>
                <w:color w:val="auto"/>
              </w:rPr>
            </w:pPr>
            <w:r>
              <w:rPr>
                <w:rFonts w:ascii="Arial" w:cs="Arial" w:eastAsia="Arial" w:hAnsi="Arial"/>
                <w:sz w:val="15"/>
                <w:szCs w:val="15"/>
                <w:color w:val="auto"/>
              </w:rPr>
              <w:t>$2,519</w:t>
            </w: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line="171" w:lineRule="exact"/>
              <w:rPr>
                <w:sz w:val="20"/>
                <w:szCs w:val="20"/>
                <w:color w:val="auto"/>
              </w:rPr>
            </w:pPr>
            <w:r>
              <w:rPr>
                <w:rFonts w:ascii="Arial" w:cs="Arial" w:eastAsia="Arial" w:hAnsi="Arial"/>
                <w:sz w:val="15"/>
                <w:szCs w:val="15"/>
                <w:color w:val="auto"/>
              </w:rPr>
              <w:t>$2,312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6"/>
        </w:trPr>
        <w:tc>
          <w:tcPr>
            <w:tcW w:w="6580" w:type="dxa"/>
            <w:vAlign w:val="bottom"/>
            <w:tcBorders>
              <w:top w:val="single" w:sz="8" w:color="CFF0FC"/>
            </w:tcBorders>
          </w:tcPr>
          <w:p>
            <w:pPr>
              <w:spacing w:after="0"/>
              <w:rPr>
                <w:sz w:val="20"/>
                <w:szCs w:val="20"/>
                <w:color w:val="auto"/>
              </w:rPr>
            </w:pPr>
            <w:r>
              <w:rPr>
                <w:rFonts w:ascii="Arial" w:cs="Arial" w:eastAsia="Arial" w:hAnsi="Arial"/>
                <w:sz w:val="15"/>
                <w:szCs w:val="15"/>
                <w:color w:val="auto"/>
              </w:rPr>
              <w:t xml:space="preserve">The change in </w:t>
            </w:r>
            <w:r>
              <w:rPr>
                <w:rFonts w:ascii="Arial" w:cs="Arial" w:eastAsia="Arial" w:hAnsi="Arial"/>
                <w:sz w:val="15"/>
                <w:szCs w:val="15"/>
                <w:i w:val="1"/>
                <w:iCs w:val="1"/>
                <w:color w:val="auto"/>
              </w:rPr>
              <w:t>Allowance for doubtful accounts</w:t>
            </w:r>
            <w:r>
              <w:rPr>
                <w:rFonts w:ascii="Arial" w:cs="Arial" w:eastAsia="Arial" w:hAnsi="Arial"/>
                <w:sz w:val="15"/>
                <w:szCs w:val="15"/>
                <w:color w:val="auto"/>
              </w:rPr>
              <w:t xml:space="preserve"> was as follows:</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39"/>
        </w:trPr>
        <w:tc>
          <w:tcPr>
            <w:tcW w:w="6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rPr>
              <w:t>2024</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580" w:type="dxa"/>
            <w:vAlign w:val="bottom"/>
            <w:tcBorders>
              <w:right w:val="single" w:sz="8" w:color="CFF0FC"/>
            </w:tcBorders>
            <w:shd w:val="clear" w:color="auto" w:fill="CFF0FC"/>
          </w:tcPr>
          <w:p>
            <w:pPr>
              <w:spacing w:after="0" w:line="171" w:lineRule="exact"/>
              <w:rPr>
                <w:sz w:val="20"/>
                <w:szCs w:val="20"/>
                <w:color w:val="auto"/>
              </w:rPr>
            </w:pPr>
            <w:r>
              <w:rPr>
                <w:rFonts w:ascii="Arial" w:cs="Arial" w:eastAsia="Arial" w:hAnsi="Arial"/>
                <w:sz w:val="15"/>
                <w:szCs w:val="15"/>
                <w:color w:val="auto"/>
              </w:rPr>
              <w:t>Balance at beginning of year</w:t>
            </w:r>
          </w:p>
        </w:tc>
        <w:tc>
          <w:tcPr>
            <w:tcW w:w="280" w:type="dxa"/>
            <w:vAlign w:val="bottom"/>
            <w:shd w:val="clear" w:color="auto" w:fill="CFF0FC"/>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06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325</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jc w:val="right"/>
              <w:ind w:right="144"/>
              <w:spacing w:after="0" w:line="171" w:lineRule="exact"/>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FF0FC"/>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337</w:t>
            </w: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340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20"/>
                <w:szCs w:val="20"/>
                <w:color w:val="auto"/>
              </w:rPr>
            </w:pPr>
            <w:r>
              <w:rPr>
                <w:rFonts w:ascii="Arial" w:cs="Arial" w:eastAsia="Arial" w:hAnsi="Arial"/>
                <w:sz w:val="15"/>
                <w:szCs w:val="15"/>
                <w:color w:val="auto"/>
              </w:rPr>
              <w:t>Additions</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Amounts written off</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b w:val="1"/>
                <w:bCs w:val="1"/>
                <w:color w:val="auto"/>
              </w:rPr>
              <w:t>(14)</w:t>
            </w:r>
          </w:p>
        </w:tc>
        <w:tc>
          <w:tcPr>
            <w:tcW w:w="18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8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80" w:type="dxa"/>
            <w:vAlign w:val="bottom"/>
          </w:tcPr>
          <w:p>
            <w:pPr>
              <w:spacing w:after="0" w:line="158" w:lineRule="exact"/>
              <w:rPr>
                <w:sz w:val="20"/>
                <w:szCs w:val="20"/>
                <w:color w:val="auto"/>
              </w:rPr>
            </w:pPr>
            <w:r>
              <w:rPr>
                <w:rFonts w:ascii="Arial" w:cs="Arial" w:eastAsia="Arial" w:hAnsi="Arial"/>
                <w:sz w:val="15"/>
                <w:szCs w:val="15"/>
                <w:color w:val="auto"/>
              </w:rPr>
              <w:t>Balance at end of year</w:t>
            </w:r>
          </w:p>
        </w:tc>
        <w:tc>
          <w:tcPr>
            <w:tcW w:w="280" w:type="dxa"/>
            <w:vAlign w:val="bottom"/>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335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ind w:right="144"/>
              <w:spacing w:after="0" w:line="158"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58" w:lineRule="exact"/>
              <w:rPr>
                <w:sz w:val="20"/>
                <w:szCs w:val="20"/>
                <w:color w:val="auto"/>
              </w:rPr>
            </w:pPr>
            <w:r>
              <w:rPr>
                <w:rFonts w:ascii="Arial" w:cs="Arial" w:eastAsia="Arial" w:hAnsi="Arial"/>
                <w:sz w:val="15"/>
                <w:szCs w:val="15"/>
                <w:color w:val="auto"/>
              </w:rPr>
              <w:t>325</w:t>
            </w:r>
          </w:p>
        </w:tc>
        <w:tc>
          <w:tcPr>
            <w:tcW w:w="200" w:type="dxa"/>
            <w:vAlign w:val="bottom"/>
          </w:tcPr>
          <w:p>
            <w:pPr>
              <w:spacing w:after="0"/>
              <w:rPr>
                <w:sz w:val="14"/>
                <w:szCs w:val="14"/>
                <w:color w:val="auto"/>
              </w:rPr>
            </w:pPr>
          </w:p>
        </w:tc>
        <w:tc>
          <w:tcPr>
            <w:tcW w:w="140" w:type="dxa"/>
            <w:vAlign w:val="bottom"/>
          </w:tcPr>
          <w:p>
            <w:pPr>
              <w:jc w:val="right"/>
              <w:spacing w:after="0" w:line="158" w:lineRule="exact"/>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line="158" w:lineRule="exact"/>
              <w:rPr>
                <w:sz w:val="20"/>
                <w:szCs w:val="20"/>
                <w:color w:val="auto"/>
              </w:rPr>
            </w:pPr>
            <w:r>
              <w:rPr>
                <w:rFonts w:ascii="Arial" w:cs="Arial" w:eastAsia="Arial" w:hAnsi="Arial"/>
                <w:sz w:val="15"/>
                <w:szCs w:val="15"/>
                <w:color w:val="auto"/>
              </w:rPr>
              <w:t>337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-1304925</wp:posOffset>
            </wp:positionV>
            <wp:extent cx="965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-1289050</wp:posOffset>
            </wp:positionV>
            <wp:extent cx="965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-1304925</wp:posOffset>
            </wp:positionV>
            <wp:extent cx="9652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-1289050</wp:posOffset>
            </wp:positionV>
            <wp:extent cx="965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-144145</wp:posOffset>
            </wp:positionV>
            <wp:extent cx="723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-144145</wp:posOffset>
            </wp:positionV>
            <wp:extent cx="647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-144145</wp:posOffset>
            </wp:positionV>
            <wp:extent cx="647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Revenue in excess of billings related to contracts where revenue is recognized over time was $0.4 billion at December 31, 2025 and $0.5 billion at December 31, 2024. Such amounts are included within </w:t>
      </w:r>
      <w:r>
        <w:rPr>
          <w:rFonts w:ascii="Arial" w:cs="Arial" w:eastAsia="Arial" w:hAnsi="Arial"/>
          <w:sz w:val="15"/>
          <w:szCs w:val="15"/>
          <w:i w:val="1"/>
          <w:iCs w:val="1"/>
          <w:color w:val="auto"/>
        </w:rPr>
        <w:t>Receivables less allowance for doubtful accounts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Other Assets </w:t>
      </w:r>
      <w:r>
        <w:rPr>
          <w:rFonts w:ascii="Arial" w:cs="Arial" w:eastAsia="Arial" w:hAnsi="Arial"/>
          <w:sz w:val="15"/>
          <w:szCs w:val="15"/>
          <w:color w:val="auto"/>
        </w:rPr>
        <w:t>consist of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27"/>
        </w:trPr>
        <w:tc>
          <w:tcPr>
            <w:tcW w:w="4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Investments in APS projects</w:t>
            </w:r>
          </w:p>
        </w:tc>
        <w:tc>
          <w:tcPr>
            <w:tcW w:w="3800" w:type="dxa"/>
            <w:vAlign w:val="bottom"/>
            <w:gridSpan w:val="2"/>
            <w:shd w:val="clear" w:color="auto" w:fill="CFF0FC"/>
          </w:tcPr>
          <w:p>
            <w:pPr>
              <w:jc w:val="right"/>
              <w:ind w:right="884"/>
              <w:spacing w:after="0" w:line="171" w:lineRule="exact"/>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1,797</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2,083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color w:val="auto"/>
              </w:rPr>
              <w:t>Pension and other postretirement plan assets</w:t>
            </w:r>
          </w:p>
        </w:tc>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530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assets</w:t>
            </w:r>
          </w:p>
        </w:tc>
        <w:tc>
          <w:tcPr>
            <w:tcW w:w="27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879</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color w:val="auto"/>
              </w:rPr>
              <w:t>Exploration data costs capitalized</w:t>
            </w:r>
          </w:p>
        </w:tc>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283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Other</w:t>
            </w:r>
          </w:p>
        </w:tc>
        <w:tc>
          <w:tcPr>
            <w:tcW w:w="27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407</w:t>
            </w:r>
          </w:p>
        </w:tc>
        <w:tc>
          <w:tcPr>
            <w:tcW w:w="3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3800" w:type="dxa"/>
            <w:vAlign w:val="bottom"/>
            <w:gridSpan w:val="2"/>
          </w:tcPr>
          <w:p>
            <w:pPr>
              <w:jc w:val="right"/>
              <w:ind w:right="884"/>
              <w:spacing w:after="0" w:line="171" w:lineRule="exact"/>
              <w:rPr>
                <w:sz w:val="20"/>
                <w:szCs w:val="20"/>
                <w:color w:val="auto"/>
              </w:rPr>
            </w:pPr>
            <w:r>
              <w:rPr>
                <w:rFonts w:ascii="Arial" w:cs="Arial" w:eastAsia="Arial" w:hAnsi="Arial"/>
                <w:sz w:val="15"/>
                <w:szCs w:val="15"/>
                <w:b w:val="1"/>
                <w:bCs w:val="1"/>
                <w:color w:val="auto"/>
              </w:rPr>
              <w:t>$</w:t>
            </w:r>
          </w:p>
        </w:tc>
        <w:tc>
          <w:tcPr>
            <w:tcW w:w="540" w:type="dxa"/>
            <w:vAlign w:val="bottom"/>
          </w:tcPr>
          <w:p>
            <w:pPr>
              <w:jc w:val="right"/>
              <w:spacing w:after="0" w:line="171" w:lineRule="exact"/>
              <w:rPr>
                <w:sz w:val="20"/>
                <w:szCs w:val="20"/>
                <w:color w:val="auto"/>
              </w:rPr>
            </w:pPr>
            <w:r>
              <w:rPr>
                <w:rFonts w:ascii="Arial" w:cs="Arial" w:eastAsia="Arial" w:hAnsi="Arial"/>
                <w:sz w:val="15"/>
                <w:szCs w:val="15"/>
                <w:b w:val="1"/>
                <w:bCs w:val="1"/>
                <w:color w:val="auto"/>
              </w:rPr>
              <w:t>3,896</w:t>
            </w:r>
          </w:p>
        </w:tc>
        <w:tc>
          <w:tcPr>
            <w:tcW w:w="320" w:type="dxa"/>
            <w:vAlign w:val="bottom"/>
          </w:tcPr>
          <w:p>
            <w:pPr>
              <w:spacing w:after="0"/>
              <w:rPr>
                <w:sz w:val="14"/>
                <w:szCs w:val="14"/>
                <w:color w:val="auto"/>
              </w:rPr>
            </w:pPr>
          </w:p>
        </w:tc>
        <w:tc>
          <w:tcPr>
            <w:tcW w:w="260" w:type="dxa"/>
            <w:vAlign w:val="bottom"/>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71" w:lineRule="exact"/>
              <w:rPr>
                <w:sz w:val="20"/>
                <w:szCs w:val="20"/>
                <w:color w:val="auto"/>
              </w:rPr>
            </w:pPr>
            <w:r>
              <w:rPr>
                <w:rFonts w:ascii="Arial" w:cs="Arial" w:eastAsia="Arial" w:hAnsi="Arial"/>
                <w:sz w:val="15"/>
                <w:szCs w:val="15"/>
                <w:color w:val="auto"/>
              </w:rPr>
              <w:t>3,766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5"/>
                <w:szCs w:val="15"/>
                <w:i w:val="1"/>
                <w:iCs w:val="1"/>
                <w:color w:val="auto"/>
              </w:rPr>
              <w:t xml:space="preserve">Accounts payable and accrued liabilities </w:t>
            </w:r>
            <w:r>
              <w:rPr>
                <w:rFonts w:ascii="Arial" w:cs="Arial" w:eastAsia="Arial" w:hAnsi="Arial"/>
                <w:sz w:val="15"/>
                <w:szCs w:val="15"/>
                <w:color w:val="auto"/>
              </w:rPr>
              <w:t>consist of the following:</w:t>
            </w:r>
          </w:p>
        </w:tc>
        <w:tc>
          <w:tcPr>
            <w:tcW w:w="2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9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39"/>
        </w:trPr>
        <w:tc>
          <w:tcPr>
            <w:tcW w:w="4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Trade payables</w:t>
            </w:r>
          </w:p>
        </w:tc>
        <w:tc>
          <w:tcPr>
            <w:tcW w:w="3800" w:type="dxa"/>
            <w:vAlign w:val="bottom"/>
            <w:gridSpan w:val="2"/>
            <w:shd w:val="clear" w:color="auto" w:fill="CFF0FC"/>
          </w:tcPr>
          <w:p>
            <w:pPr>
              <w:jc w:val="right"/>
              <w:ind w:right="884"/>
              <w:spacing w:after="0" w:line="171" w:lineRule="exact"/>
              <w:rPr>
                <w:sz w:val="20"/>
                <w:szCs w:val="20"/>
                <w:color w:val="auto"/>
              </w:rPr>
            </w:pPr>
            <w:r>
              <w:rPr>
                <w:rFonts w:ascii="Arial" w:cs="Arial" w:eastAsia="Arial" w:hAnsi="Arial"/>
                <w:sz w:val="15"/>
                <w:szCs w:val="15"/>
                <w:b w:val="1"/>
                <w:bCs w:val="1"/>
                <w:color w:val="auto"/>
              </w:rPr>
              <w:t>$</w:t>
            </w:r>
          </w:p>
        </w:tc>
        <w:tc>
          <w:tcPr>
            <w:tcW w:w="860" w:type="dxa"/>
            <w:vAlign w:val="bottom"/>
            <w:gridSpan w:val="2"/>
            <w:shd w:val="clear" w:color="auto" w:fill="CFF0FC"/>
          </w:tcPr>
          <w:p>
            <w:pPr>
              <w:jc w:val="right"/>
              <w:ind w:right="320"/>
              <w:spacing w:after="0" w:line="171" w:lineRule="exact"/>
              <w:rPr>
                <w:sz w:val="20"/>
                <w:szCs w:val="20"/>
                <w:color w:val="auto"/>
              </w:rPr>
            </w:pPr>
            <w:r>
              <w:rPr>
                <w:rFonts w:ascii="Arial" w:cs="Arial" w:eastAsia="Arial" w:hAnsi="Arial"/>
                <w:sz w:val="15"/>
                <w:szCs w:val="15"/>
                <w:b w:val="1"/>
                <w:bCs w:val="1"/>
                <w:color w:val="auto"/>
              </w:rPr>
              <w:t>4,859</w:t>
            </w:r>
          </w:p>
        </w:tc>
        <w:tc>
          <w:tcPr>
            <w:tcW w:w="260" w:type="dxa"/>
            <w:vAlign w:val="bottom"/>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line="171" w:lineRule="exact"/>
              <w:rPr>
                <w:sz w:val="20"/>
                <w:szCs w:val="20"/>
                <w:color w:val="auto"/>
              </w:rPr>
            </w:pPr>
            <w:r>
              <w:rPr>
                <w:rFonts w:ascii="Arial" w:cs="Arial" w:eastAsia="Arial" w:hAnsi="Arial"/>
                <w:sz w:val="15"/>
                <w:szCs w:val="15"/>
                <w:color w:val="auto"/>
              </w:rPr>
              <w:t>4,230</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color w:val="auto"/>
              </w:rPr>
              <w:t>Payroll, vacation, and employee benefits</w:t>
            </w:r>
          </w:p>
        </w:tc>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1,586</w:t>
            </w: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1,475</w:t>
            </w:r>
          </w:p>
        </w:tc>
        <w:tc>
          <w:tcPr>
            <w:tcW w:w="0" w:type="dxa"/>
            <w:vAlign w:val="bottom"/>
          </w:tcPr>
          <w:p>
            <w:pPr>
              <w:spacing w:after="0"/>
              <w:rPr>
                <w:sz w:val="1"/>
                <w:szCs w:val="1"/>
                <w:color w:val="auto"/>
              </w:rPr>
            </w:pPr>
          </w:p>
        </w:tc>
      </w:tr>
      <w:tr>
        <w:trPr>
          <w:trHeight w:val="178"/>
        </w:trPr>
        <w:tc>
          <w:tcPr>
            <w:tcW w:w="4920" w:type="dxa"/>
            <w:vAlign w:val="bottom"/>
            <w:shd w:val="clear" w:color="auto" w:fill="CFF0FC"/>
          </w:tcPr>
          <w:p>
            <w:pPr>
              <w:spacing w:after="0"/>
              <w:rPr>
                <w:sz w:val="20"/>
                <w:szCs w:val="20"/>
                <w:color w:val="auto"/>
              </w:rPr>
            </w:pPr>
            <w:r>
              <w:rPr>
                <w:rFonts w:ascii="Arial" w:cs="Arial" w:eastAsia="Arial" w:hAnsi="Arial"/>
                <w:sz w:val="15"/>
                <w:szCs w:val="15"/>
                <w:color w:val="auto"/>
              </w:rPr>
              <w:t>Billings and cash collections in excess of revenue</w:t>
            </w:r>
          </w:p>
        </w:tc>
        <w:tc>
          <w:tcPr>
            <w:tcW w:w="27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b w:val="1"/>
                <w:bCs w:val="1"/>
                <w:color w:val="auto"/>
              </w:rPr>
              <w:t>2,264</w:t>
            </w:r>
          </w:p>
        </w:tc>
        <w:tc>
          <w:tcPr>
            <w:tcW w:w="2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2,007</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20"/>
                <w:szCs w:val="20"/>
                <w:color w:val="auto"/>
              </w:rPr>
            </w:pPr>
            <w:r>
              <w:rPr>
                <w:rFonts w:ascii="Arial" w:cs="Arial" w:eastAsia="Arial" w:hAnsi="Arial"/>
                <w:sz w:val="15"/>
                <w:szCs w:val="15"/>
                <w:color w:val="auto"/>
              </w:rPr>
              <w:t>Other</w:t>
            </w:r>
          </w:p>
        </w:tc>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2,781</w:t>
            </w:r>
          </w:p>
        </w:tc>
        <w:tc>
          <w:tcPr>
            <w:tcW w:w="26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2,663</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18"/>
                <w:szCs w:val="18"/>
                <w:color w:val="auto"/>
              </w:rPr>
            </w:pPr>
          </w:p>
        </w:tc>
        <w:tc>
          <w:tcPr>
            <w:tcW w:w="27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84"/>
              <w:spacing w:after="0" w:line="171" w:lineRule="exact"/>
              <w:rPr>
                <w:sz w:val="20"/>
                <w:szCs w:val="20"/>
                <w:color w:val="auto"/>
              </w:rPr>
            </w:pPr>
            <w:r>
              <w:rPr>
                <w:rFonts w:ascii="Arial" w:cs="Arial" w:eastAsia="Arial" w:hAnsi="Arial"/>
                <w:sz w:val="15"/>
                <w:szCs w:val="15"/>
                <w:b w:val="1"/>
                <w:bCs w:val="1"/>
                <w:color w:val="auto"/>
                <w:w w:val="95"/>
              </w:rPr>
              <w:t>$</w:t>
            </w:r>
          </w:p>
        </w:tc>
        <w:tc>
          <w:tcPr>
            <w:tcW w:w="54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b w:val="1"/>
                <w:bCs w:val="1"/>
                <w:color w:val="auto"/>
              </w:rPr>
              <w:t>11,490</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4"/>
              <w:spacing w:after="0" w:line="171"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line="171" w:lineRule="exact"/>
              <w:rPr>
                <w:sz w:val="20"/>
                <w:szCs w:val="20"/>
                <w:color w:val="auto"/>
              </w:rPr>
            </w:pPr>
            <w:r>
              <w:rPr>
                <w:rFonts w:ascii="Arial" w:cs="Arial" w:eastAsia="Arial" w:hAnsi="Arial"/>
                <w:sz w:val="15"/>
                <w:szCs w:val="15"/>
                <w:color w:val="auto"/>
              </w:rPr>
              <w:t>10,375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72"/>
        </w:trPr>
        <w:tc>
          <w:tcPr>
            <w:tcW w:w="4920" w:type="dxa"/>
            <w:vAlign w:val="bottom"/>
          </w:tcPr>
          <w:p>
            <w:pPr>
              <w:spacing w:after="0"/>
              <w:rPr>
                <w:sz w:val="24"/>
                <w:szCs w:val="24"/>
                <w:color w:val="auto"/>
              </w:rPr>
            </w:pPr>
          </w:p>
        </w:tc>
        <w:tc>
          <w:tcPr>
            <w:tcW w:w="2740" w:type="dxa"/>
            <w:vAlign w:val="bottom"/>
          </w:tcPr>
          <w:p>
            <w:pPr>
              <w:jc w:val="right"/>
              <w:ind w:right="1884"/>
              <w:spacing w:after="0"/>
              <w:rPr>
                <w:sz w:val="20"/>
                <w:szCs w:val="20"/>
                <w:color w:val="auto"/>
              </w:rPr>
            </w:pPr>
            <w:r>
              <w:rPr>
                <w:rFonts w:ascii="Arial" w:cs="Arial" w:eastAsia="Arial" w:hAnsi="Arial"/>
                <w:sz w:val="15"/>
                <w:szCs w:val="15"/>
                <w:color w:val="auto"/>
              </w:rPr>
              <w:t>58</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6"/>
        </w:trPr>
        <w:tc>
          <w:tcPr>
            <w:tcW w:w="49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-2392680</wp:posOffset>
            </wp:positionV>
            <wp:extent cx="723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-2392680</wp:posOffset>
            </wp:positionV>
            <wp:extent cx="647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-861695</wp:posOffset>
            </wp:positionV>
            <wp:extent cx="723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-845820</wp:posOffset>
            </wp:positionV>
            <wp:extent cx="723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-861695</wp:posOffset>
            </wp:positionV>
            <wp:extent cx="647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-845820</wp:posOffset>
            </wp:positionV>
            <wp:extent cx="6477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SLB management is responsible for establishing and maintaining adequate internal control over financial reporting as defined in Rule 13a-15(f) of the Securities Exchange Act of 1934, as amended (the “Exchange Act”). SLB’s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SLB management assessed the effectiveness of its internal control over financial reporting as of December 31, 2025. In making this assessment, it used the criteria set forth in 2013 by the Committee of Sponsoring Organizations of the Treadway Commission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Based on this assessment SLB’s management has concluded that, as of December 31, 2025, its internal control over financial reporting is effective based on those criteria.</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effectiveness of SLB’s internal control over financial reporting as of December 31, 2025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of SLB Limited</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Opinions on the Financial Statements and Internal Control over Financial Reporting</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 xml:space="preserve">We have audited the accompanying consolidated balance sheet of SLB Limited and its subsidiaries (the “Company”) as of December 31, 2025 and 2024, and the related consolidated statements of income, comprehensive income, stockholders’ equity and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for Opinions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Definition and Limitations of Internal Control over Financial Reporting</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i w:val="1"/>
          <w:iCs w:val="1"/>
          <w:color w:val="auto"/>
        </w:rPr>
        <w:t>Critical Audit Matters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Uncertain Tax Positions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As described in Note 13 to the consolidated financial statements, the Company’s tax filings are subject to regular audit by the tax authorities, and those audits may result in assessments for additional taxes that are resolved with the tax authorities or, potentially, through the courts. Tax liabilities are recorded based on estimates of additional taxes that will be due upon the conclusion of these audits.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principal considerations for our determination that performing procedures relating to uncertain tax positions is a critical audit matter are the significant judgment applied by management in determining these liabilities including a high degree of estimation uncertainty due to the uncertain and complex application of tax regulations, which in turn led to a high degree of auditor judgment, subjectivity, and effort in performing procedures to evaluate management’s estimates.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uncertain tax positions. These procedures also included, among others (i) evaluating management’s process for determining the estimated liabilities for uncertain tax positions, (ii) testing the completeness and reasonableness of uncertain tax positions recorded in the consolidated financial statements, and (iii) evaluating assessments received from the relevant tax authorities. Professionals with specialized skill and knowledge were used to assist in evaluating the reasonableness of assumptions used by management, including management's assessment of whether tax positions are more likely than not of being sustained.</w:t>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PricewaterhouseCoopers LLP</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January 23, 2026</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1952.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u w:val="single" w:color="auto"/>
          <w:color w:val="auto"/>
        </w:rPr>
        <w:t>Item 9. Changes in and Disagreements with Accountants on Accounting and Financial Disclosure.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9A. Controls and Procedures.</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SLB’s internal control over financial reporting that occurred during the fourth quarter of 2025 that has materially affected, or is reasonably likely to materially affect, SLB’s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9B. Other Information.</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2013, SLB wound down its service operations in Iran. Prior to this, certain non-US subsidiaries provided oilfield services to the National Iranian Oil Company and certain of its affiliates (“NIOC”).</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SLB’s residual transactions or dealings with the government of Iran during 2025 consisted of payments of taxes and other typical governmental charges. Certain non-US subsidiaries of SLB maintain depository accounts at Bank Saderat Iran (“Saderat”) and at Bank Tejarat (“Tejarat”) for the deposit by NIOC of amounts owed to non-US subsidiaries of SLB for prior services in Iran and for maintaining previously received amounts. One non-US subsidiary also maintained an account at Tejarat for payment of local expenses. SLB anticipates that it will discontinue dealings with Saderat and Tejarat following receipt of all amounts owed to SLB for prior services in Iran.</w:t>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9C. Disclosure Regarding Foreign Jurisdictions that Prevent Inspections.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color w:val="auto"/>
        </w:rPr>
        <w:t>PART III</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10. Directors, Executive Officers and Corporate Governance.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See “Item 1. Business—Information About Our Executive Officers” of this Report for information regarding SLB’s executive officers. The information set forth under the captions “Election of Directors,” “Corporate Governance—Process for Selecting New Directors,” and “Corporate Governance—Board Committees” in SLB’s 2026 Proxy Statement is incorporated herein by reference. The information set forth under the caption “Stock Ownership Information—Delinquent Section 16(a) Reports” in SLB’s 2026 Proxy Statement is incorporated herein by reference to the extent any disclosure is required.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SLB has a Code of Conduct that applies to all of its directors, officers and employees, including its principal executive, financial and accounting officers, or persons performing similar functions. SLB’s Code of Conduct is posted on its website at https://www.slb.com/about/who-we-are/our-code-of-conduct. SLB will provide, without charge, upon request, copies of our Code of Conduct. Requests for copies of our Code of Conduct should be sent in writing to SLB, Chief Legal Officer and Secretary, 5599 San Felipe, Houston, Texas 77056. SLB intends to disclose future amendments to the Code of Conduct and any grant of a waiver from a provision of the Code of Conduct requiring disclosure under applicable SEC rules at https://www.slb.com/about/who-we-are/our-code-of-conduct.</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SLB has a securities transactions policy governing the purchase, sale and other dispositions of its securities by directors, officers, and employees. SLB believes that its securities transactions policy is reasonably designed to promote compliance with insider trading laws, rules and regulations, and any applicable listing standards. A copy of SLB’s securities transactions policy is filed as Exhibit 19 to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sets forth information regarding SLB’s directors: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6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auto"/>
              </w:rPr>
              <w:t>Name</w:t>
            </w:r>
          </w:p>
        </w:tc>
        <w:tc>
          <w:tcPr>
            <w:tcW w:w="7640" w:type="dxa"/>
            <w:vAlign w:val="bottom"/>
            <w:tcBorders>
              <w:top w:val="single" w:sz="8" w:color="auto"/>
              <w:bottom w:val="single" w:sz="8" w:color="auto"/>
              <w:right w:val="single" w:sz="8" w:color="auto"/>
            </w:tcBorders>
          </w:tcPr>
          <w:p>
            <w:pPr>
              <w:spacing w:after="0"/>
              <w:rPr>
                <w:sz w:val="18"/>
                <w:szCs w:val="18"/>
                <w:color w:val="auto"/>
              </w:rPr>
            </w:pPr>
          </w:p>
        </w:tc>
      </w:tr>
      <w:tr>
        <w:trPr>
          <w:trHeight w:val="154"/>
        </w:trPr>
        <w:tc>
          <w:tcPr>
            <w:tcW w:w="362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5"/>
                <w:szCs w:val="15"/>
                <w:color w:val="auto"/>
              </w:rPr>
              <w:t>Peter Coleman</w:t>
            </w:r>
          </w:p>
        </w:tc>
        <w:tc>
          <w:tcPr>
            <w:tcW w:w="76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5"/>
                <w:szCs w:val="15"/>
                <w:color w:val="auto"/>
              </w:rPr>
              <w:t>Former Chief Executive Officer and Managing Director, Woodside Petroleum Ltd.</w:t>
            </w:r>
          </w:p>
        </w:tc>
      </w:tr>
      <w:tr>
        <w:trPr>
          <w:trHeight w:val="170"/>
        </w:trPr>
        <w:tc>
          <w:tcPr>
            <w:tcW w:w="3620" w:type="dxa"/>
            <w:vAlign w:val="bottom"/>
            <w:tcBorders>
              <w:left w:val="single" w:sz="8" w:color="auto"/>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Patrick de La Chevardière</w:t>
            </w:r>
          </w:p>
        </w:tc>
        <w:tc>
          <w:tcPr>
            <w:tcW w:w="764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Former Chief Financial Officer, TotalEnergies S.A.</w:t>
            </w:r>
          </w:p>
        </w:tc>
      </w:tr>
      <w:tr>
        <w:trPr>
          <w:trHeight w:val="170"/>
        </w:trPr>
        <w:tc>
          <w:tcPr>
            <w:tcW w:w="3620" w:type="dxa"/>
            <w:vAlign w:val="bottom"/>
            <w:tcBorders>
              <w:left w:val="single" w:sz="8" w:color="auto"/>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Miguel M. Galuccio</w:t>
            </w:r>
          </w:p>
        </w:tc>
        <w:tc>
          <w:tcPr>
            <w:tcW w:w="764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Chairman and Chief Executive Officer, Vista Energy</w:t>
            </w:r>
          </w:p>
        </w:tc>
      </w:tr>
      <w:tr>
        <w:trPr>
          <w:trHeight w:val="170"/>
        </w:trPr>
        <w:tc>
          <w:tcPr>
            <w:tcW w:w="3620" w:type="dxa"/>
            <w:vAlign w:val="bottom"/>
            <w:tcBorders>
              <w:left w:val="single" w:sz="8" w:color="auto"/>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James Hackett</w:t>
            </w:r>
          </w:p>
        </w:tc>
        <w:tc>
          <w:tcPr>
            <w:tcW w:w="764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President, Tessellation Services</w:t>
            </w:r>
          </w:p>
        </w:tc>
      </w:tr>
      <w:tr>
        <w:trPr>
          <w:trHeight w:val="170"/>
        </w:trPr>
        <w:tc>
          <w:tcPr>
            <w:tcW w:w="3620" w:type="dxa"/>
            <w:vAlign w:val="bottom"/>
            <w:tcBorders>
              <w:left w:val="single" w:sz="8" w:color="auto"/>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Olivier Le Peuch</w:t>
            </w:r>
          </w:p>
        </w:tc>
        <w:tc>
          <w:tcPr>
            <w:tcW w:w="764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Chief Executive Officer, SLB</w:t>
            </w:r>
          </w:p>
        </w:tc>
      </w:tr>
      <w:tr>
        <w:trPr>
          <w:trHeight w:val="170"/>
        </w:trPr>
        <w:tc>
          <w:tcPr>
            <w:tcW w:w="3620" w:type="dxa"/>
            <w:vAlign w:val="bottom"/>
            <w:tcBorders>
              <w:left w:val="single" w:sz="8" w:color="auto"/>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Samuel Leupold</w:t>
            </w:r>
          </w:p>
        </w:tc>
        <w:tc>
          <w:tcPr>
            <w:tcW w:w="764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Chief Executive Officer, Corio Generation</w:t>
            </w:r>
          </w:p>
        </w:tc>
      </w:tr>
      <w:tr>
        <w:trPr>
          <w:trHeight w:val="170"/>
        </w:trPr>
        <w:tc>
          <w:tcPr>
            <w:tcW w:w="3620" w:type="dxa"/>
            <w:vAlign w:val="bottom"/>
            <w:tcBorders>
              <w:left w:val="single" w:sz="8" w:color="auto"/>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Maria Moræus Hanssen</w:t>
            </w:r>
          </w:p>
        </w:tc>
        <w:tc>
          <w:tcPr>
            <w:tcW w:w="764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Former Deputy Chief Executive Officer &amp; Chief Operating Officer, Wintershall Dea GmbH</w:t>
            </w:r>
          </w:p>
        </w:tc>
      </w:tr>
      <w:tr>
        <w:trPr>
          <w:trHeight w:val="170"/>
        </w:trPr>
        <w:tc>
          <w:tcPr>
            <w:tcW w:w="3620" w:type="dxa"/>
            <w:vAlign w:val="bottom"/>
            <w:tcBorders>
              <w:left w:val="single" w:sz="8" w:color="auto"/>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Vanitha Narayanan</w:t>
            </w:r>
          </w:p>
        </w:tc>
        <w:tc>
          <w:tcPr>
            <w:tcW w:w="764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Former Chairman and Managing Director, IBM India</w:t>
            </w:r>
          </w:p>
        </w:tc>
      </w:tr>
      <w:tr>
        <w:trPr>
          <w:trHeight w:val="170"/>
        </w:trPr>
        <w:tc>
          <w:tcPr>
            <w:tcW w:w="3620" w:type="dxa"/>
            <w:vAlign w:val="bottom"/>
            <w:tcBorders>
              <w:left w:val="single" w:sz="8" w:color="auto"/>
              <w:bottom w:val="single" w:sz="8" w:color="auto"/>
              <w:right w:val="single" w:sz="8" w:color="auto"/>
            </w:tcBorders>
          </w:tcPr>
          <w:p>
            <w:pPr>
              <w:ind w:left="120"/>
              <w:spacing w:after="0" w:line="171" w:lineRule="exact"/>
              <w:rPr>
                <w:sz w:val="20"/>
                <w:szCs w:val="20"/>
                <w:color w:val="auto"/>
              </w:rPr>
            </w:pPr>
            <w:r>
              <w:rPr>
                <w:rFonts w:ascii="Arial" w:cs="Arial" w:eastAsia="Arial" w:hAnsi="Arial"/>
                <w:sz w:val="15"/>
                <w:szCs w:val="15"/>
                <w:color w:val="auto"/>
              </w:rPr>
              <w:t>Jeff W. Sheets</w:t>
            </w:r>
          </w:p>
        </w:tc>
        <w:tc>
          <w:tcPr>
            <w:tcW w:w="7640" w:type="dxa"/>
            <w:vAlign w:val="bottom"/>
            <w:tcBorders>
              <w:bottom w:val="single" w:sz="8" w:color="auto"/>
              <w:right w:val="single" w:sz="8" w:color="auto"/>
            </w:tcBorders>
          </w:tcPr>
          <w:p>
            <w:pPr>
              <w:ind w:left="80"/>
              <w:spacing w:after="0" w:line="171" w:lineRule="exact"/>
              <w:rPr>
                <w:sz w:val="20"/>
                <w:szCs w:val="20"/>
                <w:color w:val="auto"/>
              </w:rPr>
            </w:pPr>
            <w:r>
              <w:rPr>
                <w:rFonts w:ascii="Arial" w:cs="Arial" w:eastAsia="Arial" w:hAnsi="Arial"/>
                <w:sz w:val="15"/>
                <w:szCs w:val="15"/>
                <w:color w:val="auto"/>
              </w:rPr>
              <w:t>Former Chief Financial Officer, ConocoPhillips Company</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11. Executive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set forth under the captions “Compensation Committee Report,” “Compensation Discussion and Analysis,” “Executive Compensation Tables,” “Pay vs.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Performance Comparison,” and “Director Compensation” in SLB’s 2026 Proxy Statement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12. Security Ownership of Certain Beneficial Owners and Management and Related Stockholder Matters.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information under the captions “Stock Ownership Information—Security Ownership by Management and Our Board,” “Stock Ownership Information—Security Ownership by Certain Beneficial Owners,” and “Executive Compensation Tables—Equity Compensation Plan Information” in SLB’s 2026 Proxy Statement is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13. Certain Relationships and Related Transactions, and Director Independence.</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information under the captions “Corporate Governance—Director Independence” and “Corporate Governance—Certain Relationships and Related Person Transactions” in SLB’s 2026 Proxy Statement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14. Principal Accounting Fees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under the caption “Ratification of Appointment of Independent Auditors for 2026” in SLB’s 2026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8"/>
        </w:trPr>
        <w:tc>
          <w:tcPr>
            <w:tcW w:w="6980" w:type="dxa"/>
            <w:vAlign w:val="bottom"/>
            <w:gridSpan w:val="9"/>
          </w:tcPr>
          <w:p>
            <w:pPr>
              <w:spacing w:after="0"/>
              <w:rPr>
                <w:sz w:val="20"/>
                <w:szCs w:val="20"/>
                <w:color w:val="auto"/>
              </w:rPr>
            </w:pPr>
            <w:r>
              <w:rPr>
                <w:rFonts w:ascii="Arial" w:cs="Arial" w:eastAsia="Arial" w:hAnsi="Arial"/>
                <w:sz w:val="15"/>
                <w:szCs w:val="15"/>
                <w:b w:val="1"/>
                <w:bCs w:val="1"/>
                <w:color w:val="auto"/>
              </w:rPr>
              <w:t>PART IV</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980" w:type="dxa"/>
            <w:vAlign w:val="bottom"/>
            <w:gridSpan w:val="9"/>
          </w:tcPr>
          <w:p>
            <w:pPr>
              <w:spacing w:after="0"/>
              <w:rPr>
                <w:sz w:val="20"/>
                <w:szCs w:val="20"/>
                <w:color w:val="auto"/>
              </w:rPr>
            </w:pPr>
            <w:r>
              <w:rPr>
                <w:rFonts w:ascii="Arial" w:cs="Arial" w:eastAsia="Arial" w:hAnsi="Arial"/>
                <w:sz w:val="15"/>
                <w:szCs w:val="15"/>
                <w:b w:val="1"/>
                <w:bCs w:val="1"/>
                <w:color w:val="auto"/>
              </w:rPr>
              <w:t>Item 15. Exhibits and Financial Statement Schedules.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980" w:type="dxa"/>
            <w:vAlign w:val="bottom"/>
            <w:gridSpan w:val="9"/>
          </w:tcPr>
          <w:p>
            <w:pPr>
              <w:spacing w:after="0"/>
              <w:rPr>
                <w:sz w:val="20"/>
                <w:szCs w:val="20"/>
                <w:color w:val="auto"/>
              </w:rPr>
            </w:pPr>
            <w:r>
              <w:rPr>
                <w:rFonts w:ascii="Arial" w:cs="Arial" w:eastAsia="Arial" w:hAnsi="Arial"/>
                <w:sz w:val="15"/>
                <w:szCs w:val="15"/>
                <w:color w:val="auto"/>
              </w:rPr>
              <w:t>(a)  The following documents are filed as part of this Report:</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980" w:type="dxa"/>
            <w:vAlign w:val="bottom"/>
            <w:gridSpan w:val="9"/>
            <w:vMerge w:val="restart"/>
          </w:tcPr>
          <w:p>
            <w:pPr>
              <w:spacing w:after="0"/>
              <w:rPr>
                <w:sz w:val="20"/>
                <w:szCs w:val="20"/>
                <w:color w:val="auto"/>
              </w:rPr>
            </w:pPr>
            <w:r>
              <w:rPr>
                <w:rFonts w:ascii="Arial" w:cs="Arial" w:eastAsia="Arial" w:hAnsi="Arial"/>
                <w:sz w:val="15"/>
                <w:szCs w:val="15"/>
                <w:color w:val="auto"/>
              </w:rPr>
              <w:t>(1)   Financial Statements</w:t>
            </w:r>
          </w:p>
        </w:tc>
        <w:tc>
          <w:tcPr>
            <w:tcW w:w="4100" w:type="dxa"/>
            <w:vAlign w:val="bottom"/>
          </w:tcPr>
          <w:p>
            <w:pPr>
              <w:jc w:val="center"/>
              <w:ind w:left="3364"/>
              <w:spacing w:after="0"/>
              <w:rPr>
                <w:sz w:val="20"/>
                <w:szCs w:val="20"/>
                <w:color w:val="auto"/>
              </w:rPr>
            </w:pPr>
            <w:r>
              <w:rPr>
                <w:rFonts w:ascii="Arial" w:cs="Arial" w:eastAsia="Arial" w:hAnsi="Arial"/>
                <w:sz w:val="15"/>
                <w:szCs w:val="15"/>
                <w:color w:val="auto"/>
              </w:rPr>
              <w:t>Page(s)</w:t>
            </w:r>
          </w:p>
        </w:tc>
        <w:tc>
          <w:tcPr>
            <w:tcW w:w="0" w:type="dxa"/>
            <w:vAlign w:val="bottom"/>
          </w:tcPr>
          <w:p>
            <w:pPr>
              <w:spacing w:after="0"/>
              <w:rPr>
                <w:sz w:val="1"/>
                <w:szCs w:val="1"/>
                <w:color w:val="auto"/>
              </w:rPr>
            </w:pPr>
          </w:p>
        </w:tc>
      </w:tr>
      <w:tr>
        <w:trPr>
          <w:trHeight w:val="156"/>
        </w:trPr>
        <w:tc>
          <w:tcPr>
            <w:tcW w:w="6980" w:type="dxa"/>
            <w:vAlign w:val="bottom"/>
            <w:gridSpan w:val="9"/>
            <w:vMerge w:val="continue"/>
          </w:tcPr>
          <w:p>
            <w:pPr>
              <w:spacing w:after="0"/>
              <w:rPr>
                <w:sz w:val="13"/>
                <w:szCs w:val="13"/>
                <w:color w:val="auto"/>
              </w:rPr>
            </w:pPr>
          </w:p>
        </w:tc>
        <w:tc>
          <w:tcPr>
            <w:tcW w:w="4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6560" w:type="dxa"/>
            <w:vAlign w:val="bottom"/>
            <w:gridSpan w:val="8"/>
          </w:tcPr>
          <w:p>
            <w:pPr>
              <w:spacing w:after="0" w:line="164" w:lineRule="exact"/>
              <w:rPr>
                <w:sz w:val="20"/>
                <w:szCs w:val="20"/>
                <w:color w:val="auto"/>
              </w:rPr>
            </w:pPr>
            <w:r>
              <w:rPr>
                <w:rFonts w:ascii="Arial" w:cs="Arial" w:eastAsia="Arial" w:hAnsi="Arial"/>
                <w:sz w:val="15"/>
                <w:szCs w:val="15"/>
                <w:color w:val="0000FF"/>
              </w:rPr>
              <w:t>Consolidated Statement of Income for the three years ended December 31, 2025</w:t>
            </w:r>
          </w:p>
        </w:tc>
        <w:tc>
          <w:tcPr>
            <w:tcW w:w="4100" w:type="dxa"/>
            <w:vAlign w:val="bottom"/>
          </w:tcPr>
          <w:p>
            <w:pPr>
              <w:jc w:val="center"/>
              <w:ind w:left="3344"/>
              <w:spacing w:after="0" w:line="164" w:lineRule="exact"/>
              <w:rPr>
                <w:sz w:val="20"/>
                <w:szCs w:val="20"/>
                <w:color w:val="auto"/>
              </w:rPr>
            </w:pPr>
            <w:r>
              <w:rPr>
                <w:rFonts w:ascii="Arial" w:cs="Arial" w:eastAsia="Arial" w:hAnsi="Arial"/>
                <w:sz w:val="15"/>
                <w:szCs w:val="15"/>
                <w:color w:val="auto"/>
                <w:w w:val="95"/>
              </w:rPr>
              <w:t>29</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vMerge w:val="restart"/>
          </w:tcPr>
          <w:p>
            <w:pPr>
              <w:jc w:val="center"/>
              <w:ind w:left="3344"/>
              <w:spacing w:after="0"/>
              <w:rPr>
                <w:sz w:val="20"/>
                <w:szCs w:val="20"/>
                <w:color w:val="auto"/>
              </w:rPr>
            </w:pPr>
            <w:r>
              <w:rPr>
                <w:rFonts w:ascii="Arial" w:cs="Arial" w:eastAsia="Arial" w:hAnsi="Arial"/>
                <w:sz w:val="15"/>
                <w:szCs w:val="15"/>
                <w:color w:val="auto"/>
                <w:w w:val="95"/>
              </w:rPr>
              <w:t>30</w:t>
            </w:r>
          </w:p>
        </w:tc>
        <w:tc>
          <w:tcPr>
            <w:tcW w:w="0" w:type="dxa"/>
            <w:vAlign w:val="bottom"/>
          </w:tcPr>
          <w:p>
            <w:pPr>
              <w:spacing w:after="0" w:line="20" w:lineRule="exact"/>
              <w:rPr>
                <w:sz w:val="1"/>
                <w:szCs w:val="1"/>
                <w:color w:val="auto"/>
              </w:rPr>
            </w:pPr>
          </w:p>
        </w:tc>
      </w:tr>
      <w:tr>
        <w:trPr>
          <w:trHeight w:val="158"/>
        </w:trPr>
        <w:tc>
          <w:tcPr>
            <w:tcW w:w="420" w:type="dxa"/>
            <w:vAlign w:val="bottom"/>
          </w:tcPr>
          <w:p>
            <w:pPr>
              <w:spacing w:after="0"/>
              <w:rPr>
                <w:sz w:val="13"/>
                <w:szCs w:val="13"/>
                <w:color w:val="auto"/>
              </w:rPr>
            </w:pPr>
          </w:p>
        </w:tc>
        <w:tc>
          <w:tcPr>
            <w:tcW w:w="6560" w:type="dxa"/>
            <w:vAlign w:val="bottom"/>
            <w:gridSpan w:val="8"/>
          </w:tcPr>
          <w:p>
            <w:pPr>
              <w:spacing w:after="0" w:line="158" w:lineRule="exact"/>
              <w:rPr>
                <w:sz w:val="20"/>
                <w:szCs w:val="20"/>
                <w:color w:val="auto"/>
              </w:rPr>
            </w:pPr>
            <w:r>
              <w:rPr>
                <w:rFonts w:ascii="Arial" w:cs="Arial" w:eastAsia="Arial" w:hAnsi="Arial"/>
                <w:sz w:val="15"/>
                <w:szCs w:val="15"/>
                <w:color w:val="0000FF"/>
              </w:rPr>
              <w:t>Consolidated Statement of Comprehensive Income for the three years ended December 31, 2025</w:t>
            </w:r>
          </w:p>
        </w:tc>
        <w:tc>
          <w:tcPr>
            <w:tcW w:w="4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100" w:type="dxa"/>
            <w:vAlign w:val="bottom"/>
            <w:vMerge w:val="restart"/>
          </w:tcPr>
          <w:p>
            <w:pPr>
              <w:jc w:val="center"/>
              <w:ind w:left="3344"/>
              <w:spacing w:after="0"/>
              <w:rPr>
                <w:sz w:val="20"/>
                <w:szCs w:val="20"/>
                <w:color w:val="auto"/>
              </w:rPr>
            </w:pPr>
            <w:r>
              <w:rPr>
                <w:rFonts w:ascii="Arial" w:cs="Arial" w:eastAsia="Arial" w:hAnsi="Arial"/>
                <w:sz w:val="15"/>
                <w:szCs w:val="15"/>
                <w:color w:val="auto"/>
                <w:w w:val="95"/>
              </w:rPr>
              <w:t>31</w:t>
            </w:r>
          </w:p>
        </w:tc>
        <w:tc>
          <w:tcPr>
            <w:tcW w:w="0" w:type="dxa"/>
            <w:vAlign w:val="bottom"/>
          </w:tcPr>
          <w:p>
            <w:pPr>
              <w:spacing w:after="0" w:line="20" w:lineRule="exact"/>
              <w:rPr>
                <w:sz w:val="1"/>
                <w:szCs w:val="1"/>
                <w:color w:val="auto"/>
              </w:rPr>
            </w:pPr>
          </w:p>
        </w:tc>
      </w:tr>
      <w:tr>
        <w:trPr>
          <w:trHeight w:val="158"/>
        </w:trPr>
        <w:tc>
          <w:tcPr>
            <w:tcW w:w="420" w:type="dxa"/>
            <w:vAlign w:val="bottom"/>
          </w:tcPr>
          <w:p>
            <w:pPr>
              <w:spacing w:after="0"/>
              <w:rPr>
                <w:sz w:val="13"/>
                <w:szCs w:val="13"/>
                <w:color w:val="auto"/>
              </w:rPr>
            </w:pPr>
          </w:p>
        </w:tc>
        <w:tc>
          <w:tcPr>
            <w:tcW w:w="6560" w:type="dxa"/>
            <w:vAlign w:val="bottom"/>
            <w:gridSpan w:val="8"/>
          </w:tcPr>
          <w:p>
            <w:pPr>
              <w:spacing w:after="0" w:line="158" w:lineRule="exact"/>
              <w:rPr>
                <w:sz w:val="20"/>
                <w:szCs w:val="20"/>
                <w:color w:val="auto"/>
              </w:rPr>
            </w:pPr>
            <w:r>
              <w:rPr>
                <w:rFonts w:ascii="Arial" w:cs="Arial" w:eastAsia="Arial" w:hAnsi="Arial"/>
                <w:sz w:val="15"/>
                <w:szCs w:val="15"/>
                <w:color w:val="0000FF"/>
              </w:rPr>
              <w:t>Consolidated Balance Sheet at December 31, 2025 and 2024</w:t>
            </w:r>
          </w:p>
        </w:tc>
        <w:tc>
          <w:tcPr>
            <w:tcW w:w="4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vMerge w:val="restart"/>
          </w:tcPr>
          <w:p>
            <w:pPr>
              <w:jc w:val="center"/>
              <w:ind w:left="3344"/>
              <w:spacing w:after="0"/>
              <w:rPr>
                <w:sz w:val="20"/>
                <w:szCs w:val="20"/>
                <w:color w:val="auto"/>
              </w:rPr>
            </w:pPr>
            <w:r>
              <w:rPr>
                <w:rFonts w:ascii="Arial" w:cs="Arial" w:eastAsia="Arial" w:hAnsi="Arial"/>
                <w:sz w:val="15"/>
                <w:szCs w:val="15"/>
                <w:color w:val="auto"/>
                <w:w w:val="95"/>
              </w:rPr>
              <w:t>32</w:t>
            </w:r>
          </w:p>
        </w:tc>
        <w:tc>
          <w:tcPr>
            <w:tcW w:w="0" w:type="dxa"/>
            <w:vAlign w:val="bottom"/>
          </w:tcPr>
          <w:p>
            <w:pPr>
              <w:spacing w:after="0" w:line="20" w:lineRule="exact"/>
              <w:rPr>
                <w:sz w:val="1"/>
                <w:szCs w:val="1"/>
                <w:color w:val="auto"/>
              </w:rPr>
            </w:pPr>
          </w:p>
        </w:tc>
      </w:tr>
      <w:tr>
        <w:trPr>
          <w:trHeight w:val="158"/>
        </w:trPr>
        <w:tc>
          <w:tcPr>
            <w:tcW w:w="420" w:type="dxa"/>
            <w:vAlign w:val="bottom"/>
          </w:tcPr>
          <w:p>
            <w:pPr>
              <w:spacing w:after="0"/>
              <w:rPr>
                <w:sz w:val="13"/>
                <w:szCs w:val="13"/>
                <w:color w:val="auto"/>
              </w:rPr>
            </w:pPr>
          </w:p>
        </w:tc>
        <w:tc>
          <w:tcPr>
            <w:tcW w:w="6560" w:type="dxa"/>
            <w:vAlign w:val="bottom"/>
            <w:gridSpan w:val="8"/>
          </w:tcPr>
          <w:p>
            <w:pPr>
              <w:spacing w:after="0" w:line="158" w:lineRule="exact"/>
              <w:rPr>
                <w:sz w:val="20"/>
                <w:szCs w:val="20"/>
                <w:color w:val="auto"/>
              </w:rPr>
            </w:pPr>
            <w:r>
              <w:rPr>
                <w:rFonts w:ascii="Arial" w:cs="Arial" w:eastAsia="Arial" w:hAnsi="Arial"/>
                <w:sz w:val="15"/>
                <w:szCs w:val="15"/>
                <w:color w:val="0000FF"/>
              </w:rPr>
              <w:t>Consolidated Statement of Cash Flows for the three years ended December 31, 2025</w:t>
            </w:r>
          </w:p>
        </w:tc>
        <w:tc>
          <w:tcPr>
            <w:tcW w:w="4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vMerge w:val="restart"/>
          </w:tcPr>
          <w:p>
            <w:pPr>
              <w:jc w:val="center"/>
              <w:ind w:left="3344"/>
              <w:spacing w:after="0"/>
              <w:rPr>
                <w:sz w:val="20"/>
                <w:szCs w:val="20"/>
                <w:color w:val="auto"/>
              </w:rPr>
            </w:pPr>
            <w:r>
              <w:rPr>
                <w:rFonts w:ascii="Arial" w:cs="Arial" w:eastAsia="Arial" w:hAnsi="Arial"/>
                <w:sz w:val="15"/>
                <w:szCs w:val="15"/>
                <w:color w:val="auto"/>
              </w:rPr>
              <w:t>33 and 34</w:t>
            </w:r>
          </w:p>
        </w:tc>
        <w:tc>
          <w:tcPr>
            <w:tcW w:w="0" w:type="dxa"/>
            <w:vAlign w:val="bottom"/>
          </w:tcPr>
          <w:p>
            <w:pPr>
              <w:spacing w:after="0" w:line="20" w:lineRule="exact"/>
              <w:rPr>
                <w:sz w:val="1"/>
                <w:szCs w:val="1"/>
                <w:color w:val="auto"/>
              </w:rPr>
            </w:pPr>
          </w:p>
        </w:tc>
      </w:tr>
      <w:tr>
        <w:trPr>
          <w:trHeight w:val="158"/>
        </w:trPr>
        <w:tc>
          <w:tcPr>
            <w:tcW w:w="420" w:type="dxa"/>
            <w:vAlign w:val="bottom"/>
          </w:tcPr>
          <w:p>
            <w:pPr>
              <w:spacing w:after="0"/>
              <w:rPr>
                <w:sz w:val="13"/>
                <w:szCs w:val="13"/>
                <w:color w:val="auto"/>
              </w:rPr>
            </w:pPr>
          </w:p>
        </w:tc>
        <w:tc>
          <w:tcPr>
            <w:tcW w:w="6560" w:type="dxa"/>
            <w:vAlign w:val="bottom"/>
            <w:gridSpan w:val="8"/>
          </w:tcPr>
          <w:p>
            <w:pPr>
              <w:spacing w:after="0" w:line="158" w:lineRule="exact"/>
              <w:rPr>
                <w:sz w:val="20"/>
                <w:szCs w:val="20"/>
                <w:color w:val="auto"/>
              </w:rPr>
            </w:pPr>
            <w:r>
              <w:rPr>
                <w:rFonts w:ascii="Arial" w:cs="Arial" w:eastAsia="Arial" w:hAnsi="Arial"/>
                <w:sz w:val="15"/>
                <w:szCs w:val="15"/>
                <w:color w:val="0000FF"/>
              </w:rPr>
              <w:t>Consolidated Statement of Stockholders’ Equity for the three years ended December 31, 2025</w:t>
            </w:r>
          </w:p>
        </w:tc>
        <w:tc>
          <w:tcPr>
            <w:tcW w:w="4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vMerge w:val="restart"/>
          </w:tcPr>
          <w:p>
            <w:pPr>
              <w:jc w:val="center"/>
              <w:ind w:left="3344"/>
              <w:spacing w:after="0"/>
              <w:rPr>
                <w:sz w:val="20"/>
                <w:szCs w:val="20"/>
                <w:color w:val="auto"/>
              </w:rPr>
            </w:pPr>
            <w:r>
              <w:rPr>
                <w:rFonts w:ascii="Arial" w:cs="Arial" w:eastAsia="Arial" w:hAnsi="Arial"/>
                <w:sz w:val="15"/>
                <w:szCs w:val="15"/>
                <w:color w:val="auto"/>
              </w:rPr>
              <w:t>35 to 59</w:t>
            </w:r>
          </w:p>
        </w:tc>
        <w:tc>
          <w:tcPr>
            <w:tcW w:w="0" w:type="dxa"/>
            <w:vAlign w:val="bottom"/>
          </w:tcPr>
          <w:p>
            <w:pPr>
              <w:spacing w:after="0" w:line="20" w:lineRule="exact"/>
              <w:rPr>
                <w:sz w:val="1"/>
                <w:szCs w:val="1"/>
                <w:color w:val="auto"/>
              </w:rPr>
            </w:pPr>
          </w:p>
        </w:tc>
      </w:tr>
      <w:tr>
        <w:trPr>
          <w:trHeight w:val="158"/>
        </w:trPr>
        <w:tc>
          <w:tcPr>
            <w:tcW w:w="420" w:type="dxa"/>
            <w:vAlign w:val="bottom"/>
          </w:tcPr>
          <w:p>
            <w:pPr>
              <w:spacing w:after="0"/>
              <w:rPr>
                <w:sz w:val="13"/>
                <w:szCs w:val="13"/>
                <w:color w:val="auto"/>
              </w:rPr>
            </w:pPr>
          </w:p>
        </w:tc>
        <w:tc>
          <w:tcPr>
            <w:tcW w:w="6560" w:type="dxa"/>
            <w:vAlign w:val="bottom"/>
            <w:gridSpan w:val="8"/>
          </w:tcPr>
          <w:p>
            <w:pPr>
              <w:spacing w:after="0" w:line="158" w:lineRule="exact"/>
              <w:rPr>
                <w:sz w:val="20"/>
                <w:szCs w:val="20"/>
                <w:color w:val="auto"/>
              </w:rPr>
            </w:pPr>
            <w:r>
              <w:rPr>
                <w:rFonts w:ascii="Arial" w:cs="Arial" w:eastAsia="Arial" w:hAnsi="Arial"/>
                <w:sz w:val="15"/>
                <w:szCs w:val="15"/>
                <w:color w:val="0000FF"/>
              </w:rPr>
              <w:t>Notes to Consolidated Financial Statements</w:t>
            </w:r>
          </w:p>
        </w:tc>
        <w:tc>
          <w:tcPr>
            <w:tcW w:w="4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100" w:type="dxa"/>
            <w:vAlign w:val="bottom"/>
            <w:vMerge w:val="restart"/>
          </w:tcPr>
          <w:p>
            <w:pPr>
              <w:jc w:val="center"/>
              <w:ind w:left="3344"/>
              <w:spacing w:after="0"/>
              <w:rPr>
                <w:sz w:val="20"/>
                <w:szCs w:val="20"/>
                <w:color w:val="auto"/>
              </w:rPr>
            </w:pPr>
            <w:r>
              <w:rPr>
                <w:rFonts w:ascii="Arial" w:cs="Arial" w:eastAsia="Arial" w:hAnsi="Arial"/>
                <w:sz w:val="15"/>
                <w:szCs w:val="15"/>
                <w:color w:val="auto"/>
                <w:w w:val="95"/>
              </w:rPr>
              <w:t>60</w:t>
            </w:r>
          </w:p>
        </w:tc>
        <w:tc>
          <w:tcPr>
            <w:tcW w:w="0" w:type="dxa"/>
            <w:vAlign w:val="bottom"/>
          </w:tcPr>
          <w:p>
            <w:pPr>
              <w:spacing w:after="0" w:line="20" w:lineRule="exact"/>
              <w:rPr>
                <w:sz w:val="1"/>
                <w:szCs w:val="1"/>
                <w:color w:val="auto"/>
              </w:rPr>
            </w:pPr>
          </w:p>
        </w:tc>
      </w:tr>
      <w:tr>
        <w:trPr>
          <w:trHeight w:val="158"/>
        </w:trPr>
        <w:tc>
          <w:tcPr>
            <w:tcW w:w="420" w:type="dxa"/>
            <w:vAlign w:val="bottom"/>
          </w:tcPr>
          <w:p>
            <w:pPr>
              <w:spacing w:after="0"/>
              <w:rPr>
                <w:sz w:val="13"/>
                <w:szCs w:val="13"/>
                <w:color w:val="auto"/>
              </w:rPr>
            </w:pPr>
          </w:p>
        </w:tc>
        <w:tc>
          <w:tcPr>
            <w:tcW w:w="6560" w:type="dxa"/>
            <w:vAlign w:val="bottom"/>
            <w:gridSpan w:val="8"/>
          </w:tcPr>
          <w:p>
            <w:pPr>
              <w:spacing w:after="0" w:line="158" w:lineRule="exact"/>
              <w:rPr>
                <w:sz w:val="20"/>
                <w:szCs w:val="20"/>
                <w:color w:val="auto"/>
              </w:rPr>
            </w:pPr>
            <w:r>
              <w:rPr>
                <w:rFonts w:ascii="Arial" w:cs="Arial" w:eastAsia="Arial" w:hAnsi="Arial"/>
                <w:sz w:val="15"/>
                <w:szCs w:val="15"/>
                <w:color w:val="0000FF"/>
              </w:rPr>
              <w:t xml:space="preserve">Report of Independent Registered Public Accounting Firm </w:t>
            </w:r>
            <w:r>
              <w:rPr>
                <w:rFonts w:ascii="Arial" w:cs="Arial" w:eastAsia="Arial" w:hAnsi="Arial"/>
                <w:sz w:val="15"/>
                <w:szCs w:val="15"/>
                <w:color w:val="000000"/>
              </w:rPr>
              <w:t>(PCAOB ID 238)</w:t>
            </w:r>
          </w:p>
        </w:tc>
        <w:tc>
          <w:tcPr>
            <w:tcW w:w="4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Financial statements of companies accounted for under the equity method and unconsolidated subsidiaries have been omitted because they do not meet the materiality tests for assets or income.</w:t>
      </w:r>
    </w:p>
    <w:p>
      <w:pPr>
        <w:spacing w:after="0" w:line="123" w:lineRule="exact"/>
        <w:rPr>
          <w:sz w:val="20"/>
          <w:szCs w:val="20"/>
          <w:color w:val="auto"/>
        </w:rPr>
      </w:pPr>
    </w:p>
    <w:p>
      <w:pPr>
        <w:ind w:left="400" w:hanging="398"/>
        <w:spacing w:after="0"/>
        <w:tabs>
          <w:tab w:leader="none" w:pos="400" w:val="left"/>
        </w:tabs>
        <w:numPr>
          <w:ilvl w:val="1"/>
          <w:numId w:val="47"/>
        </w:numPr>
        <w:rPr>
          <w:rFonts w:ascii="Arial" w:cs="Arial" w:eastAsia="Arial" w:hAnsi="Arial"/>
          <w:sz w:val="15"/>
          <w:szCs w:val="15"/>
          <w:color w:val="auto"/>
        </w:rPr>
      </w:pPr>
      <w:r>
        <w:rPr>
          <w:rFonts w:ascii="Arial" w:cs="Arial" w:eastAsia="Arial" w:hAnsi="Arial"/>
          <w:sz w:val="15"/>
          <w:szCs w:val="15"/>
          <w:color w:val="auto"/>
        </w:rPr>
        <w:t>Financial Statement Schedules not required.</w:t>
      </w:r>
    </w:p>
    <w:p>
      <w:pPr>
        <w:spacing w:after="0" w:line="19" w:lineRule="exact"/>
        <w:rPr>
          <w:rFonts w:ascii="Arial" w:cs="Arial" w:eastAsia="Arial" w:hAnsi="Arial"/>
          <w:sz w:val="15"/>
          <w:szCs w:val="15"/>
          <w:color w:val="auto"/>
        </w:rPr>
      </w:pPr>
    </w:p>
    <w:p>
      <w:pPr>
        <w:ind w:left="400" w:hanging="398"/>
        <w:spacing w:after="0"/>
        <w:tabs>
          <w:tab w:leader="none" w:pos="40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Exhibits: See exhibits listed under Part (b) below.</w:t>
      </w:r>
    </w:p>
    <w:p>
      <w:pPr>
        <w:spacing w:after="0" w:line="194" w:lineRule="exact"/>
        <w:rPr>
          <w:rFonts w:ascii="Arial" w:cs="Arial" w:eastAsia="Arial" w:hAnsi="Arial"/>
          <w:sz w:val="15"/>
          <w:szCs w:val="15"/>
          <w:color w:val="auto"/>
        </w:rPr>
      </w:pPr>
    </w:p>
    <w:p>
      <w:pPr>
        <w:ind w:left="340" w:hanging="339"/>
        <w:spacing w:after="0"/>
        <w:tabs>
          <w:tab w:leader="none" w:pos="3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INDEX TO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84"/>
              <w:spacing w:after="0"/>
              <w:rPr>
                <w:sz w:val="20"/>
                <w:szCs w:val="20"/>
                <w:color w:val="auto"/>
              </w:rPr>
            </w:pPr>
            <w:r>
              <w:rPr>
                <w:rFonts w:ascii="Arial" w:cs="Arial" w:eastAsia="Arial" w:hAnsi="Arial"/>
                <w:sz w:val="15"/>
                <w:szCs w:val="15"/>
                <w:b w:val="1"/>
                <w:bCs w:val="1"/>
                <w:color w:val="auto"/>
              </w:rPr>
              <w:t>Exhibit</w:t>
            </w:r>
          </w:p>
        </w:tc>
      </w:tr>
      <w:tr>
        <w:trPr>
          <w:trHeight w:val="298"/>
        </w:trPr>
        <w:tc>
          <w:tcPr>
            <w:tcW w:w="6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5"/>
                <w:szCs w:val="15"/>
                <w:color w:val="auto"/>
              </w:rPr>
            </w:pPr>
            <w:hyperlink r:id="rId533">
              <w:r>
                <w:rPr>
                  <w:rFonts w:ascii="Arial" w:cs="Arial" w:eastAsia="Arial" w:hAnsi="Arial"/>
                  <w:sz w:val="15"/>
                  <w:szCs w:val="15"/>
                  <w:color w:val="auto"/>
                </w:rPr>
                <w:t>Articles of Incorporation of SLB Limited (SLB N.V.) (incorporated by reference to Exhibit 3.1 to SLB’s Quarterly Report on Form 10-Q for the</w:t>
              </w:r>
            </w:hyperlink>
          </w:p>
        </w:tc>
        <w:tc>
          <w:tcPr>
            <w:tcW w:w="20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158"/>
        </w:trPr>
        <w:tc>
          <w:tcPr>
            <w:tcW w:w="60" w:type="dxa"/>
            <w:vAlign w:val="bottom"/>
          </w:tcPr>
          <w:p>
            <w:pPr>
              <w:spacing w:after="0"/>
              <w:rPr>
                <w:sz w:val="13"/>
                <w:szCs w:val="13"/>
                <w:color w:val="auto"/>
              </w:rPr>
            </w:pPr>
          </w:p>
        </w:tc>
        <w:tc>
          <w:tcPr>
            <w:tcW w:w="2420" w:type="dxa"/>
            <w:vAlign w:val="bottom"/>
            <w:tcBorders>
              <w:bottom w:val="single" w:sz="8" w:color="0000EE"/>
            </w:tcBorders>
            <w:gridSpan w:val="3"/>
          </w:tcPr>
          <w:p>
            <w:pPr>
              <w:spacing w:after="0" w:line="158" w:lineRule="exact"/>
              <w:rPr>
                <w:rFonts w:ascii="Arial" w:cs="Arial" w:eastAsia="Arial" w:hAnsi="Arial"/>
                <w:sz w:val="15"/>
                <w:szCs w:val="15"/>
                <w:color w:val="auto"/>
              </w:rPr>
            </w:pPr>
            <w:hyperlink r:id="rId533">
              <w:r>
                <w:rPr>
                  <w:rFonts w:ascii="Arial" w:cs="Arial" w:eastAsia="Arial" w:hAnsi="Arial"/>
                  <w:sz w:val="15"/>
                  <w:szCs w:val="15"/>
                  <w:color w:val="auto"/>
                </w:rPr>
                <w:t>quarter ended September 30, 2025)</w:t>
              </w:r>
            </w:hyperlink>
          </w:p>
        </w:tc>
        <w:tc>
          <w:tcPr>
            <w:tcW w:w="7660" w:type="dxa"/>
            <w:vAlign w:val="bottom"/>
            <w:gridSpan w:val="13"/>
          </w:tcPr>
          <w:p>
            <w:pPr>
              <w:spacing w:after="0"/>
              <w:rPr>
                <w:sz w:val="13"/>
                <w:szCs w:val="13"/>
                <w:color w:val="auto"/>
              </w:rPr>
            </w:pPr>
          </w:p>
        </w:tc>
        <w:tc>
          <w:tcPr>
            <w:tcW w:w="1100" w:type="dxa"/>
            <w:vAlign w:val="bottom"/>
          </w:tcPr>
          <w:p>
            <w:pPr>
              <w:spacing w:after="0"/>
              <w:rPr>
                <w:sz w:val="13"/>
                <w:szCs w:val="13"/>
                <w:color w:val="auto"/>
              </w:rPr>
            </w:pPr>
          </w:p>
        </w:tc>
      </w:tr>
      <w:tr>
        <w:trPr>
          <w:trHeight w:val="335"/>
        </w:trPr>
        <w:tc>
          <w:tcPr>
            <w:tcW w:w="6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Arial" w:cs="Arial" w:eastAsia="Arial" w:hAnsi="Arial"/>
                <w:sz w:val="15"/>
                <w:szCs w:val="15"/>
                <w:color w:val="auto"/>
              </w:rPr>
            </w:pPr>
            <w:hyperlink r:id="rId534">
              <w:r>
                <w:rPr>
                  <w:rFonts w:ascii="Arial" w:cs="Arial" w:eastAsia="Arial" w:hAnsi="Arial"/>
                  <w:sz w:val="15"/>
                  <w:szCs w:val="15"/>
                  <w:color w:val="auto"/>
                </w:rPr>
                <w:t>Amended and Restated By-Laws of SLB Limited (SLB N.V.) (incorporated by reference to Exhibit 3.2 to SLB’s Quarterly Report on Form 10-Q for</w:t>
              </w:r>
            </w:hyperlink>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58"/>
        </w:trPr>
        <w:tc>
          <w:tcPr>
            <w:tcW w:w="60" w:type="dxa"/>
            <w:vAlign w:val="bottom"/>
          </w:tcPr>
          <w:p>
            <w:pPr>
              <w:spacing w:after="0"/>
              <w:rPr>
                <w:sz w:val="13"/>
                <w:szCs w:val="13"/>
                <w:color w:val="auto"/>
              </w:rPr>
            </w:pPr>
          </w:p>
        </w:tc>
        <w:tc>
          <w:tcPr>
            <w:tcW w:w="2680" w:type="dxa"/>
            <w:vAlign w:val="bottom"/>
            <w:tcBorders>
              <w:bottom w:val="single" w:sz="8" w:color="0000EE"/>
            </w:tcBorders>
            <w:gridSpan w:val="4"/>
          </w:tcPr>
          <w:p>
            <w:pPr>
              <w:spacing w:after="0" w:line="158" w:lineRule="exact"/>
              <w:rPr>
                <w:rFonts w:ascii="Arial" w:cs="Arial" w:eastAsia="Arial" w:hAnsi="Arial"/>
                <w:sz w:val="15"/>
                <w:szCs w:val="15"/>
                <w:color w:val="auto"/>
              </w:rPr>
            </w:pPr>
            <w:hyperlink r:id="rId534">
              <w:r>
                <w:rPr>
                  <w:rFonts w:ascii="Arial" w:cs="Arial" w:eastAsia="Arial" w:hAnsi="Arial"/>
                  <w:sz w:val="15"/>
                  <w:szCs w:val="15"/>
                  <w:color w:val="auto"/>
                </w:rPr>
                <w:t>the quarter ended September 30, 2025)</w:t>
              </w:r>
            </w:hyperlink>
          </w:p>
        </w:tc>
        <w:tc>
          <w:tcPr>
            <w:tcW w:w="7400" w:type="dxa"/>
            <w:vAlign w:val="bottom"/>
            <w:gridSpan w:val="12"/>
          </w:tcPr>
          <w:p>
            <w:pPr>
              <w:spacing w:after="0"/>
              <w:rPr>
                <w:sz w:val="13"/>
                <w:szCs w:val="13"/>
                <w:color w:val="auto"/>
              </w:rPr>
            </w:pPr>
          </w:p>
        </w:tc>
        <w:tc>
          <w:tcPr>
            <w:tcW w:w="1100" w:type="dxa"/>
            <w:vAlign w:val="bottom"/>
          </w:tcPr>
          <w:p>
            <w:pPr>
              <w:spacing w:after="0"/>
              <w:rPr>
                <w:sz w:val="13"/>
                <w:szCs w:val="13"/>
                <w:color w:val="auto"/>
              </w:rPr>
            </w:pPr>
          </w:p>
        </w:tc>
      </w:tr>
      <w:tr>
        <w:trPr>
          <w:trHeight w:val="335"/>
        </w:trPr>
        <w:tc>
          <w:tcPr>
            <w:tcW w:w="60" w:type="dxa"/>
            <w:vAlign w:val="bottom"/>
          </w:tcPr>
          <w:p>
            <w:pPr>
              <w:spacing w:after="0"/>
              <w:rPr>
                <w:sz w:val="24"/>
                <w:szCs w:val="24"/>
                <w:color w:val="auto"/>
              </w:rPr>
            </w:pPr>
          </w:p>
        </w:tc>
        <w:tc>
          <w:tcPr>
            <w:tcW w:w="10080" w:type="dxa"/>
            <w:vAlign w:val="bottom"/>
            <w:gridSpan w:val="16"/>
          </w:tcPr>
          <w:p>
            <w:pPr>
              <w:spacing w:after="0"/>
              <w:rPr>
                <w:sz w:val="20"/>
                <w:szCs w:val="20"/>
                <w:color w:val="auto"/>
              </w:rPr>
            </w:pPr>
            <w:r>
              <w:rPr>
                <w:rFonts w:ascii="Arial" w:cs="Arial" w:eastAsia="Arial" w:hAnsi="Arial"/>
                <w:sz w:val="15"/>
                <w:szCs w:val="15"/>
                <w:color w:val="auto"/>
              </w:rPr>
              <w:t>Description of Common Stock of SLB Limited (*)</w:t>
            </w:r>
          </w:p>
        </w:tc>
        <w:tc>
          <w:tcPr>
            <w:tcW w:w="110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0"/>
        </w:trPr>
        <w:tc>
          <w:tcPr>
            <w:tcW w:w="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35"/>
        </w:trPr>
        <w:tc>
          <w:tcPr>
            <w:tcW w:w="6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5"/>
                <w:szCs w:val="15"/>
                <w:color w:val="auto"/>
              </w:rPr>
            </w:pPr>
            <w:hyperlink r:id="rId535">
              <w:r>
                <w:rPr>
                  <w:rFonts w:ascii="Arial" w:cs="Arial" w:eastAsia="Arial" w:hAnsi="Arial"/>
                  <w:sz w:val="15"/>
                  <w:szCs w:val="15"/>
                  <w:color w:val="auto"/>
                </w:rPr>
                <w:t xml:space="preserve">Indenture dated as of December 3, 2013, by and among Schlumberger Investment </w:t>
              </w:r>
            </w:hyperlink>
            <w:r>
              <w:rPr>
                <w:rFonts w:ascii="Arial" w:cs="Arial" w:eastAsia="Arial" w:hAnsi="Arial"/>
                <w:sz w:val="15"/>
                <w:szCs w:val="15"/>
                <w:color w:val="auto"/>
              </w:rPr>
              <w:t>S.A., as issuer, Schlumberger Limited, as guarantor, and The</w:t>
            </w:r>
          </w:p>
        </w:tc>
        <w:tc>
          <w:tcPr>
            <w:tcW w:w="110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
        </w:trPr>
        <w:tc>
          <w:tcPr>
            <w:tcW w:w="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10080" w:type="dxa"/>
            <w:vAlign w:val="bottom"/>
            <w:gridSpan w:val="16"/>
          </w:tcPr>
          <w:p>
            <w:pPr>
              <w:spacing w:after="0"/>
              <w:rPr>
                <w:sz w:val="20"/>
                <w:szCs w:val="20"/>
                <w:color w:val="auto"/>
              </w:rPr>
            </w:pPr>
            <w:r>
              <w:rPr>
                <w:rFonts w:ascii="Arial" w:cs="Arial" w:eastAsia="Arial" w:hAnsi="Arial"/>
                <w:sz w:val="15"/>
                <w:szCs w:val="15"/>
                <w:color w:val="auto"/>
              </w:rPr>
              <w:t>Bank of New York Mellon, as trustee (incorporated by reference to Exhibit 4.1 to SLB’s Current Report on Form 8-K filed on December 3, 2013)</w:t>
            </w:r>
          </w:p>
        </w:tc>
        <w:tc>
          <w:tcPr>
            <w:tcW w:w="1100" w:type="dxa"/>
            <w:vAlign w:val="bottom"/>
          </w:tcPr>
          <w:p>
            <w:pPr>
              <w:spacing w:after="0"/>
              <w:rPr>
                <w:sz w:val="16"/>
                <w:szCs w:val="16"/>
                <w:color w:val="auto"/>
              </w:rPr>
            </w:pPr>
          </w:p>
        </w:tc>
      </w:tr>
      <w:tr>
        <w:trPr>
          <w:trHeight w:val="320"/>
        </w:trPr>
        <w:tc>
          <w:tcPr>
            <w:tcW w:w="6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5"/>
                <w:szCs w:val="15"/>
                <w:color w:val="auto"/>
              </w:rPr>
            </w:pPr>
            <w:hyperlink r:id="rId536">
              <w:r>
                <w:rPr>
                  <w:rFonts w:ascii="Arial" w:cs="Arial" w:eastAsia="Arial" w:hAnsi="Arial"/>
                  <w:sz w:val="15"/>
                  <w:szCs w:val="15"/>
                  <w:color w:val="auto"/>
                </w:rPr>
                <w:t xml:space="preserve">Second Supplemental Indenture dated as of June 26, 2020, by and among Schlumberger Investment </w:t>
              </w:r>
            </w:hyperlink>
            <w:r>
              <w:rPr>
                <w:rFonts w:ascii="Arial" w:cs="Arial" w:eastAsia="Arial" w:hAnsi="Arial"/>
                <w:sz w:val="15"/>
                <w:szCs w:val="15"/>
                <w:color w:val="auto"/>
              </w:rPr>
              <w:t>S.A., as issuer, Schlumberger Limited, as</w:t>
            </w:r>
          </w:p>
        </w:tc>
        <w:tc>
          <w:tcPr>
            <w:tcW w:w="110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0"/>
        </w:trPr>
        <w:tc>
          <w:tcPr>
            <w:tcW w:w="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1"/>
        </w:trPr>
        <w:tc>
          <w:tcPr>
            <w:tcW w:w="60" w:type="dxa"/>
            <w:vAlign w:val="bottom"/>
          </w:tcPr>
          <w:p>
            <w:pPr>
              <w:spacing w:after="0"/>
              <w:rPr>
                <w:sz w:val="14"/>
                <w:szCs w:val="14"/>
                <w:color w:val="auto"/>
              </w:rPr>
            </w:pPr>
          </w:p>
        </w:tc>
        <w:tc>
          <w:tcPr>
            <w:tcW w:w="10080" w:type="dxa"/>
            <w:vAlign w:val="bottom"/>
            <w:gridSpan w:val="16"/>
          </w:tcPr>
          <w:p>
            <w:pPr>
              <w:spacing w:after="0" w:line="171" w:lineRule="exact"/>
              <w:rPr>
                <w:sz w:val="20"/>
                <w:szCs w:val="20"/>
                <w:color w:val="auto"/>
              </w:rPr>
            </w:pPr>
            <w:r>
              <w:rPr>
                <w:rFonts w:ascii="Arial" w:cs="Arial" w:eastAsia="Arial" w:hAnsi="Arial"/>
                <w:sz w:val="15"/>
                <w:szCs w:val="15"/>
                <w:color w:val="auto"/>
              </w:rPr>
              <w:t>guarantor, and The Bank of New York Mellon, as trustee (including form of global notes representing 2.650% Senior Notes due 2030)</w:t>
            </w:r>
          </w:p>
        </w:tc>
        <w:tc>
          <w:tcPr>
            <w:tcW w:w="1100" w:type="dxa"/>
            <w:vAlign w:val="bottom"/>
          </w:tcPr>
          <w:p>
            <w:pPr>
              <w:spacing w:after="0"/>
              <w:rPr>
                <w:sz w:val="14"/>
                <w:szCs w:val="14"/>
                <w:color w:val="auto"/>
              </w:rPr>
            </w:pPr>
          </w:p>
        </w:tc>
      </w:tr>
      <w:tr>
        <w:trPr>
          <w:trHeight w:val="200"/>
        </w:trPr>
        <w:tc>
          <w:tcPr>
            <w:tcW w:w="60" w:type="dxa"/>
            <w:vAlign w:val="bottom"/>
          </w:tcPr>
          <w:p>
            <w:pPr>
              <w:spacing w:after="0"/>
              <w:rPr>
                <w:sz w:val="17"/>
                <w:szCs w:val="17"/>
                <w:color w:val="auto"/>
              </w:rPr>
            </w:pPr>
          </w:p>
        </w:tc>
        <w:tc>
          <w:tcPr>
            <w:tcW w:w="10080" w:type="dxa"/>
            <w:vAlign w:val="bottom"/>
            <w:gridSpan w:val="16"/>
          </w:tcPr>
          <w:p>
            <w:pPr>
              <w:spacing w:after="0"/>
              <w:rPr>
                <w:sz w:val="20"/>
                <w:szCs w:val="20"/>
                <w:color w:val="auto"/>
              </w:rPr>
            </w:pPr>
            <w:r>
              <w:rPr>
                <w:rFonts w:ascii="Arial" w:cs="Arial" w:eastAsia="Arial" w:hAnsi="Arial"/>
                <w:sz w:val="15"/>
                <w:szCs w:val="15"/>
                <w:color w:val="auto"/>
              </w:rPr>
              <w:t>(incorporated by reference to Exhibit 4.1 to SLB’s Current Report on Form 8-K filed on June 26, 2020)</w:t>
            </w:r>
          </w:p>
        </w:tc>
        <w:tc>
          <w:tcPr>
            <w:tcW w:w="1100" w:type="dxa"/>
            <w:vAlign w:val="bottom"/>
          </w:tcPr>
          <w:p>
            <w:pPr>
              <w:spacing w:after="0"/>
              <w:rPr>
                <w:sz w:val="17"/>
                <w:szCs w:val="17"/>
                <w:color w:val="auto"/>
              </w:rPr>
            </w:pPr>
          </w:p>
        </w:tc>
      </w:tr>
      <w:tr>
        <w:trPr>
          <w:trHeight w:val="333"/>
        </w:trPr>
        <w:tc>
          <w:tcPr>
            <w:tcW w:w="6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5"/>
                <w:szCs w:val="15"/>
                <w:color w:val="auto"/>
              </w:rPr>
            </w:pPr>
            <w:hyperlink r:id="rId537">
              <w:r>
                <w:rPr>
                  <w:rFonts w:ascii="Arial" w:cs="Arial" w:eastAsia="Arial" w:hAnsi="Arial"/>
                  <w:sz w:val="15"/>
                  <w:szCs w:val="15"/>
                  <w:color w:val="auto"/>
                </w:rPr>
                <w:t>Third Supplemental Indenture dated as of May 15, 2023, by and among Schlumberger Investment S</w:t>
              </w:r>
            </w:hyperlink>
            <w:r>
              <w:rPr>
                <w:rFonts w:ascii="Times New Roman" w:cs="Times New Roman" w:eastAsia="Times New Roman" w:hAnsi="Times New Roman"/>
                <w:sz w:val="16"/>
                <w:szCs w:val="16"/>
                <w:color w:val="auto"/>
              </w:rPr>
              <w:t>.A.</w:t>
            </w:r>
            <w:r>
              <w:rPr>
                <w:rFonts w:ascii="Arial" w:cs="Arial" w:eastAsia="Arial" w:hAnsi="Arial"/>
                <w:sz w:val="15"/>
                <w:szCs w:val="15"/>
                <w:color w:val="auto"/>
              </w:rPr>
              <w:t>as issuer, Schlumberger Limited, as</w:t>
            </w:r>
          </w:p>
        </w:tc>
        <w:tc>
          <w:tcPr>
            <w:tcW w:w="11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0"/>
        </w:trPr>
        <w:tc>
          <w:tcPr>
            <w:tcW w:w="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10080" w:type="dxa"/>
            <w:vAlign w:val="bottom"/>
            <w:gridSpan w:val="16"/>
          </w:tcPr>
          <w:p>
            <w:pPr>
              <w:spacing w:after="0" w:line="171" w:lineRule="exact"/>
              <w:rPr>
                <w:rFonts w:ascii="Arial" w:cs="Arial" w:eastAsia="Arial" w:hAnsi="Arial"/>
                <w:sz w:val="15"/>
                <w:szCs w:val="15"/>
                <w:color w:val="auto"/>
              </w:rPr>
            </w:pPr>
            <w:hyperlink r:id="rId537">
              <w:r>
                <w:rPr>
                  <w:rFonts w:ascii="Arial" w:cs="Arial" w:eastAsia="Arial" w:hAnsi="Arial"/>
                  <w:sz w:val="15"/>
                  <w:szCs w:val="15"/>
                  <w:color w:val="auto"/>
                </w:rPr>
                <w:t>guarantor, and The Bank of New York Mellon, as trustee (including form of global notes representing 4.500% Senior Notes due 2028 and form of</w:t>
              </w:r>
            </w:hyperlink>
          </w:p>
        </w:tc>
        <w:tc>
          <w:tcPr>
            <w:tcW w:w="110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8"/>
        </w:trPr>
        <w:tc>
          <w:tcPr>
            <w:tcW w:w="60" w:type="dxa"/>
            <w:vAlign w:val="bottom"/>
          </w:tcPr>
          <w:p>
            <w:pPr>
              <w:spacing w:after="0"/>
              <w:rPr>
                <w:sz w:val="13"/>
                <w:szCs w:val="13"/>
                <w:color w:val="auto"/>
              </w:rPr>
            </w:pPr>
          </w:p>
        </w:tc>
        <w:tc>
          <w:tcPr>
            <w:tcW w:w="9900" w:type="dxa"/>
            <w:vAlign w:val="bottom"/>
            <w:tcBorders>
              <w:bottom w:val="single" w:sz="8" w:color="0000EE"/>
            </w:tcBorders>
            <w:gridSpan w:val="14"/>
          </w:tcPr>
          <w:p>
            <w:pPr>
              <w:spacing w:after="0" w:line="158" w:lineRule="exact"/>
              <w:rPr>
                <w:rFonts w:ascii="Arial" w:cs="Arial" w:eastAsia="Arial" w:hAnsi="Arial"/>
                <w:sz w:val="15"/>
                <w:szCs w:val="15"/>
                <w:color w:val="auto"/>
              </w:rPr>
            </w:pPr>
            <w:hyperlink r:id="rId537">
              <w:r>
                <w:rPr>
                  <w:rFonts w:ascii="Arial" w:cs="Arial" w:eastAsia="Arial" w:hAnsi="Arial"/>
                  <w:sz w:val="15"/>
                  <w:szCs w:val="15"/>
                  <w:color w:val="auto"/>
                </w:rPr>
                <w:t>global notes representing 4.850% Senior Notes due 2033) (incorporated by reference to Exhibit 4.1 to SLB’s Current Report on Form 8-K filed on</w:t>
              </w:r>
            </w:hyperlink>
          </w:p>
        </w:tc>
        <w:tc>
          <w:tcPr>
            <w:tcW w:w="18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r>
      <w:tr>
        <w:trPr>
          <w:trHeight w:val="158"/>
        </w:trPr>
        <w:tc>
          <w:tcPr>
            <w:tcW w:w="60" w:type="dxa"/>
            <w:vAlign w:val="bottom"/>
          </w:tcPr>
          <w:p>
            <w:pPr>
              <w:spacing w:after="0"/>
              <w:rPr>
                <w:sz w:val="13"/>
                <w:szCs w:val="13"/>
                <w:color w:val="auto"/>
              </w:rPr>
            </w:pPr>
          </w:p>
        </w:tc>
        <w:tc>
          <w:tcPr>
            <w:tcW w:w="980" w:type="dxa"/>
            <w:vAlign w:val="bottom"/>
            <w:tcBorders>
              <w:bottom w:val="single" w:sz="8" w:color="0000EE"/>
            </w:tcBorders>
          </w:tcPr>
          <w:p>
            <w:pPr>
              <w:spacing w:after="0" w:line="158" w:lineRule="exact"/>
              <w:rPr>
                <w:rFonts w:ascii="Arial" w:cs="Arial" w:eastAsia="Arial" w:hAnsi="Arial"/>
                <w:sz w:val="15"/>
                <w:szCs w:val="15"/>
                <w:color w:val="auto"/>
              </w:rPr>
            </w:pPr>
            <w:hyperlink r:id="rId537">
              <w:r>
                <w:rPr>
                  <w:rFonts w:ascii="Arial" w:cs="Arial" w:eastAsia="Arial" w:hAnsi="Arial"/>
                  <w:sz w:val="15"/>
                  <w:szCs w:val="15"/>
                  <w:color w:val="auto"/>
                </w:rPr>
                <w:t>May 15, 2023)</w:t>
              </w:r>
            </w:hyperlink>
          </w:p>
        </w:tc>
        <w:tc>
          <w:tcPr>
            <w:tcW w:w="9100" w:type="dxa"/>
            <w:vAlign w:val="bottom"/>
            <w:gridSpan w:val="15"/>
          </w:tcPr>
          <w:p>
            <w:pPr>
              <w:spacing w:after="0"/>
              <w:rPr>
                <w:sz w:val="13"/>
                <w:szCs w:val="13"/>
                <w:color w:val="auto"/>
              </w:rPr>
            </w:pPr>
          </w:p>
        </w:tc>
        <w:tc>
          <w:tcPr>
            <w:tcW w:w="1100" w:type="dxa"/>
            <w:vAlign w:val="bottom"/>
          </w:tcPr>
          <w:p>
            <w:pPr>
              <w:spacing w:after="0"/>
              <w:rPr>
                <w:sz w:val="13"/>
                <w:szCs w:val="13"/>
                <w:color w:val="auto"/>
              </w:rPr>
            </w:pPr>
          </w:p>
        </w:tc>
      </w:tr>
      <w:tr>
        <w:trPr>
          <w:trHeight w:val="335"/>
        </w:trPr>
        <w:tc>
          <w:tcPr>
            <w:tcW w:w="6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5"/>
                <w:szCs w:val="15"/>
                <w:color w:val="auto"/>
              </w:rPr>
            </w:pPr>
            <w:hyperlink r:id="rId538">
              <w:r>
                <w:rPr>
                  <w:rFonts w:ascii="Arial" w:cs="Arial" w:eastAsia="Arial" w:hAnsi="Arial"/>
                  <w:sz w:val="15"/>
                  <w:szCs w:val="15"/>
                  <w:color w:val="auto"/>
                </w:rPr>
                <w:t>Fourth Supplemental Indenture dated as of May 29, 2024, by and among Schlumberger Investment S.A., as issuer, Schlumberger Limited, as</w:t>
              </w:r>
            </w:hyperlink>
          </w:p>
        </w:tc>
        <w:tc>
          <w:tcPr>
            <w:tcW w:w="20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158"/>
        </w:trPr>
        <w:tc>
          <w:tcPr>
            <w:tcW w:w="60" w:type="dxa"/>
            <w:vAlign w:val="bottom"/>
          </w:tcPr>
          <w:p>
            <w:pPr>
              <w:spacing w:after="0"/>
              <w:rPr>
                <w:sz w:val="13"/>
                <w:szCs w:val="13"/>
                <w:color w:val="auto"/>
              </w:rPr>
            </w:pPr>
          </w:p>
        </w:tc>
        <w:tc>
          <w:tcPr>
            <w:tcW w:w="9880" w:type="dxa"/>
            <w:vAlign w:val="bottom"/>
            <w:tcBorders>
              <w:bottom w:val="single" w:sz="8" w:color="0000EE"/>
            </w:tcBorders>
            <w:gridSpan w:val="13"/>
          </w:tcPr>
          <w:p>
            <w:pPr>
              <w:spacing w:after="0" w:line="158" w:lineRule="exact"/>
              <w:rPr>
                <w:rFonts w:ascii="Arial" w:cs="Arial" w:eastAsia="Arial" w:hAnsi="Arial"/>
                <w:sz w:val="15"/>
                <w:szCs w:val="15"/>
                <w:color w:val="auto"/>
              </w:rPr>
            </w:pPr>
            <w:hyperlink r:id="rId538">
              <w:r>
                <w:rPr>
                  <w:rFonts w:ascii="Arial" w:cs="Arial" w:eastAsia="Arial" w:hAnsi="Arial"/>
                  <w:sz w:val="15"/>
                  <w:szCs w:val="15"/>
                  <w:color w:val="auto"/>
                </w:rPr>
                <w:t>guarantor, and The Bank of New York Mellon, as trustee (including form of global notes representing 5.000% Senior Notes due 2034)</w:t>
              </w:r>
            </w:hyperlink>
          </w:p>
        </w:tc>
        <w:tc>
          <w:tcPr>
            <w:tcW w:w="200" w:type="dxa"/>
            <w:vAlign w:val="bottom"/>
            <w:gridSpan w:val="3"/>
          </w:tcPr>
          <w:p>
            <w:pPr>
              <w:spacing w:after="0"/>
              <w:rPr>
                <w:sz w:val="13"/>
                <w:szCs w:val="13"/>
                <w:color w:val="auto"/>
              </w:rPr>
            </w:pPr>
          </w:p>
        </w:tc>
        <w:tc>
          <w:tcPr>
            <w:tcW w:w="1100" w:type="dxa"/>
            <w:vAlign w:val="bottom"/>
          </w:tcPr>
          <w:p>
            <w:pPr>
              <w:spacing w:after="0"/>
              <w:rPr>
                <w:sz w:val="13"/>
                <w:szCs w:val="13"/>
                <w:color w:val="auto"/>
              </w:rPr>
            </w:pPr>
          </w:p>
        </w:tc>
      </w:tr>
      <w:tr>
        <w:trPr>
          <w:trHeight w:val="158"/>
        </w:trPr>
        <w:tc>
          <w:tcPr>
            <w:tcW w:w="60" w:type="dxa"/>
            <w:vAlign w:val="bottom"/>
          </w:tcPr>
          <w:p>
            <w:pPr>
              <w:spacing w:after="0"/>
              <w:rPr>
                <w:sz w:val="13"/>
                <w:szCs w:val="13"/>
                <w:color w:val="auto"/>
              </w:rPr>
            </w:pPr>
          </w:p>
        </w:tc>
        <w:tc>
          <w:tcPr>
            <w:tcW w:w="10080" w:type="dxa"/>
            <w:vAlign w:val="bottom"/>
            <w:gridSpan w:val="16"/>
          </w:tcPr>
          <w:p>
            <w:pPr>
              <w:spacing w:after="0" w:line="158" w:lineRule="exact"/>
              <w:rPr>
                <w:rFonts w:ascii="Arial" w:cs="Arial" w:eastAsia="Arial" w:hAnsi="Arial"/>
                <w:sz w:val="15"/>
                <w:szCs w:val="15"/>
                <w:color w:val="auto"/>
              </w:rPr>
            </w:pPr>
            <w:hyperlink r:id="rId538">
              <w:r>
                <w:rPr>
                  <w:rFonts w:ascii="Arial" w:cs="Arial" w:eastAsia="Arial" w:hAnsi="Arial"/>
                  <w:sz w:val="15"/>
                  <w:szCs w:val="15"/>
                  <w:color w:val="auto"/>
                </w:rPr>
                <w:t>(incorporated by reference to Exhibit 4.1 to SLB’s Current Report on Form 8-K filed on May 29, 2024)</w:t>
              </w:r>
            </w:hyperlink>
          </w:p>
        </w:tc>
        <w:tc>
          <w:tcPr>
            <w:tcW w:w="110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540" w:type="dxa"/>
            <w:vAlign w:val="bottom"/>
            <w:gridSpan w:val="6"/>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35"/>
        </w:trPr>
        <w:tc>
          <w:tcPr>
            <w:tcW w:w="6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Arial" w:cs="Arial" w:eastAsia="Arial" w:hAnsi="Arial"/>
                <w:sz w:val="15"/>
                <w:szCs w:val="15"/>
                <w:color w:val="auto"/>
              </w:rPr>
            </w:pPr>
            <w:hyperlink r:id="rId539">
              <w:r>
                <w:rPr>
                  <w:rFonts w:ascii="Arial" w:cs="Arial" w:eastAsia="Arial" w:hAnsi="Arial"/>
                  <w:sz w:val="15"/>
                  <w:szCs w:val="15"/>
                  <w:color w:val="auto"/>
                </w:rPr>
                <w:t>Fifth Supplemental Indenture dated as of March 13, 2025, among Schlumberger Investment S.A., as issuer, Schlumberger Limited, as guarantor,</w:t>
              </w:r>
            </w:hyperlink>
          </w:p>
        </w:tc>
        <w:tc>
          <w:tcPr>
            <w:tcW w:w="20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58"/>
        </w:trPr>
        <w:tc>
          <w:tcPr>
            <w:tcW w:w="60" w:type="dxa"/>
            <w:vAlign w:val="bottom"/>
          </w:tcPr>
          <w:p>
            <w:pPr>
              <w:spacing w:after="0"/>
              <w:rPr>
                <w:sz w:val="13"/>
                <w:szCs w:val="13"/>
                <w:color w:val="auto"/>
              </w:rPr>
            </w:pPr>
          </w:p>
        </w:tc>
        <w:tc>
          <w:tcPr>
            <w:tcW w:w="9840" w:type="dxa"/>
            <w:vAlign w:val="bottom"/>
            <w:tcBorders>
              <w:bottom w:val="single" w:sz="8" w:color="0000EE"/>
            </w:tcBorders>
            <w:gridSpan w:val="12"/>
          </w:tcPr>
          <w:p>
            <w:pPr>
              <w:spacing w:after="0" w:line="158" w:lineRule="exact"/>
              <w:rPr>
                <w:rFonts w:ascii="Arial" w:cs="Arial" w:eastAsia="Arial" w:hAnsi="Arial"/>
                <w:sz w:val="15"/>
                <w:szCs w:val="15"/>
                <w:color w:val="auto"/>
              </w:rPr>
            </w:pPr>
            <w:hyperlink r:id="rId539">
              <w:r>
                <w:rPr>
                  <w:rFonts w:ascii="Arial" w:cs="Arial" w:eastAsia="Arial" w:hAnsi="Arial"/>
                  <w:sz w:val="15"/>
                  <w:szCs w:val="15"/>
                  <w:color w:val="auto"/>
                </w:rPr>
                <w:t>and The Bank of New York Mellon, as trustee (incorporated by reference to Exhibit 4.4 to SLB’s Quarterly Report on Form 10-Q for the quarter</w:t>
              </w:r>
            </w:hyperlink>
          </w:p>
        </w:tc>
        <w:tc>
          <w:tcPr>
            <w:tcW w:w="240" w:type="dxa"/>
            <w:vAlign w:val="bottom"/>
            <w:gridSpan w:val="4"/>
          </w:tcPr>
          <w:p>
            <w:pPr>
              <w:spacing w:after="0"/>
              <w:rPr>
                <w:sz w:val="13"/>
                <w:szCs w:val="13"/>
                <w:color w:val="auto"/>
              </w:rPr>
            </w:pPr>
          </w:p>
        </w:tc>
        <w:tc>
          <w:tcPr>
            <w:tcW w:w="1100" w:type="dxa"/>
            <w:vAlign w:val="bottom"/>
          </w:tcPr>
          <w:p>
            <w:pPr>
              <w:spacing w:after="0"/>
              <w:rPr>
                <w:sz w:val="13"/>
                <w:szCs w:val="13"/>
                <w:color w:val="auto"/>
              </w:rPr>
            </w:pPr>
          </w:p>
        </w:tc>
      </w:tr>
      <w:tr>
        <w:trPr>
          <w:trHeight w:val="158"/>
        </w:trPr>
        <w:tc>
          <w:tcPr>
            <w:tcW w:w="60" w:type="dxa"/>
            <w:vAlign w:val="bottom"/>
          </w:tcPr>
          <w:p>
            <w:pPr>
              <w:spacing w:after="0"/>
              <w:rPr>
                <w:sz w:val="13"/>
                <w:szCs w:val="13"/>
                <w:color w:val="auto"/>
              </w:rPr>
            </w:pPr>
          </w:p>
        </w:tc>
        <w:tc>
          <w:tcPr>
            <w:tcW w:w="1580" w:type="dxa"/>
            <w:vAlign w:val="bottom"/>
            <w:tcBorders>
              <w:bottom w:val="single" w:sz="8" w:color="0000EE"/>
            </w:tcBorders>
            <w:gridSpan w:val="2"/>
          </w:tcPr>
          <w:p>
            <w:pPr>
              <w:spacing w:after="0" w:line="158" w:lineRule="exact"/>
              <w:rPr>
                <w:rFonts w:ascii="Arial" w:cs="Arial" w:eastAsia="Arial" w:hAnsi="Arial"/>
                <w:sz w:val="15"/>
                <w:szCs w:val="15"/>
                <w:color w:val="auto"/>
              </w:rPr>
            </w:pPr>
            <w:hyperlink r:id="rId539">
              <w:r>
                <w:rPr>
                  <w:rFonts w:ascii="Arial" w:cs="Arial" w:eastAsia="Arial" w:hAnsi="Arial"/>
                  <w:sz w:val="15"/>
                  <w:szCs w:val="15"/>
                  <w:color w:val="auto"/>
                </w:rPr>
                <w:t>ended March 31, 2025)</w:t>
              </w:r>
            </w:hyperlink>
          </w:p>
        </w:tc>
        <w:tc>
          <w:tcPr>
            <w:tcW w:w="8500" w:type="dxa"/>
            <w:vAlign w:val="bottom"/>
            <w:gridSpan w:val="14"/>
          </w:tcPr>
          <w:p>
            <w:pPr>
              <w:spacing w:after="0"/>
              <w:rPr>
                <w:sz w:val="13"/>
                <w:szCs w:val="13"/>
                <w:color w:val="auto"/>
              </w:rPr>
            </w:pPr>
          </w:p>
        </w:tc>
        <w:tc>
          <w:tcPr>
            <w:tcW w:w="1100" w:type="dxa"/>
            <w:vAlign w:val="bottom"/>
          </w:tcPr>
          <w:p>
            <w:pPr>
              <w:spacing w:after="0"/>
              <w:rPr>
                <w:sz w:val="13"/>
                <w:szCs w:val="13"/>
                <w:color w:val="auto"/>
              </w:rPr>
            </w:pPr>
          </w:p>
        </w:tc>
      </w:tr>
      <w:tr>
        <w:trPr>
          <w:trHeight w:val="335"/>
        </w:trPr>
        <w:tc>
          <w:tcPr>
            <w:tcW w:w="60" w:type="dxa"/>
            <w:vAlign w:val="bottom"/>
          </w:tcPr>
          <w:p>
            <w:pPr>
              <w:spacing w:after="0"/>
              <w:rPr>
                <w:sz w:val="24"/>
                <w:szCs w:val="24"/>
                <w:color w:val="auto"/>
              </w:rPr>
            </w:pPr>
          </w:p>
        </w:tc>
        <w:tc>
          <w:tcPr>
            <w:tcW w:w="10080" w:type="dxa"/>
            <w:vAlign w:val="bottom"/>
            <w:gridSpan w:val="16"/>
          </w:tcPr>
          <w:p>
            <w:pPr>
              <w:spacing w:after="0"/>
              <w:rPr>
                <w:rFonts w:ascii="Arial" w:cs="Arial" w:eastAsia="Arial" w:hAnsi="Arial"/>
                <w:sz w:val="15"/>
                <w:szCs w:val="15"/>
                <w:color w:val="auto"/>
              </w:rPr>
            </w:pPr>
            <w:hyperlink r:id="rId540">
              <w:r>
                <w:rPr>
                  <w:rFonts w:ascii="Arial" w:cs="Arial" w:eastAsia="Arial" w:hAnsi="Arial"/>
                  <w:sz w:val="15"/>
                  <w:szCs w:val="15"/>
                  <w:color w:val="auto"/>
                </w:rPr>
                <w:t xml:space="preserve">Officers’ Certificate dated as of August 11, 2020, executed by Schlumberger Investment </w:t>
              </w:r>
            </w:hyperlink>
            <w:r>
              <w:rPr>
                <w:rFonts w:ascii="Arial" w:cs="Arial" w:eastAsia="Arial" w:hAnsi="Arial"/>
                <w:sz w:val="15"/>
                <w:szCs w:val="15"/>
                <w:color w:val="auto"/>
              </w:rPr>
              <w:t>S.A., as issuer, and Schlumberger Limited, as guarantor</w:t>
            </w:r>
          </w:p>
        </w:tc>
        <w:tc>
          <w:tcPr>
            <w:tcW w:w="110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
        </w:trPr>
        <w:tc>
          <w:tcPr>
            <w:tcW w:w="60" w:type="dxa"/>
            <w:vAlign w:val="bottom"/>
          </w:tcPr>
          <w:p>
            <w:pPr>
              <w:spacing w:after="0" w:line="20" w:lineRule="exact"/>
              <w:rPr>
                <w:sz w:val="1"/>
                <w:szCs w:val="1"/>
                <w:color w:val="auto"/>
              </w:rPr>
            </w:pPr>
          </w:p>
        </w:tc>
        <w:tc>
          <w:tcPr>
            <w:tcW w:w="6120" w:type="dxa"/>
            <w:vAlign w:val="bottom"/>
            <w:gridSpan w:val="8"/>
            <w:shd w:val="clear" w:color="auto" w:fill="0000EE"/>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1"/>
        </w:trPr>
        <w:tc>
          <w:tcPr>
            <w:tcW w:w="60" w:type="dxa"/>
            <w:vAlign w:val="bottom"/>
          </w:tcPr>
          <w:p>
            <w:pPr>
              <w:spacing w:after="0"/>
              <w:rPr>
                <w:sz w:val="14"/>
                <w:szCs w:val="14"/>
                <w:color w:val="auto"/>
              </w:rPr>
            </w:pPr>
          </w:p>
        </w:tc>
        <w:tc>
          <w:tcPr>
            <w:tcW w:w="10080" w:type="dxa"/>
            <w:vAlign w:val="bottom"/>
            <w:gridSpan w:val="16"/>
          </w:tcPr>
          <w:p>
            <w:pPr>
              <w:spacing w:after="0" w:line="171" w:lineRule="exact"/>
              <w:rPr>
                <w:sz w:val="20"/>
                <w:szCs w:val="20"/>
                <w:color w:val="auto"/>
              </w:rPr>
            </w:pPr>
            <w:r>
              <w:rPr>
                <w:rFonts w:ascii="Arial" w:cs="Arial" w:eastAsia="Arial" w:hAnsi="Arial"/>
                <w:sz w:val="15"/>
                <w:szCs w:val="15"/>
                <w:color w:val="auto"/>
              </w:rPr>
              <w:t>(including form of global notes representing 2.650% Senior Notes due 2030) (incorporated by reference to Exhibit 4.1 to SLB’s Current Report on</w:t>
            </w:r>
          </w:p>
        </w:tc>
        <w:tc>
          <w:tcPr>
            <w:tcW w:w="1100" w:type="dxa"/>
            <w:vAlign w:val="bottom"/>
          </w:tcPr>
          <w:p>
            <w:pPr>
              <w:spacing w:after="0"/>
              <w:rPr>
                <w:sz w:val="14"/>
                <w:szCs w:val="14"/>
                <w:color w:val="auto"/>
              </w:rPr>
            </w:pPr>
          </w:p>
        </w:tc>
      </w:tr>
      <w:tr>
        <w:trPr>
          <w:trHeight w:val="200"/>
        </w:trPr>
        <w:tc>
          <w:tcPr>
            <w:tcW w:w="60" w:type="dxa"/>
            <w:vAlign w:val="bottom"/>
          </w:tcPr>
          <w:p>
            <w:pPr>
              <w:spacing w:after="0"/>
              <w:rPr>
                <w:sz w:val="17"/>
                <w:szCs w:val="17"/>
                <w:color w:val="auto"/>
              </w:rPr>
            </w:pPr>
          </w:p>
        </w:tc>
        <w:tc>
          <w:tcPr>
            <w:tcW w:w="10080" w:type="dxa"/>
            <w:vAlign w:val="bottom"/>
            <w:gridSpan w:val="16"/>
          </w:tcPr>
          <w:p>
            <w:pPr>
              <w:spacing w:after="0"/>
              <w:rPr>
                <w:sz w:val="20"/>
                <w:szCs w:val="20"/>
                <w:color w:val="auto"/>
              </w:rPr>
            </w:pPr>
            <w:r>
              <w:rPr>
                <w:rFonts w:ascii="Arial" w:cs="Arial" w:eastAsia="Arial" w:hAnsi="Arial"/>
                <w:sz w:val="15"/>
                <w:szCs w:val="15"/>
                <w:color w:val="auto"/>
              </w:rPr>
              <w:t>Form 8-K filed on August 11, 2020)</w:t>
            </w:r>
          </w:p>
        </w:tc>
        <w:tc>
          <w:tcPr>
            <w:tcW w:w="1100" w:type="dxa"/>
            <w:vAlign w:val="bottom"/>
          </w:tcPr>
          <w:p>
            <w:pPr>
              <w:spacing w:after="0"/>
              <w:rPr>
                <w:sz w:val="17"/>
                <w:szCs w:val="17"/>
                <w:color w:val="auto"/>
              </w:rPr>
            </w:pPr>
          </w:p>
        </w:tc>
      </w:tr>
      <w:tr>
        <w:trPr>
          <w:trHeight w:val="381"/>
        </w:trPr>
        <w:tc>
          <w:tcPr>
            <w:tcW w:w="5820" w:type="dxa"/>
            <w:vAlign w:val="bottom"/>
            <w:gridSpan w:val="8"/>
          </w:tcPr>
          <w:p>
            <w:pPr>
              <w:jc w:val="right"/>
              <w:ind w:right="120"/>
              <w:spacing w:after="0"/>
              <w:rPr>
                <w:sz w:val="20"/>
                <w:szCs w:val="20"/>
                <w:color w:val="auto"/>
              </w:rPr>
            </w:pPr>
            <w:r>
              <w:rPr>
                <w:rFonts w:ascii="Arial" w:cs="Arial" w:eastAsia="Arial" w:hAnsi="Arial"/>
                <w:sz w:val="15"/>
                <w:szCs w:val="15"/>
                <w:color w:val="auto"/>
              </w:rPr>
              <w:t>64</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06"/>
        </w:trPr>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4" w:name="page65"/>
    <w:bookmarkEnd w:id="64"/>
    <w:p>
      <w:pPr>
        <w:spacing w:after="0" w:line="355" w:lineRule="exact"/>
        <w:rPr>
          <w:sz w:val="20"/>
          <w:szCs w:val="20"/>
          <w:color w:val="auto"/>
        </w:rPr>
      </w:pPr>
    </w:p>
    <w:p>
      <w:pPr>
        <w:jc w:val="both"/>
        <w:spacing w:after="0" w:line="266" w:lineRule="auto"/>
        <w:rPr>
          <w:rFonts w:ascii="Arial" w:cs="Arial" w:eastAsia="Arial" w:hAnsi="Arial"/>
          <w:sz w:val="15"/>
          <w:szCs w:val="15"/>
          <w:color w:val="auto"/>
        </w:rPr>
      </w:pPr>
      <w:hyperlink r:id="rId543">
        <w:r>
          <w:rPr>
            <w:rFonts w:ascii="Arial" w:cs="Arial" w:eastAsia="Arial" w:hAnsi="Arial"/>
            <w:sz w:val="15"/>
            <w:szCs w:val="15"/>
            <w:color w:val="auto"/>
          </w:rPr>
          <w:t>Schlumberger Limited Supplementary Benefit Plan, as amended and restated effective November 1, 2020 and conformed to include amendments</w:t>
        </w:r>
      </w:hyperlink>
      <w:r>
        <w:rPr>
          <w:rFonts w:ascii="Arial" w:cs="Arial" w:eastAsia="Arial" w:hAnsi="Arial"/>
          <w:sz w:val="15"/>
          <w:szCs w:val="15"/>
          <w:color w:val="auto"/>
        </w:rPr>
        <w:t xml:space="preserve"> </w:t>
      </w:r>
      <w:hyperlink r:id="rId543">
        <w:r>
          <w:rPr>
            <w:rFonts w:ascii="Arial" w:cs="Arial" w:eastAsia="Arial" w:hAnsi="Arial"/>
            <w:sz w:val="15"/>
            <w:szCs w:val="15"/>
            <w:color w:val="auto"/>
          </w:rPr>
          <w:t>effective through January 1, 2023 (incorporated by reference to Exhibit 10.1 to SLB’s Quarterly Report on Form 10-Q for the quarter ended</w:t>
        </w:r>
      </w:hyperlink>
      <w:r>
        <w:rPr>
          <w:rFonts w:ascii="Arial" w:cs="Arial" w:eastAsia="Arial" w:hAnsi="Arial"/>
          <w:sz w:val="15"/>
          <w:szCs w:val="15"/>
          <w:color w:val="auto"/>
        </w:rPr>
        <w:t xml:space="preserve"> </w:t>
      </w:r>
      <w:hyperlink r:id="rId543">
        <w:r>
          <w:rPr>
            <w:rFonts w:ascii="Arial" w:cs="Arial" w:eastAsia="Arial" w:hAnsi="Arial"/>
            <w:sz w:val="15"/>
            <w:szCs w:val="15"/>
            <w:color w:val="auto"/>
          </w:rPr>
          <w:t>September 30, 2023) (+)</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62496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6249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24649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62464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wp:posOffset>
            </wp:positionV>
            <wp:extent cx="105600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117" w:lineRule="exact"/>
        <w:rPr>
          <w:rFonts w:ascii="Arial" w:cs="Arial" w:eastAsia="Arial" w:hAnsi="Arial"/>
          <w:sz w:val="15"/>
          <w:szCs w:val="15"/>
          <w:color w:val="auto"/>
        </w:rPr>
      </w:pPr>
    </w:p>
    <w:p>
      <w:pPr>
        <w:jc w:val="both"/>
        <w:spacing w:after="0" w:line="285" w:lineRule="auto"/>
        <w:rPr>
          <w:rFonts w:ascii="Arial" w:cs="Arial" w:eastAsia="Arial" w:hAnsi="Arial"/>
          <w:sz w:val="15"/>
          <w:szCs w:val="15"/>
          <w:color w:val="auto"/>
        </w:rPr>
      </w:pPr>
      <w:hyperlink r:id="rId547">
        <w:r>
          <w:rPr>
            <w:rFonts w:ascii="Arial" w:cs="Arial" w:eastAsia="Arial" w:hAnsi="Arial"/>
            <w:sz w:val="15"/>
            <w:szCs w:val="15"/>
            <w:color w:val="auto"/>
          </w:rPr>
          <w:t>Schlumberger Limited Restoration Savings Plan, as amended and restated effective January 1, 2023 (incorporated by reference to Exhibit 10.2 to</w:t>
        </w:r>
      </w:hyperlink>
      <w:r>
        <w:rPr>
          <w:rFonts w:ascii="Arial" w:cs="Arial" w:eastAsia="Arial" w:hAnsi="Arial"/>
          <w:sz w:val="15"/>
          <w:szCs w:val="15"/>
          <w:color w:val="auto"/>
        </w:rPr>
        <w:t xml:space="preserve"> </w:t>
      </w:r>
      <w:hyperlink r:id="rId547">
        <w:r>
          <w:rPr>
            <w:rFonts w:ascii="Arial" w:cs="Arial" w:eastAsia="Arial" w:hAnsi="Arial"/>
            <w:sz w:val="15"/>
            <w:szCs w:val="15"/>
            <w:color w:val="auto"/>
          </w:rPr>
          <w:t>SLB’s Quarterly Report on Form 10-Q for the quarter ended September 30, 2023)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5221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8">
                      <a:extLst>
                        <a:ext uri="{28A0092B-C50C-407E-A947-70E740481C1C}"/>
                      </a:extLst>
                    </a:blip>
                    <a:srcRect/>
                    <a:stretch>
                      <a:fillRect/>
                    </a:stretch>
                  </pic:blipFill>
                  <pic:spPr bwMode="auto">
                    <a:xfrm>
                      <a:off x="0" y="0"/>
                      <a:ext cx="6252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363664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9">
                      <a:extLst>
                        <a:ext uri="{28A0092B-C50C-407E-A947-70E740481C1C}"/>
                      </a:extLst>
                    </a:blip>
                    <a:srcRect/>
                    <a:stretch>
                      <a:fillRect/>
                    </a:stretch>
                  </pic:blipFill>
                  <pic:spPr bwMode="auto">
                    <a:xfrm>
                      <a:off x="0" y="0"/>
                      <a:ext cx="3636645" cy="8255"/>
                    </a:xfrm>
                    <a:prstGeom prst="rect">
                      <a:avLst/>
                    </a:prstGeom>
                    <a:noFill/>
                  </pic:spPr>
                </pic:pic>
              </a:graphicData>
            </a:graphic>
          </wp:anchor>
        </w:drawing>
      </w:r>
    </w:p>
    <w:p>
      <w:pPr>
        <w:spacing w:after="0" w:line="129" w:lineRule="exact"/>
        <w:rPr>
          <w:sz w:val="20"/>
          <w:szCs w:val="20"/>
          <w:color w:val="auto"/>
        </w:rPr>
      </w:pPr>
    </w:p>
    <w:p>
      <w:pPr>
        <w:jc w:val="both"/>
        <w:spacing w:after="0" w:line="266" w:lineRule="auto"/>
        <w:rPr>
          <w:rFonts w:ascii="Arial" w:cs="Arial" w:eastAsia="Arial" w:hAnsi="Arial"/>
          <w:sz w:val="15"/>
          <w:szCs w:val="15"/>
          <w:color w:val="auto"/>
        </w:rPr>
      </w:pPr>
      <w:hyperlink r:id="rId550">
        <w:r>
          <w:rPr>
            <w:rFonts w:ascii="Arial" w:cs="Arial" w:eastAsia="Arial" w:hAnsi="Arial"/>
            <w:sz w:val="15"/>
            <w:szCs w:val="15"/>
            <w:color w:val="auto"/>
          </w:rPr>
          <w:t>Schlumberger Technology Corporation Supplementary Benefit Plan, as established effective January 1, 1995 and conformed to include</w:t>
        </w:r>
      </w:hyperlink>
      <w:r>
        <w:rPr>
          <w:rFonts w:ascii="Arial" w:cs="Arial" w:eastAsia="Arial" w:hAnsi="Arial"/>
          <w:sz w:val="15"/>
          <w:szCs w:val="15"/>
          <w:color w:val="auto"/>
        </w:rPr>
        <w:t xml:space="preserve"> </w:t>
      </w:r>
      <w:hyperlink r:id="rId550">
        <w:r>
          <w:rPr>
            <w:rFonts w:ascii="Arial" w:cs="Arial" w:eastAsia="Arial" w:hAnsi="Arial"/>
            <w:sz w:val="15"/>
            <w:szCs w:val="15"/>
            <w:color w:val="auto"/>
          </w:rPr>
          <w:t>amendments through January 1, 2023 (incorporated by reference to Exhibit 10.3 to SLB’s Annual Report on Form 10-K for the year ended</w:t>
        </w:r>
      </w:hyperlink>
      <w:r>
        <w:rPr>
          <w:rFonts w:ascii="Arial" w:cs="Arial" w:eastAsia="Arial" w:hAnsi="Arial"/>
          <w:sz w:val="15"/>
          <w:szCs w:val="15"/>
          <w:color w:val="auto"/>
        </w:rPr>
        <w:t xml:space="preserve"> </w:t>
      </w:r>
      <w:hyperlink r:id="rId550">
        <w:r>
          <w:rPr>
            <w:rFonts w:ascii="Arial" w:cs="Arial" w:eastAsia="Arial" w:hAnsi="Arial"/>
            <w:sz w:val="15"/>
            <w:szCs w:val="15"/>
            <w:color w:val="auto"/>
          </w:rPr>
          <w:t>December 31, 2023) (+)</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624649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62464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25221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6252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wp:posOffset>
            </wp:positionV>
            <wp:extent cx="10293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43" w:lineRule="exact"/>
        <w:rPr>
          <w:rFonts w:ascii="Arial" w:cs="Arial" w:eastAsia="Arial" w:hAnsi="Arial"/>
          <w:sz w:val="15"/>
          <w:szCs w:val="15"/>
          <w:color w:val="auto"/>
        </w:rPr>
      </w:pPr>
    </w:p>
    <w:p>
      <w:pPr>
        <w:jc w:val="both"/>
        <w:spacing w:after="0" w:line="285" w:lineRule="auto"/>
        <w:rPr>
          <w:rFonts w:ascii="Arial" w:cs="Arial" w:eastAsia="Arial" w:hAnsi="Arial"/>
          <w:sz w:val="15"/>
          <w:szCs w:val="15"/>
          <w:color w:val="auto"/>
        </w:rPr>
      </w:pPr>
      <w:hyperlink r:id="rId554">
        <w:r>
          <w:rPr>
            <w:rFonts w:ascii="Arial" w:cs="Arial" w:eastAsia="Arial" w:hAnsi="Arial"/>
            <w:sz w:val="15"/>
            <w:szCs w:val="15"/>
            <w:color w:val="auto"/>
          </w:rPr>
          <w:t>2010 Omnibus Stock Incentive Plan, as amended and restated as of July 19, 2017 (incorporated by reference to Exhibit 10.8 to SLB’s Annual</w:t>
        </w:r>
      </w:hyperlink>
      <w:r>
        <w:rPr>
          <w:rFonts w:ascii="Arial" w:cs="Arial" w:eastAsia="Arial" w:hAnsi="Arial"/>
          <w:sz w:val="15"/>
          <w:szCs w:val="15"/>
          <w:color w:val="auto"/>
        </w:rPr>
        <w:t xml:space="preserve"> </w:t>
      </w:r>
      <w:hyperlink r:id="rId554">
        <w:r>
          <w:rPr>
            <w:rFonts w:ascii="Arial" w:cs="Arial" w:eastAsia="Arial" w:hAnsi="Arial"/>
            <w:sz w:val="15"/>
            <w:szCs w:val="15"/>
            <w:color w:val="auto"/>
          </w:rPr>
          <w:t>Report on Form 10-K for the year ended December 31,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4713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277622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2776220" cy="8255"/>
                    </a:xfrm>
                    <a:prstGeom prst="rect">
                      <a:avLst/>
                    </a:prstGeom>
                    <a:noFill/>
                  </pic:spPr>
                </pic:pic>
              </a:graphicData>
            </a:graphic>
          </wp:anchor>
        </w:drawing>
      </w:r>
    </w:p>
    <w:p>
      <w:pPr>
        <w:spacing w:after="0" w:line="129" w:lineRule="exact"/>
        <w:rPr>
          <w:sz w:val="20"/>
          <w:szCs w:val="20"/>
          <w:color w:val="auto"/>
        </w:rPr>
      </w:pPr>
    </w:p>
    <w:p>
      <w:pPr>
        <w:jc w:val="both"/>
        <w:spacing w:after="0" w:line="285" w:lineRule="auto"/>
        <w:rPr>
          <w:rFonts w:ascii="Arial" w:cs="Arial" w:eastAsia="Arial" w:hAnsi="Arial"/>
          <w:sz w:val="15"/>
          <w:szCs w:val="15"/>
          <w:color w:val="auto"/>
        </w:rPr>
      </w:pPr>
      <w:hyperlink r:id="rId557">
        <w:r>
          <w:rPr>
            <w:rFonts w:ascii="Arial" w:cs="Arial" w:eastAsia="Arial" w:hAnsi="Arial"/>
            <w:sz w:val="15"/>
            <w:szCs w:val="15"/>
            <w:color w:val="auto"/>
          </w:rPr>
          <w:t>Form of Option Agreement (Employees in France), Incentive Stock Option, under SLB’s 2010 Omnibus Stock Incentive Plan (incorporated by</w:t>
        </w:r>
      </w:hyperlink>
      <w:r>
        <w:rPr>
          <w:rFonts w:ascii="Arial" w:cs="Arial" w:eastAsia="Arial" w:hAnsi="Arial"/>
          <w:sz w:val="15"/>
          <w:szCs w:val="15"/>
          <w:color w:val="auto"/>
        </w:rPr>
        <w:t xml:space="preserve"> </w:t>
      </w:r>
      <w:hyperlink r:id="rId557">
        <w:r>
          <w:rPr>
            <w:rFonts w:ascii="Arial" w:cs="Arial" w:eastAsia="Arial" w:hAnsi="Arial"/>
            <w:sz w:val="15"/>
            <w:szCs w:val="15"/>
            <w:color w:val="auto"/>
          </w:rPr>
          <w:t>reference to Exhibit 10.10 to SLB’s Quarterly Report on Form 10-Q for the quarter ended June 30, 2013)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490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460946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4609465" cy="8255"/>
                    </a:xfrm>
                    <a:prstGeom prst="rect">
                      <a:avLst/>
                    </a:prstGeom>
                    <a:noFill/>
                  </pic:spPr>
                </pic:pic>
              </a:graphicData>
            </a:graphic>
          </wp:anchor>
        </w:drawing>
      </w:r>
    </w:p>
    <w:p>
      <w:pPr>
        <w:spacing w:after="0" w:line="103" w:lineRule="exact"/>
        <w:rPr>
          <w:sz w:val="20"/>
          <w:szCs w:val="20"/>
          <w:color w:val="auto"/>
        </w:rPr>
      </w:pPr>
    </w:p>
    <w:p>
      <w:pPr>
        <w:jc w:val="both"/>
        <w:spacing w:after="0" w:line="285" w:lineRule="auto"/>
        <w:rPr>
          <w:rFonts w:ascii="Arial" w:cs="Arial" w:eastAsia="Arial" w:hAnsi="Arial"/>
          <w:sz w:val="15"/>
          <w:szCs w:val="15"/>
          <w:color w:val="auto"/>
        </w:rPr>
      </w:pPr>
      <w:hyperlink r:id="rId560">
        <w:r>
          <w:rPr>
            <w:rFonts w:ascii="Arial" w:cs="Arial" w:eastAsia="Arial" w:hAnsi="Arial"/>
            <w:sz w:val="15"/>
            <w:szCs w:val="15"/>
            <w:color w:val="auto"/>
          </w:rPr>
          <w:t>Form of Option Agreement (Employees in France), Non-Qualified Stock Option, under SLB’s 2010 Omnibus Stock Incentive Plan (incorporated by</w:t>
        </w:r>
      </w:hyperlink>
      <w:r>
        <w:rPr>
          <w:rFonts w:ascii="Arial" w:cs="Arial" w:eastAsia="Arial" w:hAnsi="Arial"/>
          <w:sz w:val="15"/>
          <w:szCs w:val="15"/>
          <w:color w:val="auto"/>
        </w:rPr>
        <w:t xml:space="preserve"> </w:t>
      </w:r>
      <w:hyperlink r:id="rId560">
        <w:r>
          <w:rPr>
            <w:rFonts w:ascii="Arial" w:cs="Arial" w:eastAsia="Arial" w:hAnsi="Arial"/>
            <w:sz w:val="15"/>
            <w:szCs w:val="15"/>
            <w:color w:val="auto"/>
          </w:rPr>
          <w:t>reference to Exhibit 10.11 to SLB’s Quarterly Report on Form 10-Q for the quarter ended June 30, 2013)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5157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62515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460946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4609465" cy="8255"/>
                    </a:xfrm>
                    <a:prstGeom prst="rect">
                      <a:avLst/>
                    </a:prstGeom>
                    <a:noFill/>
                  </pic:spPr>
                </pic:pic>
              </a:graphicData>
            </a:graphic>
          </wp:anchor>
        </w:drawing>
      </w:r>
    </w:p>
    <w:p>
      <w:pPr>
        <w:spacing w:after="0" w:line="103" w:lineRule="exact"/>
        <w:rPr>
          <w:sz w:val="20"/>
          <w:szCs w:val="20"/>
          <w:color w:val="auto"/>
        </w:rPr>
      </w:pPr>
    </w:p>
    <w:p>
      <w:pPr>
        <w:jc w:val="both"/>
        <w:spacing w:after="0" w:line="285" w:lineRule="auto"/>
        <w:rPr>
          <w:rFonts w:ascii="Arial" w:cs="Arial" w:eastAsia="Arial" w:hAnsi="Arial"/>
          <w:sz w:val="15"/>
          <w:szCs w:val="15"/>
          <w:color w:val="auto"/>
        </w:rPr>
      </w:pPr>
      <w:hyperlink r:id="rId563">
        <w:r>
          <w:rPr>
            <w:rFonts w:ascii="Arial" w:cs="Arial" w:eastAsia="Arial" w:hAnsi="Arial"/>
            <w:sz w:val="15"/>
            <w:szCs w:val="15"/>
            <w:color w:val="auto"/>
          </w:rPr>
          <w:t>2018 Rules of SLB’s 2010, 2013 and 2017 Omnibus Incentive Plans for Employees in France (incorporated by reference to Appendix B to SLB’s</w:t>
        </w:r>
      </w:hyperlink>
      <w:r>
        <w:rPr>
          <w:rFonts w:ascii="Arial" w:cs="Arial" w:eastAsia="Arial" w:hAnsi="Arial"/>
          <w:sz w:val="15"/>
          <w:szCs w:val="15"/>
          <w:color w:val="auto"/>
        </w:rPr>
        <w:t xml:space="preserve"> </w:t>
      </w:r>
      <w:hyperlink r:id="rId563">
        <w:r>
          <w:rPr>
            <w:rFonts w:ascii="Arial" w:cs="Arial" w:eastAsia="Arial" w:hAnsi="Arial"/>
            <w:sz w:val="15"/>
            <w:szCs w:val="15"/>
            <w:color w:val="auto"/>
          </w:rPr>
          <w:t>Definitive Proxy Statement on Schedule 14A filed with the SEC on March 2,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471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4">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36525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5">
                      <a:extLst>
                        <a:ext uri="{28A0092B-C50C-407E-A947-70E740481C1C}"/>
                      </a:extLst>
                    </a:blip>
                    <a:srcRect/>
                    <a:stretch>
                      <a:fillRect/>
                    </a:stretch>
                  </pic:blipFill>
                  <pic:spPr bwMode="auto">
                    <a:xfrm>
                      <a:off x="0" y="0"/>
                      <a:ext cx="3652520" cy="8255"/>
                    </a:xfrm>
                    <a:prstGeom prst="rect">
                      <a:avLst/>
                    </a:prstGeom>
                    <a:noFill/>
                  </pic:spPr>
                </pic:pic>
              </a:graphicData>
            </a:graphic>
          </wp:anchor>
        </w:drawing>
      </w:r>
    </w:p>
    <w:p>
      <w:pPr>
        <w:spacing w:after="0" w:line="103" w:lineRule="exact"/>
        <w:rPr>
          <w:sz w:val="20"/>
          <w:szCs w:val="20"/>
          <w:color w:val="auto"/>
        </w:rPr>
      </w:pPr>
    </w:p>
    <w:p>
      <w:pPr>
        <w:jc w:val="both"/>
        <w:spacing w:after="0" w:line="285" w:lineRule="auto"/>
        <w:rPr>
          <w:rFonts w:ascii="Arial" w:cs="Arial" w:eastAsia="Arial" w:hAnsi="Arial"/>
          <w:sz w:val="15"/>
          <w:szCs w:val="15"/>
          <w:color w:val="auto"/>
        </w:rPr>
      </w:pPr>
      <w:hyperlink r:id="rId566">
        <w:r>
          <w:rPr>
            <w:rFonts w:ascii="Arial" w:cs="Arial" w:eastAsia="Arial" w:hAnsi="Arial"/>
            <w:sz w:val="15"/>
            <w:szCs w:val="15"/>
            <w:color w:val="auto"/>
          </w:rPr>
          <w:t>2013 Omnibus Stock Incentive Plan, as amended and restated as of July 19, 2017 (incorporated by reference to Exhibit 10.15 to SLB’s Annual</w:t>
        </w:r>
      </w:hyperlink>
      <w:r>
        <w:rPr>
          <w:rFonts w:ascii="Arial" w:cs="Arial" w:eastAsia="Arial" w:hAnsi="Arial"/>
          <w:sz w:val="15"/>
          <w:szCs w:val="15"/>
          <w:color w:val="auto"/>
        </w:rPr>
        <w:t xml:space="preserve"> </w:t>
      </w:r>
      <w:hyperlink r:id="rId566">
        <w:r>
          <w:rPr>
            <w:rFonts w:ascii="Arial" w:cs="Arial" w:eastAsia="Arial" w:hAnsi="Arial"/>
            <w:sz w:val="15"/>
            <w:szCs w:val="15"/>
            <w:color w:val="auto"/>
          </w:rPr>
          <w:t>Report on Form 10-K for the year ended December 31,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5221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7">
                      <a:extLst>
                        <a:ext uri="{28A0092B-C50C-407E-A947-70E740481C1C}"/>
                      </a:extLst>
                    </a:blip>
                    <a:srcRect/>
                    <a:stretch>
                      <a:fillRect/>
                    </a:stretch>
                  </pic:blipFill>
                  <pic:spPr bwMode="auto">
                    <a:xfrm>
                      <a:off x="0" y="0"/>
                      <a:ext cx="6252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27762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8">
                      <a:extLst>
                        <a:ext uri="{28A0092B-C50C-407E-A947-70E740481C1C}"/>
                      </a:extLst>
                    </a:blip>
                    <a:srcRect/>
                    <a:stretch>
                      <a:fillRect/>
                    </a:stretch>
                  </pic:blipFill>
                  <pic:spPr bwMode="auto">
                    <a:xfrm>
                      <a:off x="0" y="0"/>
                      <a:ext cx="2776220" cy="8255"/>
                    </a:xfrm>
                    <a:prstGeom prst="rect">
                      <a:avLst/>
                    </a:prstGeom>
                    <a:noFill/>
                  </pic:spPr>
                </pic:pic>
              </a:graphicData>
            </a:graphic>
          </wp:anchor>
        </w:drawing>
      </w:r>
    </w:p>
    <w:p>
      <w:pPr>
        <w:spacing w:after="0" w:line="103" w:lineRule="exact"/>
        <w:rPr>
          <w:sz w:val="20"/>
          <w:szCs w:val="20"/>
          <w:color w:val="auto"/>
        </w:rPr>
      </w:pPr>
    </w:p>
    <w:p>
      <w:pPr>
        <w:jc w:val="both"/>
        <w:spacing w:after="0" w:line="285" w:lineRule="auto"/>
        <w:rPr>
          <w:rFonts w:ascii="Arial" w:cs="Arial" w:eastAsia="Arial" w:hAnsi="Arial"/>
          <w:sz w:val="15"/>
          <w:szCs w:val="15"/>
          <w:color w:val="auto"/>
        </w:rPr>
      </w:pPr>
      <w:hyperlink r:id="rId569">
        <w:r>
          <w:rPr>
            <w:rFonts w:ascii="Arial" w:cs="Arial" w:eastAsia="Arial" w:hAnsi="Arial"/>
            <w:sz w:val="15"/>
            <w:szCs w:val="15"/>
            <w:color w:val="auto"/>
          </w:rPr>
          <w:t>Form of Option Agreement, Incentive Stock Option, under SLB’s 2013 Omnibus Stock Incentive Plan (incorporated by reference to Exhibit 10.1 to</w:t>
        </w:r>
      </w:hyperlink>
      <w:r>
        <w:rPr>
          <w:rFonts w:ascii="Arial" w:cs="Arial" w:eastAsia="Arial" w:hAnsi="Arial"/>
          <w:sz w:val="15"/>
          <w:szCs w:val="15"/>
          <w:color w:val="auto"/>
        </w:rPr>
        <w:t xml:space="preserve"> </w:t>
      </w:r>
      <w:hyperlink r:id="rId569">
        <w:r>
          <w:rPr>
            <w:rFonts w:ascii="Arial" w:cs="Arial" w:eastAsia="Arial" w:hAnsi="Arial"/>
            <w:sz w:val="15"/>
            <w:szCs w:val="15"/>
            <w:color w:val="auto"/>
          </w:rPr>
          <w:t>the SLB’s Quarterly Report on Form 10-Q for the quarter ended June 30, 2015)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4649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62464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353441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3534410" cy="8255"/>
                    </a:xfrm>
                    <a:prstGeom prst="rect">
                      <a:avLst/>
                    </a:prstGeom>
                    <a:noFill/>
                  </pic:spPr>
                </pic:pic>
              </a:graphicData>
            </a:graphic>
          </wp:anchor>
        </w:drawing>
      </w:r>
    </w:p>
    <w:p>
      <w:pPr>
        <w:spacing w:after="0" w:line="103" w:lineRule="exact"/>
        <w:rPr>
          <w:sz w:val="20"/>
          <w:szCs w:val="20"/>
          <w:color w:val="auto"/>
        </w:rPr>
      </w:pPr>
    </w:p>
    <w:p>
      <w:pPr>
        <w:jc w:val="both"/>
        <w:spacing w:after="0" w:line="285" w:lineRule="auto"/>
        <w:rPr>
          <w:rFonts w:ascii="Arial" w:cs="Arial" w:eastAsia="Arial" w:hAnsi="Arial"/>
          <w:sz w:val="15"/>
          <w:szCs w:val="15"/>
          <w:color w:val="auto"/>
        </w:rPr>
      </w:pPr>
      <w:hyperlink r:id="rId572">
        <w:r>
          <w:rPr>
            <w:rFonts w:ascii="Arial" w:cs="Arial" w:eastAsia="Arial" w:hAnsi="Arial"/>
            <w:sz w:val="15"/>
            <w:szCs w:val="15"/>
            <w:color w:val="auto"/>
          </w:rPr>
          <w:t>Form of Restricted Stock Unit Award Agreement under SLB’s 2013 Omnibus Stock Incentive Plan (ratable vesting) (incorporated by reference to</w:t>
        </w:r>
      </w:hyperlink>
      <w:r>
        <w:rPr>
          <w:rFonts w:ascii="Arial" w:cs="Arial" w:eastAsia="Arial" w:hAnsi="Arial"/>
          <w:sz w:val="15"/>
          <w:szCs w:val="15"/>
          <w:color w:val="auto"/>
        </w:rPr>
        <w:t xml:space="preserve"> </w:t>
      </w:r>
      <w:hyperlink r:id="rId572">
        <w:r>
          <w:rPr>
            <w:rFonts w:ascii="Arial" w:cs="Arial" w:eastAsia="Arial" w:hAnsi="Arial"/>
            <w:sz w:val="15"/>
            <w:szCs w:val="15"/>
            <w:color w:val="auto"/>
          </w:rPr>
          <w:t>Exhibit 10.15 to SLB’s Annual Report on Form 10-K filed on January 27,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458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3">
                      <a:extLst>
                        <a:ext uri="{28A0092B-C50C-407E-A947-70E740481C1C}"/>
                      </a:extLst>
                    </a:blip>
                    <a:srcRect/>
                    <a:stretch>
                      <a:fillRect/>
                    </a:stretch>
                  </pic:blipFill>
                  <pic:spPr bwMode="auto">
                    <a:xfrm>
                      <a:off x="0" y="0"/>
                      <a:ext cx="62458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35026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4">
                      <a:extLst>
                        <a:ext uri="{28A0092B-C50C-407E-A947-70E740481C1C}"/>
                      </a:extLst>
                    </a:blip>
                    <a:srcRect/>
                    <a:stretch>
                      <a:fillRect/>
                    </a:stretch>
                  </pic:blipFill>
                  <pic:spPr bwMode="auto">
                    <a:xfrm>
                      <a:off x="0" y="0"/>
                      <a:ext cx="350266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Form of Restricted Stock Unit Award Agreement under SLB’s 2017 Omnibus Stock Incentive Plan (cliff vesting)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02285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5">
                      <a:extLst>
                        <a:ext uri="{28A0092B-C50C-407E-A947-70E740481C1C}"/>
                      </a:extLst>
                    </a:blip>
                    <a:srcRect/>
                    <a:stretch>
                      <a:fillRect/>
                    </a:stretch>
                  </pic:blipFill>
                  <pic:spPr bwMode="auto">
                    <a:xfrm>
                      <a:off x="0" y="0"/>
                      <a:ext cx="502285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Form of Restricted Stock Unit Award Agreement under SLB’s 2017 Omnibus Stock Incentive Plan (ratable vesting)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17334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6">
                      <a:extLst>
                        <a:ext uri="{28A0092B-C50C-407E-A947-70E740481C1C}"/>
                      </a:extLst>
                    </a:blip>
                    <a:srcRect/>
                    <a:stretch>
                      <a:fillRect/>
                    </a:stretch>
                  </pic:blipFill>
                  <pic:spPr bwMode="auto">
                    <a:xfrm>
                      <a:off x="0" y="0"/>
                      <a:ext cx="5173345" cy="8255"/>
                    </a:xfrm>
                    <a:prstGeom prst="rect">
                      <a:avLst/>
                    </a:prstGeom>
                    <a:noFill/>
                  </pic:spPr>
                </pic:pic>
              </a:graphicData>
            </a:graphic>
          </wp:anchor>
        </w:drawing>
      </w:r>
    </w:p>
    <w:p>
      <w:pPr>
        <w:spacing w:after="0" w:line="163" w:lineRule="exact"/>
        <w:rPr>
          <w:sz w:val="20"/>
          <w:szCs w:val="20"/>
          <w:color w:val="auto"/>
        </w:rPr>
      </w:pPr>
    </w:p>
    <w:p>
      <w:pPr>
        <w:spacing w:after="0"/>
        <w:rPr>
          <w:rFonts w:ascii="Arial" w:cs="Arial" w:eastAsia="Arial" w:hAnsi="Arial"/>
          <w:sz w:val="15"/>
          <w:szCs w:val="15"/>
          <w:color w:val="auto"/>
        </w:rPr>
      </w:pPr>
      <w:hyperlink r:id="rId577">
        <w:r>
          <w:rPr>
            <w:rFonts w:ascii="Arial" w:cs="Arial" w:eastAsia="Arial" w:hAnsi="Arial"/>
            <w:sz w:val="15"/>
            <w:szCs w:val="15"/>
            <w:color w:val="auto"/>
          </w:rPr>
          <w:t>Addendum to Restricted Stock Unit Award Agreements, Performance Share Unit Agreements, Incentive Stock Option Agreements, and Non-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62490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8">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rPr>
          <w:rFonts w:ascii="Arial" w:cs="Arial" w:eastAsia="Arial" w:hAnsi="Arial"/>
          <w:sz w:val="15"/>
          <w:szCs w:val="15"/>
          <w:color w:val="auto"/>
        </w:rPr>
      </w:pPr>
      <w:hyperlink r:id="rId577">
        <w:r>
          <w:rPr>
            <w:rFonts w:ascii="Arial" w:cs="Arial" w:eastAsia="Arial" w:hAnsi="Arial"/>
            <w:sz w:val="15"/>
            <w:szCs w:val="15"/>
            <w:color w:val="auto"/>
          </w:rPr>
          <w:t>Qualified Stock Option Agreements Issued Prior to July 19, 2017 (incorporated by reference to Exhibit 10.27 to SLB’s Annual Report on Form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625157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9">
                      <a:extLst>
                        <a:ext uri="{28A0092B-C50C-407E-A947-70E740481C1C}"/>
                      </a:extLst>
                    </a:blip>
                    <a:srcRect/>
                    <a:stretch>
                      <a:fillRect/>
                    </a:stretch>
                  </pic:blipFill>
                  <pic:spPr bwMode="auto">
                    <a:xfrm>
                      <a:off x="0" y="0"/>
                      <a:ext cx="6251575" cy="8255"/>
                    </a:xfrm>
                    <a:prstGeom prst="rect">
                      <a:avLst/>
                    </a:prstGeom>
                    <a:noFill/>
                  </pic:spPr>
                </pic:pic>
              </a:graphicData>
            </a:graphic>
          </wp:anchor>
        </w:drawing>
      </w:r>
    </w:p>
    <w:p>
      <w:pPr>
        <w:spacing w:after="0"/>
        <w:rPr>
          <w:rFonts w:ascii="Arial" w:cs="Arial" w:eastAsia="Arial" w:hAnsi="Arial"/>
          <w:sz w:val="15"/>
          <w:szCs w:val="15"/>
          <w:color w:val="auto"/>
        </w:rPr>
      </w:pPr>
      <w:hyperlink r:id="rId577">
        <w:r>
          <w:rPr>
            <w:rFonts w:ascii="Arial" w:cs="Arial" w:eastAsia="Arial" w:hAnsi="Arial"/>
            <w:sz w:val="15"/>
            <w:szCs w:val="15"/>
            <w:color w:val="auto"/>
          </w:rPr>
          <w:t>K for the year ended December 31,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93230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0">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149" w:lineRule="exact"/>
        <w:rPr>
          <w:sz w:val="20"/>
          <w:szCs w:val="20"/>
          <w:color w:val="auto"/>
        </w:rPr>
      </w:pPr>
    </w:p>
    <w:p>
      <w:pPr>
        <w:jc w:val="both"/>
        <w:spacing w:after="0" w:line="285" w:lineRule="auto"/>
        <w:rPr>
          <w:rFonts w:ascii="Arial" w:cs="Arial" w:eastAsia="Arial" w:hAnsi="Arial"/>
          <w:sz w:val="15"/>
          <w:szCs w:val="15"/>
          <w:color w:val="auto"/>
        </w:rPr>
      </w:pPr>
      <w:hyperlink r:id="rId581">
        <w:r>
          <w:rPr>
            <w:rFonts w:ascii="Arial" w:cs="Arial" w:eastAsia="Arial" w:hAnsi="Arial"/>
            <w:sz w:val="15"/>
            <w:szCs w:val="15"/>
            <w:color w:val="auto"/>
          </w:rPr>
          <w:t>Form of Performance Share Unit Award Agreement (Based on Free Cash Flow Margin Performance) under SLB’s 2017 Omnibus Stock Incentive</w:t>
        </w:r>
      </w:hyperlink>
      <w:r>
        <w:rPr>
          <w:rFonts w:ascii="Arial" w:cs="Arial" w:eastAsia="Arial" w:hAnsi="Arial"/>
          <w:sz w:val="15"/>
          <w:szCs w:val="15"/>
          <w:color w:val="auto"/>
        </w:rPr>
        <w:t xml:space="preserve"> </w:t>
      </w:r>
      <w:hyperlink r:id="rId581">
        <w:r>
          <w:rPr>
            <w:rFonts w:ascii="Arial" w:cs="Arial" w:eastAsia="Arial" w:hAnsi="Arial"/>
            <w:sz w:val="15"/>
            <w:szCs w:val="15"/>
            <w:color w:val="auto"/>
          </w:rPr>
          <w:t>Plan (incorporated by reference to Exhibit 10.3 to SLB’s Quarterly Report on Form 10-Q for the quarter ended March 31,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515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2">
                      <a:extLst>
                        <a:ext uri="{28A0092B-C50C-407E-A947-70E740481C1C}"/>
                      </a:extLst>
                    </a:blip>
                    <a:srcRect/>
                    <a:stretch>
                      <a:fillRect/>
                    </a:stretch>
                  </pic:blipFill>
                  <pic:spPr bwMode="auto">
                    <a:xfrm>
                      <a:off x="0" y="0"/>
                      <a:ext cx="62515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556133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3">
                      <a:extLst>
                        <a:ext uri="{28A0092B-C50C-407E-A947-70E740481C1C}"/>
                      </a:extLst>
                    </a:blip>
                    <a:srcRect/>
                    <a:stretch>
                      <a:fillRect/>
                    </a:stretch>
                  </pic:blipFill>
                  <pic:spPr bwMode="auto">
                    <a:xfrm>
                      <a:off x="0" y="0"/>
                      <a:ext cx="5561330" cy="8255"/>
                    </a:xfrm>
                    <a:prstGeom prst="rect">
                      <a:avLst/>
                    </a:prstGeom>
                    <a:noFill/>
                  </pic:spPr>
                </pic:pic>
              </a:graphicData>
            </a:graphic>
          </wp:anchor>
        </w:drawing>
      </w:r>
    </w:p>
    <w:p>
      <w:pPr>
        <w:spacing w:after="0" w:line="103" w:lineRule="exact"/>
        <w:rPr>
          <w:sz w:val="20"/>
          <w:szCs w:val="20"/>
          <w:color w:val="auto"/>
        </w:rPr>
      </w:pPr>
    </w:p>
    <w:p>
      <w:pPr>
        <w:jc w:val="both"/>
        <w:spacing w:after="0" w:line="285" w:lineRule="auto"/>
        <w:rPr>
          <w:rFonts w:ascii="Arial" w:cs="Arial" w:eastAsia="Arial" w:hAnsi="Arial"/>
          <w:sz w:val="15"/>
          <w:szCs w:val="15"/>
          <w:color w:val="auto"/>
        </w:rPr>
      </w:pPr>
      <w:hyperlink r:id="rId584">
        <w:r>
          <w:rPr>
            <w:rFonts w:ascii="Arial" w:cs="Arial" w:eastAsia="Arial" w:hAnsi="Arial"/>
            <w:sz w:val="15"/>
            <w:szCs w:val="15"/>
            <w:color w:val="auto"/>
          </w:rPr>
          <w:t>Form of Performance Share Unit Award Agreement (Based on Relative Return on Capital Employed Performance) under SLB’s 2017 Omnibus</w:t>
        </w:r>
      </w:hyperlink>
      <w:r>
        <w:rPr>
          <w:rFonts w:ascii="Arial" w:cs="Arial" w:eastAsia="Arial" w:hAnsi="Arial"/>
          <w:sz w:val="15"/>
          <w:szCs w:val="15"/>
          <w:color w:val="auto"/>
        </w:rPr>
        <w:t xml:space="preserve"> </w:t>
      </w:r>
      <w:hyperlink r:id="rId584">
        <w:r>
          <w:rPr>
            <w:rFonts w:ascii="Arial" w:cs="Arial" w:eastAsia="Arial" w:hAnsi="Arial"/>
            <w:sz w:val="15"/>
            <w:szCs w:val="15"/>
            <w:color w:val="auto"/>
          </w:rPr>
          <w:t>Stock Incentive Plan (incorporated by reference to Exhibit 10.4 to SLB’s Quarterly Report on Form 10-Q for the quarter ended March 31,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4649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5">
                      <a:extLst>
                        <a:ext uri="{28A0092B-C50C-407E-A947-70E740481C1C}"/>
                      </a:extLst>
                    </a:blip>
                    <a:srcRect/>
                    <a:stretch>
                      <a:fillRect/>
                    </a:stretch>
                  </pic:blipFill>
                  <pic:spPr bwMode="auto">
                    <a:xfrm>
                      <a:off x="0" y="0"/>
                      <a:ext cx="62464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62439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6">
                      <a:extLst>
                        <a:ext uri="{28A0092B-C50C-407E-A947-70E740481C1C}"/>
                      </a:extLst>
                    </a:blip>
                    <a:srcRect/>
                    <a:stretch>
                      <a:fillRect/>
                    </a:stretch>
                  </pic:blipFill>
                  <pic:spPr bwMode="auto">
                    <a:xfrm>
                      <a:off x="0" y="0"/>
                      <a:ext cx="6243955" cy="8255"/>
                    </a:xfrm>
                    <a:prstGeom prst="rect">
                      <a:avLst/>
                    </a:prstGeom>
                    <a:noFill/>
                  </pic:spPr>
                </pic:pic>
              </a:graphicData>
            </a:graphic>
          </wp:anchor>
        </w:drawing>
      </w:r>
    </w:p>
    <w:p>
      <w:pPr>
        <w:spacing w:after="0" w:line="103" w:lineRule="exact"/>
        <w:rPr>
          <w:sz w:val="20"/>
          <w:szCs w:val="20"/>
          <w:color w:val="auto"/>
        </w:rPr>
      </w:pPr>
    </w:p>
    <w:p>
      <w:pPr>
        <w:jc w:val="both"/>
        <w:spacing w:after="0" w:line="285" w:lineRule="auto"/>
        <w:rPr>
          <w:rFonts w:ascii="Arial" w:cs="Arial" w:eastAsia="Arial" w:hAnsi="Arial"/>
          <w:sz w:val="15"/>
          <w:szCs w:val="15"/>
          <w:color w:val="auto"/>
        </w:rPr>
      </w:pPr>
      <w:hyperlink r:id="rId587">
        <w:r>
          <w:rPr>
            <w:rFonts w:ascii="Arial" w:cs="Arial" w:eastAsia="Arial" w:hAnsi="Arial"/>
            <w:sz w:val="15"/>
            <w:szCs w:val="15"/>
            <w:color w:val="auto"/>
          </w:rPr>
          <w:t>Form of Performance Share Unit Award Agreement (Based on Relative TSR Performance) under SLB’s 2017 Omnibus Stock Incentive Plan</w:t>
        </w:r>
      </w:hyperlink>
      <w:r>
        <w:rPr>
          <w:rFonts w:ascii="Arial" w:cs="Arial" w:eastAsia="Arial" w:hAnsi="Arial"/>
          <w:sz w:val="15"/>
          <w:szCs w:val="15"/>
          <w:color w:val="auto"/>
        </w:rPr>
        <w:t xml:space="preserve"> </w:t>
      </w:r>
      <w:hyperlink r:id="rId587">
        <w:r>
          <w:rPr>
            <w:rFonts w:ascii="Arial" w:cs="Arial" w:eastAsia="Arial" w:hAnsi="Arial"/>
            <w:sz w:val="15"/>
            <w:szCs w:val="15"/>
            <w:color w:val="auto"/>
          </w:rPr>
          <w:t>(incorporated by reference to Exhibit 10.5 to SLB’s Quarterly Report on Form 10-Q for the quarter ended March 31,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5411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8">
                      <a:extLst>
                        <a:ext uri="{28A0092B-C50C-407E-A947-70E740481C1C}"/>
                      </a:extLst>
                    </a:blip>
                    <a:srcRect/>
                    <a:stretch>
                      <a:fillRect/>
                    </a:stretch>
                  </pic:blipFill>
                  <pic:spPr bwMode="auto">
                    <a:xfrm>
                      <a:off x="0" y="0"/>
                      <a:ext cx="62541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534035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9">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103" w:lineRule="exact"/>
        <w:rPr>
          <w:sz w:val="20"/>
          <w:szCs w:val="20"/>
          <w:color w:val="auto"/>
        </w:rPr>
      </w:pPr>
    </w:p>
    <w:p>
      <w:pPr>
        <w:jc w:val="both"/>
        <w:spacing w:after="0" w:line="285" w:lineRule="auto"/>
        <w:rPr>
          <w:rFonts w:ascii="Arial" w:cs="Arial" w:eastAsia="Arial" w:hAnsi="Arial"/>
          <w:sz w:val="15"/>
          <w:szCs w:val="15"/>
          <w:color w:val="auto"/>
        </w:rPr>
      </w:pPr>
      <w:hyperlink r:id="rId590">
        <w:r>
          <w:rPr>
            <w:rFonts w:ascii="Arial" w:cs="Arial" w:eastAsia="Arial" w:hAnsi="Arial"/>
            <w:sz w:val="15"/>
            <w:szCs w:val="15"/>
            <w:color w:val="auto"/>
          </w:rPr>
          <w:t>2017 Omnibus Stock Incentive Plan, as amended and restated effective January 21, 2021 (incorporated by reference to Exhibit 10.1 to SLB’s</w:t>
        </w:r>
      </w:hyperlink>
      <w:r>
        <w:rPr>
          <w:rFonts w:ascii="Arial" w:cs="Arial" w:eastAsia="Arial" w:hAnsi="Arial"/>
          <w:sz w:val="15"/>
          <w:szCs w:val="15"/>
          <w:color w:val="auto"/>
        </w:rPr>
        <w:t xml:space="preserve"> </w:t>
      </w:r>
      <w:hyperlink r:id="rId590">
        <w:r>
          <w:rPr>
            <w:rFonts w:ascii="Arial" w:cs="Arial" w:eastAsia="Arial" w:hAnsi="Arial"/>
            <w:sz w:val="15"/>
            <w:szCs w:val="15"/>
            <w:color w:val="auto"/>
          </w:rPr>
          <w:t>Current Report on Form 8-K filed on April 7, 2021)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2496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1">
                      <a:extLst>
                        <a:ext uri="{28A0092B-C50C-407E-A947-70E740481C1C}"/>
                      </a:extLst>
                    </a:blip>
                    <a:srcRect/>
                    <a:stretch>
                      <a:fillRect/>
                    </a:stretch>
                  </pic:blipFill>
                  <pic:spPr bwMode="auto">
                    <a:xfrm>
                      <a:off x="0" y="0"/>
                      <a:ext cx="6249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229235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2">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30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449580</wp:posOffset>
            </wp:positionV>
            <wp:extent cx="7165975" cy="412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Exhibit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10.3</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10.4</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10.5</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10.6</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10.7</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10.8</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10.9</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10.10</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10.11</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10.12</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10.13</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10.14</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10.15</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10.16</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10.17</w:t>
      </w:r>
    </w:p>
    <w:p>
      <w:pPr>
        <w:sectPr>
          <w:pgSz w:w="11900" w:h="16838" w:orient="portrait"/>
          <w:cols w:equalWidth="0" w:num="2">
            <w:col w:w="9840" w:space="460"/>
            <w:col w:w="820"/>
          </w:cols>
          <w:pgMar w:left="380" w:top="940" w:right="3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Arial" w:cs="Arial" w:eastAsia="Arial" w:hAnsi="Arial"/>
                <w:sz w:val="15"/>
                <w:szCs w:val="15"/>
                <w:b w:val="1"/>
                <w:bCs w:val="1"/>
                <w:color w:val="auto"/>
              </w:rPr>
              <w:t>Exhibit</w:t>
            </w:r>
          </w:p>
        </w:tc>
      </w:tr>
      <w:tr>
        <w:trPr>
          <w:trHeight w:val="165"/>
        </w:trPr>
        <w:tc>
          <w:tcPr>
            <w:tcW w:w="9860" w:type="dxa"/>
            <w:vAlign w:val="bottom"/>
            <w:tcBorders>
              <w:bottom w:val="single" w:sz="8" w:color="0000EE"/>
            </w:tcBorders>
            <w:gridSpan w:val="17"/>
          </w:tcPr>
          <w:p>
            <w:pPr>
              <w:spacing w:after="0" w:line="164" w:lineRule="exact"/>
              <w:rPr>
                <w:rFonts w:ascii="Arial" w:cs="Arial" w:eastAsia="Arial" w:hAnsi="Arial"/>
                <w:sz w:val="15"/>
                <w:szCs w:val="15"/>
                <w:color w:val="auto"/>
              </w:rPr>
            </w:pPr>
            <w:hyperlink r:id="rId594">
              <w:r>
                <w:rPr>
                  <w:rFonts w:ascii="Arial" w:cs="Arial" w:eastAsia="Arial" w:hAnsi="Arial"/>
                  <w:sz w:val="15"/>
                  <w:szCs w:val="15"/>
                  <w:color w:val="auto"/>
                </w:rPr>
                <w:t>Discounted Stock Purchase Plan, as amended and restated effective January 16, 2025 (incorporated by reference to Appendix B to SLB’s</w:t>
              </w:r>
            </w:hyperlink>
          </w:p>
        </w:tc>
        <w:tc>
          <w:tcPr>
            <w:tcW w:w="220" w:type="dxa"/>
            <w:vAlign w:val="bottom"/>
          </w:tcPr>
          <w:p>
            <w:pPr>
              <w:spacing w:after="0"/>
              <w:rPr>
                <w:sz w:val="14"/>
                <w:szCs w:val="14"/>
                <w:color w:val="auto"/>
              </w:rPr>
            </w:pPr>
          </w:p>
        </w:tc>
        <w:tc>
          <w:tcPr>
            <w:tcW w:w="1040" w:type="dxa"/>
            <w:vAlign w:val="bottom"/>
          </w:tcPr>
          <w:p>
            <w:pPr>
              <w:jc w:val="right"/>
              <w:spacing w:after="0" w:line="164" w:lineRule="exact"/>
              <w:rPr>
                <w:sz w:val="20"/>
                <w:szCs w:val="20"/>
                <w:color w:val="auto"/>
              </w:rPr>
            </w:pPr>
            <w:r>
              <w:rPr>
                <w:rFonts w:ascii="Arial" w:cs="Arial" w:eastAsia="Arial" w:hAnsi="Arial"/>
                <w:sz w:val="15"/>
                <w:szCs w:val="15"/>
                <w:color w:val="auto"/>
              </w:rPr>
              <w:t>10.18</w:t>
            </w:r>
          </w:p>
        </w:tc>
      </w:tr>
      <w:tr>
        <w:trPr>
          <w:trHeight w:val="158"/>
        </w:trPr>
        <w:tc>
          <w:tcPr>
            <w:tcW w:w="5100" w:type="dxa"/>
            <w:vAlign w:val="bottom"/>
            <w:tcBorders>
              <w:bottom w:val="single" w:sz="8" w:color="0000EE"/>
            </w:tcBorders>
            <w:gridSpan w:val="11"/>
          </w:tcPr>
          <w:p>
            <w:pPr>
              <w:spacing w:after="0" w:line="158" w:lineRule="exact"/>
              <w:rPr>
                <w:rFonts w:ascii="Arial" w:cs="Arial" w:eastAsia="Arial" w:hAnsi="Arial"/>
                <w:sz w:val="15"/>
                <w:szCs w:val="15"/>
                <w:color w:val="auto"/>
              </w:rPr>
            </w:pPr>
            <w:hyperlink r:id="rId594">
              <w:r>
                <w:rPr>
                  <w:rFonts w:ascii="Arial" w:cs="Arial" w:eastAsia="Arial" w:hAnsi="Arial"/>
                  <w:sz w:val="15"/>
                  <w:szCs w:val="15"/>
                  <w:color w:val="auto"/>
                </w:rPr>
                <w:t>Definitive Proxy Statement on Schedule 14A filed on February 20, 2025) (+)</w:t>
              </w:r>
            </w:hyperlink>
          </w:p>
        </w:tc>
        <w:tc>
          <w:tcPr>
            <w:tcW w:w="4980" w:type="dxa"/>
            <w:vAlign w:val="bottom"/>
            <w:gridSpan w:val="7"/>
          </w:tcPr>
          <w:p>
            <w:pPr>
              <w:spacing w:after="0"/>
              <w:rPr>
                <w:sz w:val="13"/>
                <w:szCs w:val="13"/>
                <w:color w:val="auto"/>
              </w:rPr>
            </w:pPr>
          </w:p>
        </w:tc>
        <w:tc>
          <w:tcPr>
            <w:tcW w:w="1040" w:type="dxa"/>
            <w:vAlign w:val="bottom"/>
          </w:tcPr>
          <w:p>
            <w:pPr>
              <w:spacing w:after="0"/>
              <w:rPr>
                <w:sz w:val="13"/>
                <w:szCs w:val="13"/>
                <w:color w:val="auto"/>
              </w:rPr>
            </w:pPr>
          </w:p>
        </w:tc>
      </w:tr>
      <w:tr>
        <w:trPr>
          <w:trHeight w:val="335"/>
        </w:trPr>
        <w:tc>
          <w:tcPr>
            <w:tcW w:w="10080" w:type="dxa"/>
            <w:vAlign w:val="bottom"/>
            <w:gridSpan w:val="18"/>
          </w:tcPr>
          <w:p>
            <w:pPr>
              <w:spacing w:after="0"/>
              <w:rPr>
                <w:rFonts w:ascii="Arial" w:cs="Arial" w:eastAsia="Arial" w:hAnsi="Arial"/>
                <w:sz w:val="15"/>
                <w:szCs w:val="15"/>
                <w:color w:val="auto"/>
              </w:rPr>
            </w:pPr>
            <w:hyperlink r:id="rId595">
              <w:r>
                <w:rPr>
                  <w:rFonts w:ascii="Arial" w:cs="Arial" w:eastAsia="Arial" w:hAnsi="Arial"/>
                  <w:sz w:val="15"/>
                  <w:szCs w:val="15"/>
                  <w:color w:val="auto"/>
                </w:rPr>
                <w:t>2004 Stock and Deferral Plan for Non-Employee Directors, as amended and restated effective January 21, 2021 (incorporated by reference to</w:t>
              </w:r>
            </w:hyperlink>
          </w:p>
        </w:tc>
        <w:tc>
          <w:tcPr>
            <w:tcW w:w="1040" w:type="dxa"/>
            <w:vAlign w:val="bottom"/>
          </w:tcPr>
          <w:p>
            <w:pPr>
              <w:jc w:val="right"/>
              <w:spacing w:after="0"/>
              <w:rPr>
                <w:sz w:val="20"/>
                <w:szCs w:val="20"/>
                <w:color w:val="auto"/>
              </w:rPr>
            </w:pPr>
            <w:r>
              <w:rPr>
                <w:rFonts w:ascii="Arial" w:cs="Arial" w:eastAsia="Arial" w:hAnsi="Arial"/>
                <w:sz w:val="15"/>
                <w:szCs w:val="15"/>
                <w:color w:val="auto"/>
              </w:rPr>
              <w:t>10.19</w:t>
            </w:r>
          </w:p>
        </w:tc>
      </w:tr>
      <w:tr>
        <w:trPr>
          <w:trHeight w:val="158"/>
        </w:trPr>
        <w:tc>
          <w:tcPr>
            <w:tcW w:w="5060" w:type="dxa"/>
            <w:vAlign w:val="bottom"/>
            <w:tcBorders>
              <w:top w:val="single" w:sz="8" w:color="0000EE"/>
              <w:bottom w:val="single" w:sz="8" w:color="0000EE"/>
            </w:tcBorders>
            <w:gridSpan w:val="10"/>
          </w:tcPr>
          <w:p>
            <w:pPr>
              <w:spacing w:after="0" w:line="158" w:lineRule="exact"/>
              <w:rPr>
                <w:rFonts w:ascii="Arial" w:cs="Arial" w:eastAsia="Arial" w:hAnsi="Arial"/>
                <w:sz w:val="15"/>
                <w:szCs w:val="15"/>
                <w:color w:val="auto"/>
              </w:rPr>
            </w:pPr>
            <w:hyperlink r:id="rId595">
              <w:r>
                <w:rPr>
                  <w:rFonts w:ascii="Arial" w:cs="Arial" w:eastAsia="Arial" w:hAnsi="Arial"/>
                  <w:sz w:val="15"/>
                  <w:szCs w:val="15"/>
                  <w:color w:val="auto"/>
                </w:rPr>
                <w:t>Exhibit 10.3 to SLB’s Current Report on Form 8-K filed on April 7, 2021) (+)</w:t>
              </w:r>
            </w:hyperlink>
          </w:p>
        </w:tc>
        <w:tc>
          <w:tcPr>
            <w:tcW w:w="4780" w:type="dxa"/>
            <w:vAlign w:val="bottom"/>
            <w:tcBorders>
              <w:top w:val="single" w:sz="8" w:color="0000EE"/>
            </w:tcBorders>
            <w:gridSpan w:val="6"/>
          </w:tcPr>
          <w:p>
            <w:pPr>
              <w:spacing w:after="0"/>
              <w:rPr>
                <w:sz w:val="13"/>
                <w:szCs w:val="13"/>
                <w:color w:val="auto"/>
              </w:rPr>
            </w:pPr>
          </w:p>
        </w:tc>
        <w:tc>
          <w:tcPr>
            <w:tcW w:w="2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r>
      <w:tr>
        <w:trPr>
          <w:trHeight w:val="335"/>
        </w:trPr>
        <w:tc>
          <w:tcPr>
            <w:tcW w:w="9840" w:type="dxa"/>
            <w:vAlign w:val="bottom"/>
            <w:tcBorders>
              <w:bottom w:val="single" w:sz="8" w:color="0000EE"/>
            </w:tcBorders>
            <w:gridSpan w:val="16"/>
          </w:tcPr>
          <w:p>
            <w:pPr>
              <w:spacing w:after="0"/>
              <w:rPr>
                <w:rFonts w:ascii="Arial" w:cs="Arial" w:eastAsia="Arial" w:hAnsi="Arial"/>
                <w:sz w:val="15"/>
                <w:szCs w:val="15"/>
                <w:color w:val="auto"/>
              </w:rPr>
            </w:pPr>
            <w:hyperlink r:id="rId596">
              <w:r>
                <w:rPr>
                  <w:rFonts w:ascii="Arial" w:cs="Arial" w:eastAsia="Arial" w:hAnsi="Arial"/>
                  <w:sz w:val="15"/>
                  <w:szCs w:val="15"/>
                  <w:color w:val="auto"/>
                </w:rPr>
                <w:t>Form of Indemnification Agreement (incorporated by reference to Exhibit 10.19 to SLB’s Annual Report on Form 10-K for the year ended</w:t>
              </w:r>
            </w:hyperlink>
          </w:p>
        </w:tc>
        <w:tc>
          <w:tcPr>
            <w:tcW w:w="24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10.20</w:t>
            </w:r>
          </w:p>
        </w:tc>
      </w:tr>
      <w:tr>
        <w:trPr>
          <w:trHeight w:val="158"/>
        </w:trPr>
        <w:tc>
          <w:tcPr>
            <w:tcW w:w="1620" w:type="dxa"/>
            <w:vAlign w:val="bottom"/>
            <w:tcBorders>
              <w:bottom w:val="single" w:sz="8" w:color="0000EE"/>
            </w:tcBorders>
            <w:gridSpan w:val="4"/>
          </w:tcPr>
          <w:p>
            <w:pPr>
              <w:spacing w:after="0" w:line="158" w:lineRule="exact"/>
              <w:rPr>
                <w:rFonts w:ascii="Arial" w:cs="Arial" w:eastAsia="Arial" w:hAnsi="Arial"/>
                <w:sz w:val="15"/>
                <w:szCs w:val="15"/>
                <w:color w:val="auto"/>
              </w:rPr>
            </w:pPr>
            <w:hyperlink r:id="rId596">
              <w:r>
                <w:rPr>
                  <w:rFonts w:ascii="Arial" w:cs="Arial" w:eastAsia="Arial" w:hAnsi="Arial"/>
                  <w:sz w:val="15"/>
                  <w:szCs w:val="15"/>
                  <w:color w:val="auto"/>
                </w:rPr>
                <w:t>December 31, 2023) (+)</w:t>
              </w:r>
            </w:hyperlink>
          </w:p>
        </w:tc>
        <w:tc>
          <w:tcPr>
            <w:tcW w:w="8460" w:type="dxa"/>
            <w:vAlign w:val="bottom"/>
            <w:gridSpan w:val="14"/>
          </w:tcPr>
          <w:p>
            <w:pPr>
              <w:spacing w:after="0"/>
              <w:rPr>
                <w:sz w:val="13"/>
                <w:szCs w:val="13"/>
                <w:color w:val="auto"/>
              </w:rPr>
            </w:pPr>
          </w:p>
        </w:tc>
        <w:tc>
          <w:tcPr>
            <w:tcW w:w="1040" w:type="dxa"/>
            <w:vAlign w:val="bottom"/>
          </w:tcPr>
          <w:p>
            <w:pPr>
              <w:spacing w:after="0"/>
              <w:rPr>
                <w:sz w:val="13"/>
                <w:szCs w:val="13"/>
                <w:color w:val="auto"/>
              </w:rPr>
            </w:pPr>
          </w:p>
        </w:tc>
      </w:tr>
      <w:tr>
        <w:trPr>
          <w:trHeight w:val="361"/>
        </w:trPr>
        <w:tc>
          <w:tcPr>
            <w:tcW w:w="9840" w:type="dxa"/>
            <w:vAlign w:val="bottom"/>
            <w:tcBorders>
              <w:bottom w:val="single" w:sz="8" w:color="0000EE"/>
            </w:tcBorders>
            <w:gridSpan w:val="16"/>
          </w:tcPr>
          <w:p>
            <w:pPr>
              <w:spacing w:after="0"/>
              <w:rPr>
                <w:rFonts w:ascii="Arial" w:cs="Arial" w:eastAsia="Arial" w:hAnsi="Arial"/>
                <w:sz w:val="15"/>
                <w:szCs w:val="15"/>
                <w:color w:val="auto"/>
              </w:rPr>
            </w:pPr>
            <w:hyperlink r:id="rId597">
              <w:r>
                <w:rPr>
                  <w:rFonts w:ascii="Arial" w:cs="Arial" w:eastAsia="Arial" w:hAnsi="Arial"/>
                  <w:sz w:val="15"/>
                  <w:szCs w:val="15"/>
                  <w:color w:val="auto"/>
                </w:rPr>
                <w:t>Employment, Non-Competition and Non-Solicitation Agreement effective as of May 1, 2025, by and between SLB and Khaled Al Mogharbel</w:t>
              </w:r>
            </w:hyperlink>
          </w:p>
        </w:tc>
        <w:tc>
          <w:tcPr>
            <w:tcW w:w="24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10.21</w:t>
            </w:r>
          </w:p>
        </w:tc>
      </w:tr>
      <w:tr>
        <w:trPr>
          <w:trHeight w:val="158"/>
        </w:trPr>
        <w:tc>
          <w:tcPr>
            <w:tcW w:w="8320" w:type="dxa"/>
            <w:vAlign w:val="bottom"/>
            <w:tcBorders>
              <w:bottom w:val="single" w:sz="8" w:color="0000EE"/>
            </w:tcBorders>
            <w:gridSpan w:val="13"/>
          </w:tcPr>
          <w:p>
            <w:pPr>
              <w:spacing w:after="0" w:line="158" w:lineRule="exact"/>
              <w:rPr>
                <w:rFonts w:ascii="Arial" w:cs="Arial" w:eastAsia="Arial" w:hAnsi="Arial"/>
                <w:sz w:val="15"/>
                <w:szCs w:val="15"/>
                <w:color w:val="auto"/>
              </w:rPr>
            </w:pPr>
            <w:hyperlink r:id="rId597">
              <w:r>
                <w:rPr>
                  <w:rFonts w:ascii="Arial" w:cs="Arial" w:eastAsia="Arial" w:hAnsi="Arial"/>
                  <w:sz w:val="15"/>
                  <w:szCs w:val="15"/>
                  <w:color w:val="auto"/>
                </w:rPr>
                <w:t>(incorporated by reference to Exhibit 10.1 to SLB’s Quarterly Report on Form 10-Q for the quarter ended June 30, 2025) (+)</w:t>
              </w:r>
            </w:hyperlink>
          </w:p>
        </w:tc>
        <w:tc>
          <w:tcPr>
            <w:tcW w:w="1760" w:type="dxa"/>
            <w:vAlign w:val="bottom"/>
            <w:gridSpan w:val="5"/>
          </w:tcPr>
          <w:p>
            <w:pPr>
              <w:spacing w:after="0"/>
              <w:rPr>
                <w:sz w:val="13"/>
                <w:szCs w:val="13"/>
                <w:color w:val="auto"/>
              </w:rPr>
            </w:pPr>
          </w:p>
        </w:tc>
        <w:tc>
          <w:tcPr>
            <w:tcW w:w="1040" w:type="dxa"/>
            <w:vAlign w:val="bottom"/>
          </w:tcPr>
          <w:p>
            <w:pPr>
              <w:spacing w:after="0"/>
              <w:rPr>
                <w:sz w:val="13"/>
                <w:szCs w:val="13"/>
                <w:color w:val="auto"/>
              </w:rPr>
            </w:pPr>
          </w:p>
        </w:tc>
      </w:tr>
      <w:tr>
        <w:trPr>
          <w:trHeight w:val="335"/>
        </w:trPr>
        <w:tc>
          <w:tcPr>
            <w:tcW w:w="224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color w:val="auto"/>
              </w:rPr>
              <w:t>Securities Transactions Policy (*)</w:t>
            </w:r>
          </w:p>
        </w:tc>
        <w:tc>
          <w:tcPr>
            <w:tcW w:w="7840" w:type="dxa"/>
            <w:vAlign w:val="bottom"/>
            <w:gridSpan w:val="11"/>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335"/>
        </w:trPr>
        <w:tc>
          <w:tcPr>
            <w:tcW w:w="178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auto"/>
              </w:rPr>
              <w:t>Significant Subsidiaries (*)</w:t>
            </w:r>
          </w:p>
        </w:tc>
        <w:tc>
          <w:tcPr>
            <w:tcW w:w="8300" w:type="dxa"/>
            <w:vAlign w:val="bottom"/>
            <w:gridSpan w:val="1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335"/>
        </w:trPr>
        <w:tc>
          <w:tcPr>
            <w:tcW w:w="10080" w:type="dxa"/>
            <w:vAlign w:val="bottom"/>
            <w:gridSpan w:val="18"/>
          </w:tcPr>
          <w:p>
            <w:pPr>
              <w:spacing w:after="0"/>
              <w:rPr>
                <w:sz w:val="20"/>
                <w:szCs w:val="20"/>
                <w:color w:val="auto"/>
              </w:rPr>
            </w:pPr>
            <w:r>
              <w:rPr>
                <w:rFonts w:ascii="Arial" w:cs="Arial" w:eastAsia="Arial" w:hAnsi="Arial"/>
                <w:sz w:val="15"/>
                <w:szCs w:val="15"/>
                <w:color w:val="auto"/>
              </w:rPr>
              <w:t>Issuers of Registered Guaranteed Debt Securities (*)</w:t>
            </w:r>
          </w:p>
        </w:tc>
        <w:tc>
          <w:tcPr>
            <w:tcW w:w="10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5"/>
        </w:trPr>
        <w:tc>
          <w:tcPr>
            <w:tcW w:w="10080" w:type="dxa"/>
            <w:vAlign w:val="bottom"/>
            <w:gridSpan w:val="18"/>
          </w:tcPr>
          <w:p>
            <w:pPr>
              <w:spacing w:after="0"/>
              <w:rPr>
                <w:sz w:val="20"/>
                <w:szCs w:val="20"/>
                <w:color w:val="auto"/>
              </w:rPr>
            </w:pPr>
            <w:r>
              <w:rPr>
                <w:rFonts w:ascii="Arial" w:cs="Arial" w:eastAsia="Arial" w:hAnsi="Arial"/>
                <w:sz w:val="15"/>
                <w:szCs w:val="15"/>
                <w:color w:val="auto"/>
              </w:rPr>
              <w:t>Consent of Independent Registered Public Accounting Firm (*)</w:t>
            </w:r>
          </w:p>
        </w:tc>
        <w:tc>
          <w:tcPr>
            <w:tcW w:w="104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335"/>
        </w:trPr>
        <w:tc>
          <w:tcPr>
            <w:tcW w:w="4200" w:type="dxa"/>
            <w:vAlign w:val="bottom"/>
            <w:tcBorders>
              <w:top w:val="single" w:sz="8" w:color="0000EE"/>
            </w:tcBorders>
            <w:gridSpan w:val="9"/>
          </w:tcPr>
          <w:p>
            <w:pPr>
              <w:spacing w:after="0"/>
              <w:rPr>
                <w:sz w:val="20"/>
                <w:szCs w:val="20"/>
                <w:color w:val="auto"/>
              </w:rPr>
            </w:pPr>
            <w:r>
              <w:rPr>
                <w:rFonts w:ascii="Arial" w:cs="Arial" w:eastAsia="Arial" w:hAnsi="Arial"/>
                <w:sz w:val="15"/>
                <w:szCs w:val="15"/>
                <w:color w:val="auto"/>
              </w:rPr>
              <w:t>Powers of Attorney (*)</w:t>
            </w:r>
          </w:p>
        </w:tc>
        <w:tc>
          <w:tcPr>
            <w:tcW w:w="5880" w:type="dxa"/>
            <w:vAlign w:val="bottom"/>
            <w:gridSpan w:val="9"/>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5"/>
        </w:trPr>
        <w:tc>
          <w:tcPr>
            <w:tcW w:w="10080" w:type="dxa"/>
            <w:vAlign w:val="bottom"/>
            <w:gridSpan w:val="18"/>
          </w:tcPr>
          <w:p>
            <w:pPr>
              <w:spacing w:after="0"/>
              <w:rPr>
                <w:sz w:val="20"/>
                <w:szCs w:val="20"/>
                <w:color w:val="auto"/>
              </w:rPr>
            </w:pPr>
            <w:r>
              <w:rPr>
                <w:rFonts w:ascii="Arial" w:cs="Arial" w:eastAsia="Arial" w:hAnsi="Arial"/>
                <w:sz w:val="15"/>
                <w:szCs w:val="15"/>
                <w:color w:val="auto"/>
              </w:rPr>
              <w:t>Certification of Chief Executive Officer pursuant to Rule 13a-14(a) as adopted pursuant to Section 302 of the Sarbanes-Oxley Act of 2002 (*)</w:t>
            </w:r>
          </w:p>
        </w:tc>
        <w:tc>
          <w:tcPr>
            <w:tcW w:w="1040" w:type="dxa"/>
            <w:vAlign w:val="bottom"/>
          </w:tcPr>
          <w:p>
            <w:pPr>
              <w:jc w:val="right"/>
              <w:spacing w:after="0"/>
              <w:rPr>
                <w:sz w:val="20"/>
                <w:szCs w:val="20"/>
                <w:color w:val="auto"/>
              </w:rPr>
            </w:pPr>
            <w:r>
              <w:rPr>
                <w:rFonts w:ascii="Arial" w:cs="Arial" w:eastAsia="Arial" w:hAnsi="Arial"/>
                <w:sz w:val="15"/>
                <w:szCs w:val="15"/>
                <w:color w:val="auto"/>
              </w:rPr>
              <w:t>31.1</w:t>
            </w:r>
          </w:p>
        </w:tc>
      </w:tr>
      <w:tr>
        <w:trPr>
          <w:trHeight w:val="335"/>
        </w:trPr>
        <w:tc>
          <w:tcPr>
            <w:tcW w:w="940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5"/>
                <w:szCs w:val="15"/>
                <w:color w:val="auto"/>
              </w:rPr>
              <w:t>Certification of Chief Financial Officer pursuant to Rule 13a-14(a) as adopted pursuant to Section 302 of the Sarbanes-Oxley Act of 2002 (*)</w:t>
            </w:r>
          </w:p>
        </w:tc>
        <w:tc>
          <w:tcPr>
            <w:tcW w:w="40" w:type="dxa"/>
            <w:vAlign w:val="bottom"/>
            <w:tcBorders>
              <w:top w:val="single" w:sz="8" w:color="0000EE"/>
            </w:tcBorders>
          </w:tcPr>
          <w:p>
            <w:pPr>
              <w:spacing w:after="0"/>
              <w:rPr>
                <w:sz w:val="24"/>
                <w:szCs w:val="24"/>
                <w:color w:val="auto"/>
              </w:rPr>
            </w:pPr>
          </w:p>
        </w:tc>
        <w:tc>
          <w:tcPr>
            <w:tcW w:w="64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31.2</w:t>
            </w:r>
          </w:p>
        </w:tc>
      </w:tr>
      <w:tr>
        <w:trPr>
          <w:trHeight w:val="335"/>
        </w:trPr>
        <w:tc>
          <w:tcPr>
            <w:tcW w:w="10080" w:type="dxa"/>
            <w:vAlign w:val="bottom"/>
            <w:gridSpan w:val="18"/>
          </w:tcPr>
          <w:p>
            <w:pPr>
              <w:spacing w:after="0"/>
              <w:rPr>
                <w:sz w:val="20"/>
                <w:szCs w:val="20"/>
                <w:color w:val="auto"/>
              </w:rPr>
            </w:pPr>
            <w:r>
              <w:rPr>
                <w:rFonts w:ascii="Arial" w:cs="Arial" w:eastAsia="Arial" w:hAnsi="Arial"/>
                <w:sz w:val="15"/>
                <w:szCs w:val="15"/>
                <w:color w:val="auto"/>
              </w:rPr>
              <w:t>Certification of Chief Executive Officer pursuant to 18 U.S.C. Section 1350, as adopted pursuant to Section 906 of the Sarbanes-Oxley Act of</w:t>
            </w:r>
          </w:p>
        </w:tc>
        <w:tc>
          <w:tcPr>
            <w:tcW w:w="1040" w:type="dxa"/>
            <w:vAlign w:val="bottom"/>
          </w:tcPr>
          <w:p>
            <w:pPr>
              <w:jc w:val="right"/>
              <w:spacing w:after="0"/>
              <w:rPr>
                <w:sz w:val="20"/>
                <w:szCs w:val="20"/>
                <w:color w:val="auto"/>
              </w:rPr>
            </w:pPr>
            <w:r>
              <w:rPr>
                <w:rFonts w:ascii="Arial" w:cs="Arial" w:eastAsia="Arial" w:hAnsi="Arial"/>
                <w:sz w:val="15"/>
                <w:szCs w:val="15"/>
                <w:color w:val="auto"/>
              </w:rPr>
              <w:t>32.1</w:t>
            </w:r>
          </w:p>
        </w:tc>
      </w:tr>
      <w:tr>
        <w:trPr>
          <w:trHeight w:val="158"/>
        </w:trPr>
        <w:tc>
          <w:tcPr>
            <w:tcW w:w="600" w:type="dxa"/>
            <w:vAlign w:val="bottom"/>
            <w:tcBorders>
              <w:top w:val="single" w:sz="8" w:color="0000EE"/>
              <w:bottom w:val="single" w:sz="8" w:color="0000EE"/>
            </w:tcBorders>
            <w:gridSpan w:val="2"/>
          </w:tcPr>
          <w:p>
            <w:pPr>
              <w:spacing w:after="0" w:line="158" w:lineRule="exact"/>
              <w:rPr>
                <w:sz w:val="20"/>
                <w:szCs w:val="20"/>
                <w:color w:val="auto"/>
              </w:rPr>
            </w:pPr>
            <w:r>
              <w:rPr>
                <w:rFonts w:ascii="Arial" w:cs="Arial" w:eastAsia="Arial" w:hAnsi="Arial"/>
                <w:sz w:val="15"/>
                <w:szCs w:val="15"/>
                <w:color w:val="auto"/>
                <w:w w:val="97"/>
              </w:rPr>
              <w:t>2002 (**)</w:t>
            </w:r>
          </w:p>
        </w:tc>
        <w:tc>
          <w:tcPr>
            <w:tcW w:w="8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132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820" w:type="dxa"/>
            <w:vAlign w:val="bottom"/>
            <w:tcBorders>
              <w:top w:val="single" w:sz="8" w:color="0000EE"/>
            </w:tcBorders>
          </w:tcPr>
          <w:p>
            <w:pPr>
              <w:spacing w:after="0"/>
              <w:rPr>
                <w:sz w:val="13"/>
                <w:szCs w:val="13"/>
                <w:color w:val="auto"/>
              </w:rPr>
            </w:pPr>
          </w:p>
        </w:tc>
        <w:tc>
          <w:tcPr>
            <w:tcW w:w="10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35"/>
        </w:trPr>
        <w:tc>
          <w:tcPr>
            <w:tcW w:w="10080" w:type="dxa"/>
            <w:vAlign w:val="bottom"/>
            <w:gridSpan w:val="18"/>
          </w:tcPr>
          <w:p>
            <w:pPr>
              <w:spacing w:after="0"/>
              <w:rPr>
                <w:sz w:val="20"/>
                <w:szCs w:val="20"/>
                <w:color w:val="auto"/>
              </w:rPr>
            </w:pPr>
            <w:r>
              <w:rPr>
                <w:rFonts w:ascii="Arial" w:cs="Arial" w:eastAsia="Arial" w:hAnsi="Arial"/>
                <w:sz w:val="15"/>
                <w:szCs w:val="15"/>
                <w:color w:val="auto"/>
              </w:rPr>
              <w:t>Certification of Chief Financial Officer pursuant to 18 U.S.C. Section 1350, as adopted pursuant to Section 906 of the Sarbanes-Oxley Act of 2002</w:t>
            </w:r>
          </w:p>
        </w:tc>
        <w:tc>
          <w:tcPr>
            <w:tcW w:w="1040" w:type="dxa"/>
            <w:vAlign w:val="bottom"/>
          </w:tcPr>
          <w:p>
            <w:pPr>
              <w:jc w:val="right"/>
              <w:spacing w:after="0"/>
              <w:rPr>
                <w:sz w:val="20"/>
                <w:szCs w:val="20"/>
                <w:color w:val="auto"/>
              </w:rPr>
            </w:pPr>
            <w:r>
              <w:rPr>
                <w:rFonts w:ascii="Arial" w:cs="Arial" w:eastAsia="Arial" w:hAnsi="Arial"/>
                <w:sz w:val="15"/>
                <w:szCs w:val="15"/>
                <w:color w:val="auto"/>
              </w:rPr>
              <w:t>32.2</w:t>
            </w:r>
          </w:p>
        </w:tc>
      </w:tr>
      <w:tr>
        <w:trPr>
          <w:trHeight w:val="158"/>
        </w:trPr>
        <w:tc>
          <w:tcPr>
            <w:tcW w:w="220" w:type="dxa"/>
            <w:vAlign w:val="bottom"/>
            <w:tcBorders>
              <w:top w:val="single" w:sz="8" w:color="0000EE"/>
              <w:bottom w:val="single" w:sz="8" w:color="0000EE"/>
            </w:tcBorders>
          </w:tcPr>
          <w:p>
            <w:pPr>
              <w:spacing w:after="0" w:line="158" w:lineRule="exact"/>
              <w:rPr>
                <w:sz w:val="20"/>
                <w:szCs w:val="20"/>
                <w:color w:val="auto"/>
              </w:rPr>
            </w:pPr>
            <w:r>
              <w:rPr>
                <w:rFonts w:ascii="Arial" w:cs="Arial" w:eastAsia="Arial" w:hAnsi="Arial"/>
                <w:sz w:val="15"/>
                <w:szCs w:val="15"/>
                <w:color w:val="auto"/>
                <w:w w:val="92"/>
              </w:rPr>
              <w:t>(**)</w:t>
            </w:r>
          </w:p>
        </w:tc>
        <w:tc>
          <w:tcPr>
            <w:tcW w:w="38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132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820" w:type="dxa"/>
            <w:vAlign w:val="bottom"/>
            <w:tcBorders>
              <w:top w:val="single" w:sz="8" w:color="0000EE"/>
            </w:tcBorders>
          </w:tcPr>
          <w:p>
            <w:pPr>
              <w:spacing w:after="0"/>
              <w:rPr>
                <w:sz w:val="13"/>
                <w:szCs w:val="13"/>
                <w:color w:val="auto"/>
              </w:rPr>
            </w:pPr>
          </w:p>
        </w:tc>
        <w:tc>
          <w:tcPr>
            <w:tcW w:w="10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35"/>
        </w:trPr>
        <w:tc>
          <w:tcPr>
            <w:tcW w:w="1760" w:type="dxa"/>
            <w:vAlign w:val="bottom"/>
            <w:tcBorders>
              <w:bottom w:val="single" w:sz="8" w:color="0000EE"/>
            </w:tcBorders>
            <w:gridSpan w:val="5"/>
          </w:tcPr>
          <w:p>
            <w:pPr>
              <w:spacing w:after="0"/>
              <w:rPr>
                <w:sz w:val="20"/>
                <w:szCs w:val="20"/>
                <w:color w:val="auto"/>
              </w:rPr>
            </w:pPr>
            <w:r>
              <w:rPr>
                <w:rFonts w:ascii="Arial" w:cs="Arial" w:eastAsia="Arial" w:hAnsi="Arial"/>
                <w:sz w:val="15"/>
                <w:szCs w:val="15"/>
                <w:color w:val="auto"/>
              </w:rPr>
              <w:t>Mine Safety Disclosure (*)</w:t>
            </w:r>
          </w:p>
        </w:tc>
        <w:tc>
          <w:tcPr>
            <w:tcW w:w="8320" w:type="dxa"/>
            <w:vAlign w:val="bottom"/>
            <w:gridSpan w:val="1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335"/>
        </w:trPr>
        <w:tc>
          <w:tcPr>
            <w:tcW w:w="5500" w:type="dxa"/>
            <w:vAlign w:val="bottom"/>
            <w:tcBorders>
              <w:bottom w:val="single" w:sz="8" w:color="0000EE"/>
            </w:tcBorders>
            <w:gridSpan w:val="12"/>
          </w:tcPr>
          <w:p>
            <w:pPr>
              <w:spacing w:after="0"/>
              <w:rPr>
                <w:sz w:val="20"/>
                <w:szCs w:val="20"/>
                <w:color w:val="auto"/>
              </w:rPr>
            </w:pPr>
            <w:r>
              <w:rPr>
                <w:rFonts w:ascii="Arial" w:cs="Arial" w:eastAsia="Arial" w:hAnsi="Arial"/>
                <w:sz w:val="15"/>
                <w:szCs w:val="15"/>
                <w:color w:val="auto"/>
              </w:rPr>
              <w:t>Policy for Recovery of Performance-Based Compensation from Senior Officers (*)</w:t>
            </w:r>
          </w:p>
        </w:tc>
        <w:tc>
          <w:tcPr>
            <w:tcW w:w="4580" w:type="dxa"/>
            <w:vAlign w:val="bottom"/>
            <w:gridSpan w:val="6"/>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371"/>
        </w:trPr>
        <w:tc>
          <w:tcPr>
            <w:tcW w:w="10080" w:type="dxa"/>
            <w:vAlign w:val="bottom"/>
            <w:gridSpan w:val="18"/>
          </w:tcPr>
          <w:p>
            <w:pPr>
              <w:spacing w:after="0"/>
              <w:rPr>
                <w:sz w:val="20"/>
                <w:szCs w:val="20"/>
                <w:color w:val="auto"/>
              </w:rPr>
            </w:pPr>
            <w:r>
              <w:rPr>
                <w:rFonts w:ascii="Arial" w:cs="Arial" w:eastAsia="Arial" w:hAnsi="Arial"/>
                <w:sz w:val="15"/>
                <w:szCs w:val="15"/>
                <w:color w:val="auto"/>
              </w:rPr>
              <w:t>Inline XBRL Instance Document (*)</w:t>
            </w:r>
          </w:p>
        </w:tc>
        <w:tc>
          <w:tcPr>
            <w:tcW w:w="1040" w:type="dxa"/>
            <w:vAlign w:val="bottom"/>
          </w:tcPr>
          <w:p>
            <w:pPr>
              <w:jc w:val="right"/>
              <w:spacing w:after="0"/>
              <w:rPr>
                <w:sz w:val="20"/>
                <w:szCs w:val="20"/>
                <w:color w:val="auto"/>
              </w:rPr>
            </w:pPr>
            <w:r>
              <w:rPr>
                <w:rFonts w:ascii="Arial" w:cs="Arial" w:eastAsia="Arial" w:hAnsi="Arial"/>
                <w:sz w:val="15"/>
                <w:szCs w:val="15"/>
                <w:color w:val="auto"/>
              </w:rPr>
              <w:t>101.INS</w:t>
            </w:r>
          </w:p>
        </w:tc>
      </w:tr>
      <w:tr>
        <w:trPr>
          <w:trHeight w:val="355"/>
        </w:trPr>
        <w:tc>
          <w:tcPr>
            <w:tcW w:w="10080" w:type="dxa"/>
            <w:vAlign w:val="bottom"/>
            <w:gridSpan w:val="18"/>
          </w:tcPr>
          <w:p>
            <w:pPr>
              <w:spacing w:after="0"/>
              <w:rPr>
                <w:sz w:val="20"/>
                <w:szCs w:val="20"/>
                <w:color w:val="auto"/>
              </w:rPr>
            </w:pPr>
            <w:r>
              <w:rPr>
                <w:rFonts w:ascii="Arial" w:cs="Arial" w:eastAsia="Arial" w:hAnsi="Arial"/>
                <w:sz w:val="15"/>
                <w:szCs w:val="15"/>
                <w:color w:val="auto"/>
              </w:rPr>
              <w:t>Inline XBRL Taxonomy Extension Schema Document (*)</w:t>
            </w:r>
          </w:p>
        </w:tc>
        <w:tc>
          <w:tcPr>
            <w:tcW w:w="1040" w:type="dxa"/>
            <w:vAlign w:val="bottom"/>
          </w:tcPr>
          <w:p>
            <w:pPr>
              <w:jc w:val="right"/>
              <w:spacing w:after="0"/>
              <w:rPr>
                <w:sz w:val="20"/>
                <w:szCs w:val="20"/>
                <w:color w:val="auto"/>
              </w:rPr>
            </w:pPr>
            <w:r>
              <w:rPr>
                <w:rFonts w:ascii="Arial" w:cs="Arial" w:eastAsia="Arial" w:hAnsi="Arial"/>
                <w:sz w:val="15"/>
                <w:szCs w:val="15"/>
                <w:color w:val="auto"/>
              </w:rPr>
              <w:t>101.SCH</w:t>
            </w:r>
          </w:p>
        </w:tc>
      </w:tr>
      <w:tr>
        <w:trPr>
          <w:trHeight w:val="355"/>
        </w:trPr>
        <w:tc>
          <w:tcPr>
            <w:tcW w:w="10080" w:type="dxa"/>
            <w:vAlign w:val="bottom"/>
            <w:gridSpan w:val="18"/>
          </w:tcPr>
          <w:p>
            <w:pPr>
              <w:spacing w:after="0"/>
              <w:rPr>
                <w:sz w:val="20"/>
                <w:szCs w:val="20"/>
                <w:color w:val="auto"/>
              </w:rPr>
            </w:pPr>
            <w:r>
              <w:rPr>
                <w:rFonts w:ascii="Arial" w:cs="Arial" w:eastAsia="Arial" w:hAnsi="Arial"/>
                <w:sz w:val="15"/>
                <w:szCs w:val="15"/>
                <w:color w:val="auto"/>
              </w:rPr>
              <w:t>Inline XBRL Taxonomy Extension Calculation Linkbase Document (*)</w:t>
            </w:r>
          </w:p>
        </w:tc>
        <w:tc>
          <w:tcPr>
            <w:tcW w:w="1040" w:type="dxa"/>
            <w:vAlign w:val="bottom"/>
          </w:tcPr>
          <w:p>
            <w:pPr>
              <w:jc w:val="right"/>
              <w:spacing w:after="0"/>
              <w:rPr>
                <w:sz w:val="20"/>
                <w:szCs w:val="20"/>
                <w:color w:val="auto"/>
              </w:rPr>
            </w:pPr>
            <w:r>
              <w:rPr>
                <w:rFonts w:ascii="Arial" w:cs="Arial" w:eastAsia="Arial" w:hAnsi="Arial"/>
                <w:sz w:val="15"/>
                <w:szCs w:val="15"/>
                <w:color w:val="auto"/>
              </w:rPr>
              <w:t>101.CAL</w:t>
            </w:r>
          </w:p>
        </w:tc>
      </w:tr>
      <w:tr>
        <w:trPr>
          <w:trHeight w:val="355"/>
        </w:trPr>
        <w:tc>
          <w:tcPr>
            <w:tcW w:w="10080" w:type="dxa"/>
            <w:vAlign w:val="bottom"/>
            <w:gridSpan w:val="18"/>
          </w:tcPr>
          <w:p>
            <w:pPr>
              <w:spacing w:after="0"/>
              <w:rPr>
                <w:sz w:val="20"/>
                <w:szCs w:val="20"/>
                <w:color w:val="auto"/>
              </w:rPr>
            </w:pPr>
            <w:r>
              <w:rPr>
                <w:rFonts w:ascii="Arial" w:cs="Arial" w:eastAsia="Arial" w:hAnsi="Arial"/>
                <w:sz w:val="15"/>
                <w:szCs w:val="15"/>
                <w:color w:val="auto"/>
              </w:rPr>
              <w:t>Inline XBRL Taxonomy Extension Definition Linkbase Document (*)</w:t>
            </w:r>
          </w:p>
        </w:tc>
        <w:tc>
          <w:tcPr>
            <w:tcW w:w="1040" w:type="dxa"/>
            <w:vAlign w:val="bottom"/>
          </w:tcPr>
          <w:p>
            <w:pPr>
              <w:jc w:val="right"/>
              <w:spacing w:after="0"/>
              <w:rPr>
                <w:sz w:val="20"/>
                <w:szCs w:val="20"/>
                <w:color w:val="auto"/>
              </w:rPr>
            </w:pPr>
            <w:r>
              <w:rPr>
                <w:rFonts w:ascii="Arial" w:cs="Arial" w:eastAsia="Arial" w:hAnsi="Arial"/>
                <w:sz w:val="15"/>
                <w:szCs w:val="15"/>
                <w:color w:val="auto"/>
              </w:rPr>
              <w:t>101.DEF</w:t>
            </w:r>
          </w:p>
        </w:tc>
      </w:tr>
      <w:tr>
        <w:trPr>
          <w:trHeight w:val="355"/>
        </w:trPr>
        <w:tc>
          <w:tcPr>
            <w:tcW w:w="10080" w:type="dxa"/>
            <w:vAlign w:val="bottom"/>
            <w:gridSpan w:val="18"/>
          </w:tcPr>
          <w:p>
            <w:pPr>
              <w:spacing w:after="0"/>
              <w:rPr>
                <w:sz w:val="20"/>
                <w:szCs w:val="20"/>
                <w:color w:val="auto"/>
              </w:rPr>
            </w:pPr>
            <w:r>
              <w:rPr>
                <w:rFonts w:ascii="Arial" w:cs="Arial" w:eastAsia="Arial" w:hAnsi="Arial"/>
                <w:sz w:val="15"/>
                <w:szCs w:val="15"/>
                <w:color w:val="auto"/>
              </w:rPr>
              <w:t>Inline XBRL Taxonomy Extension Label Linkbase Document (*)</w:t>
            </w:r>
          </w:p>
        </w:tc>
        <w:tc>
          <w:tcPr>
            <w:tcW w:w="1040" w:type="dxa"/>
            <w:vAlign w:val="bottom"/>
          </w:tcPr>
          <w:p>
            <w:pPr>
              <w:jc w:val="right"/>
              <w:spacing w:after="0"/>
              <w:rPr>
                <w:sz w:val="20"/>
                <w:szCs w:val="20"/>
                <w:color w:val="auto"/>
              </w:rPr>
            </w:pPr>
            <w:r>
              <w:rPr>
                <w:rFonts w:ascii="Arial" w:cs="Arial" w:eastAsia="Arial" w:hAnsi="Arial"/>
                <w:sz w:val="15"/>
                <w:szCs w:val="15"/>
                <w:color w:val="auto"/>
              </w:rPr>
              <w:t>101.LAB</w:t>
            </w:r>
          </w:p>
        </w:tc>
      </w:tr>
      <w:tr>
        <w:trPr>
          <w:trHeight w:val="355"/>
        </w:trPr>
        <w:tc>
          <w:tcPr>
            <w:tcW w:w="10080" w:type="dxa"/>
            <w:vAlign w:val="bottom"/>
            <w:gridSpan w:val="18"/>
          </w:tcPr>
          <w:p>
            <w:pPr>
              <w:spacing w:after="0"/>
              <w:rPr>
                <w:sz w:val="20"/>
                <w:szCs w:val="20"/>
                <w:color w:val="auto"/>
              </w:rPr>
            </w:pPr>
            <w:r>
              <w:rPr>
                <w:rFonts w:ascii="Arial" w:cs="Arial" w:eastAsia="Arial" w:hAnsi="Arial"/>
                <w:sz w:val="15"/>
                <w:szCs w:val="15"/>
                <w:color w:val="auto"/>
              </w:rPr>
              <w:t>Inline XBRL Taxonomy Extension Presentation Linkbase Document (*)</w:t>
            </w:r>
          </w:p>
        </w:tc>
        <w:tc>
          <w:tcPr>
            <w:tcW w:w="1040" w:type="dxa"/>
            <w:vAlign w:val="bottom"/>
          </w:tcPr>
          <w:p>
            <w:pPr>
              <w:jc w:val="right"/>
              <w:spacing w:after="0"/>
              <w:rPr>
                <w:sz w:val="20"/>
                <w:szCs w:val="20"/>
                <w:color w:val="auto"/>
              </w:rPr>
            </w:pPr>
            <w:r>
              <w:rPr>
                <w:rFonts w:ascii="Arial" w:cs="Arial" w:eastAsia="Arial" w:hAnsi="Arial"/>
                <w:sz w:val="15"/>
                <w:szCs w:val="15"/>
                <w:color w:val="auto"/>
              </w:rPr>
              <w:t>101.PRE</w:t>
            </w:r>
          </w:p>
        </w:tc>
      </w:tr>
      <w:tr>
        <w:trPr>
          <w:trHeight w:val="355"/>
        </w:trPr>
        <w:tc>
          <w:tcPr>
            <w:tcW w:w="10080" w:type="dxa"/>
            <w:vAlign w:val="bottom"/>
            <w:gridSpan w:val="18"/>
          </w:tcPr>
          <w:p>
            <w:pPr>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c>
          <w:tcPr>
            <w:tcW w:w="104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355"/>
        </w:trPr>
        <w:tc>
          <w:tcPr>
            <w:tcW w:w="10080" w:type="dxa"/>
            <w:vAlign w:val="bottom"/>
            <w:gridSpan w:val="18"/>
          </w:tcPr>
          <w:p>
            <w:pPr>
              <w:spacing w:after="0"/>
              <w:rPr>
                <w:sz w:val="20"/>
                <w:szCs w:val="20"/>
                <w:color w:val="auto"/>
              </w:rPr>
            </w:pPr>
            <w:r>
              <w:rPr>
                <w:rFonts w:ascii="Arial" w:cs="Arial" w:eastAsia="Arial" w:hAnsi="Arial"/>
                <w:sz w:val="15"/>
                <w:szCs w:val="15"/>
                <w:color w:val="auto"/>
              </w:rPr>
              <w:t>(*) Filed with this Form 10-K</w:t>
            </w:r>
          </w:p>
        </w:tc>
        <w:tc>
          <w:tcPr>
            <w:tcW w:w="1040" w:type="dxa"/>
            <w:vAlign w:val="bottom"/>
          </w:tcPr>
          <w:p>
            <w:pPr>
              <w:spacing w:after="0"/>
              <w:rPr>
                <w:sz w:val="24"/>
                <w:szCs w:val="24"/>
                <w:color w:val="auto"/>
              </w:rPr>
            </w:pPr>
          </w:p>
        </w:tc>
      </w:tr>
      <w:tr>
        <w:trPr>
          <w:trHeight w:val="216"/>
        </w:trPr>
        <w:tc>
          <w:tcPr>
            <w:tcW w:w="10080" w:type="dxa"/>
            <w:vAlign w:val="bottom"/>
            <w:gridSpan w:val="18"/>
          </w:tcPr>
          <w:p>
            <w:pPr>
              <w:spacing w:after="0"/>
              <w:rPr>
                <w:sz w:val="20"/>
                <w:szCs w:val="20"/>
                <w:color w:val="auto"/>
              </w:rPr>
            </w:pPr>
            <w:r>
              <w:rPr>
                <w:rFonts w:ascii="Arial" w:cs="Arial" w:eastAsia="Arial" w:hAnsi="Arial"/>
                <w:sz w:val="15"/>
                <w:szCs w:val="15"/>
                <w:color w:val="auto"/>
              </w:rPr>
              <w:t>(**) Furnished with this Form 10-K</w:t>
            </w:r>
          </w:p>
        </w:tc>
        <w:tc>
          <w:tcPr>
            <w:tcW w:w="1040" w:type="dxa"/>
            <w:vAlign w:val="bottom"/>
          </w:tcPr>
          <w:p>
            <w:pPr>
              <w:spacing w:after="0"/>
              <w:rPr>
                <w:sz w:val="18"/>
                <w:szCs w:val="18"/>
                <w:color w:val="auto"/>
              </w:rPr>
            </w:pPr>
          </w:p>
        </w:tc>
      </w:tr>
      <w:tr>
        <w:trPr>
          <w:trHeight w:val="228"/>
        </w:trPr>
        <w:tc>
          <w:tcPr>
            <w:tcW w:w="10080" w:type="dxa"/>
            <w:vAlign w:val="bottom"/>
            <w:gridSpan w:val="18"/>
          </w:tcPr>
          <w:p>
            <w:pPr>
              <w:spacing w:after="0"/>
              <w:rPr>
                <w:sz w:val="20"/>
                <w:szCs w:val="20"/>
                <w:color w:val="auto"/>
              </w:rPr>
            </w:pPr>
            <w:r>
              <w:rPr>
                <w:rFonts w:ascii="Arial" w:cs="Arial" w:eastAsia="Arial" w:hAnsi="Arial"/>
                <w:sz w:val="15"/>
                <w:szCs w:val="15"/>
                <w:color w:val="auto"/>
              </w:rPr>
              <w:t>(+) Management contracts or compensatory plans or arrangements</w:t>
            </w:r>
          </w:p>
        </w:tc>
        <w:tc>
          <w:tcPr>
            <w:tcW w:w="1040" w:type="dxa"/>
            <w:vAlign w:val="bottom"/>
          </w:tcPr>
          <w:p>
            <w:pPr>
              <w:spacing w:after="0"/>
              <w:rPr>
                <w:sz w:val="19"/>
                <w:szCs w:val="19"/>
                <w:color w:val="auto"/>
              </w:rPr>
            </w:pPr>
          </w:p>
        </w:tc>
      </w:tr>
    </w:tbl>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Exhibits filed herewith do not include certain instruments with respect to long-term debt of SLB Limited and its subsidiaries, inasmuch as the total amount of debt authorized under any such instrument does not exceed 10 percent of the total assets of SLB Limited and 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449580</wp:posOffset>
            </wp:positionV>
            <wp:extent cx="7165975" cy="412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20"/>
          </w:cols>
          <w:pgMar w:left="380" w:top="940" w:right="399" w:bottom="1440" w:gutter="0" w:footer="0" w:header="0"/>
        </w:sectPr>
      </w:pPr>
    </w:p>
    <w:bookmarkStart w:id="66" w:name="page67"/>
    <w:bookmarkEnd w:id="66"/>
    <w:p>
      <w:pPr>
        <w:ind w:left="10360"/>
        <w:spacing w:after="0"/>
        <w:rPr>
          <w:sz w:val="20"/>
          <w:szCs w:val="20"/>
          <w:color w:val="auto"/>
        </w:rPr>
      </w:pPr>
      <w:r>
        <w:rPr>
          <w:rFonts w:ascii="Arial" w:cs="Arial" w:eastAsia="Arial" w:hAnsi="Arial"/>
          <w:sz w:val="15"/>
          <w:szCs w:val="15"/>
          <w:b w:val="1"/>
          <w:bCs w:val="1"/>
          <w:color w:val="auto"/>
        </w:rPr>
        <w:t>Exhibit</w:t>
      </w:r>
    </w:p>
    <w:p>
      <w:pPr>
        <w:spacing w:after="0" w:line="19" w:lineRule="exact"/>
        <w:rPr>
          <w:sz w:val="20"/>
          <w:szCs w:val="20"/>
          <w:color w:val="auto"/>
        </w:rPr>
      </w:pPr>
    </w:p>
    <w:p>
      <w:pPr>
        <w:ind w:left="60"/>
        <w:spacing w:after="0" w:line="265" w:lineRule="auto"/>
        <w:rPr>
          <w:sz w:val="20"/>
          <w:szCs w:val="20"/>
          <w:color w:val="auto"/>
        </w:rPr>
      </w:pPr>
      <w:r>
        <w:rPr>
          <w:rFonts w:ascii="Arial" w:cs="Arial" w:eastAsia="Arial" w:hAnsi="Arial"/>
          <w:sz w:val="15"/>
          <w:szCs w:val="15"/>
          <w:color w:val="auto"/>
        </w:rPr>
        <w:t>subsidiaries on a consolidated basis. SLB agrees, pursuant to Item 601(b)(4)(iii) of Regulation S-K, that it will furnish a copy of any such instrument to the SEC upon request.</w:t>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Item 16. Form 10-K Summary.</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449580</wp:posOffset>
            </wp:positionV>
            <wp:extent cx="7165975" cy="412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940" w:right="399" w:bottom="1440" w:gutter="0" w:footer="0" w:header="0"/>
        </w:sectPr>
      </w:pPr>
    </w:p>
    <w:bookmarkStart w:id="67" w:name="page68"/>
    <w:bookmarkEnd w:id="67"/>
    <w:p>
      <w:pPr>
        <w:jc w:val="center"/>
        <w:spacing w:after="0"/>
        <w:rPr>
          <w:sz w:val="20"/>
          <w:szCs w:val="20"/>
          <w:color w:val="auto"/>
        </w:rPr>
      </w:pPr>
      <w:r>
        <w:rPr>
          <w:rFonts w:ascii="Arial" w:cs="Arial" w:eastAsia="Arial" w:hAnsi="Arial"/>
          <w:sz w:val="15"/>
          <w:szCs w:val="15"/>
          <w:b w:val="1"/>
          <w:bCs w:val="1"/>
          <w:color w:val="auto"/>
        </w:rPr>
        <w:t>SIGNATURES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23" w:lineRule="exact"/>
        <w:rPr>
          <w:sz w:val="20"/>
          <w:szCs w:val="20"/>
          <w:color w:val="auto"/>
        </w:rPr>
      </w:pPr>
    </w:p>
    <w:p>
      <w:pPr>
        <w:spacing w:after="0"/>
        <w:tabs>
          <w:tab w:leader="none" w:pos="660" w:val="left"/>
          <w:tab w:leader="none" w:pos="712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January 23, 2026</w:t>
      </w:r>
      <w:r>
        <w:rPr>
          <w:sz w:val="20"/>
          <w:szCs w:val="20"/>
          <w:color w:val="auto"/>
        </w:rPr>
        <w:tab/>
      </w:r>
      <w:r>
        <w:rPr>
          <w:rFonts w:ascii="Arial" w:cs="Arial" w:eastAsia="Arial" w:hAnsi="Arial"/>
          <w:sz w:val="15"/>
          <w:szCs w:val="15"/>
          <w:color w:val="auto"/>
        </w:rPr>
        <w:t>SLB LIMITED</w:t>
      </w:r>
    </w:p>
    <w:p>
      <w:pPr>
        <w:spacing w:after="0" w:line="183" w:lineRule="exact"/>
        <w:rPr>
          <w:sz w:val="20"/>
          <w:szCs w:val="20"/>
          <w:color w:val="auto"/>
        </w:rPr>
      </w:pPr>
    </w:p>
    <w:p>
      <w:pPr>
        <w:ind w:left="6700"/>
        <w:spacing w:after="0"/>
        <w:tabs>
          <w:tab w:leader="none" w:pos="7120" w:val="left"/>
        </w:tabs>
        <w:rPr>
          <w:sz w:val="20"/>
          <w:szCs w:val="20"/>
          <w:color w:val="auto"/>
        </w:rPr>
      </w:pPr>
      <w:r>
        <w:rPr>
          <w:rFonts w:ascii="Arial" w:cs="Arial" w:eastAsia="Arial" w:hAnsi="Arial"/>
          <w:sz w:val="15"/>
          <w:szCs w:val="15"/>
          <w:color w:val="auto"/>
        </w:rPr>
        <w:t>By:</w:t>
        <w:tab/>
        <w:t>/s/ H</w:t>
      </w:r>
      <w:r>
        <w:rPr>
          <w:rFonts w:ascii="Arial" w:cs="Arial" w:eastAsia="Arial" w:hAnsi="Arial"/>
          <w:sz w:val="10"/>
          <w:szCs w:val="10"/>
          <w:color w:val="auto"/>
        </w:rPr>
        <w:t>oward</w:t>
      </w:r>
      <w:r>
        <w:rPr>
          <w:rFonts w:ascii="Arial" w:cs="Arial" w:eastAsia="Arial" w:hAnsi="Arial"/>
          <w:sz w:val="15"/>
          <w:szCs w:val="15"/>
          <w:color w:val="auto"/>
        </w:rPr>
        <w:t xml:space="preserve"> G</w:t>
      </w:r>
      <w:r>
        <w:rPr>
          <w:rFonts w:ascii="Arial" w:cs="Arial" w:eastAsia="Arial" w:hAnsi="Arial"/>
          <w:sz w:val="10"/>
          <w:szCs w:val="10"/>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10795</wp:posOffset>
            </wp:positionV>
            <wp:extent cx="260286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12" w:lineRule="exact"/>
        <w:rPr>
          <w:sz w:val="20"/>
          <w:szCs w:val="20"/>
          <w:color w:val="auto"/>
        </w:rPr>
      </w:pPr>
    </w:p>
    <w:p>
      <w:pPr>
        <w:ind w:left="7140"/>
        <w:spacing w:after="0"/>
        <w:rPr>
          <w:sz w:val="20"/>
          <w:szCs w:val="20"/>
          <w:color w:val="auto"/>
        </w:rPr>
      </w:pPr>
      <w:r>
        <w:rPr>
          <w:rFonts w:ascii="Arial" w:cs="Arial" w:eastAsia="Arial" w:hAnsi="Arial"/>
          <w:sz w:val="15"/>
          <w:szCs w:val="15"/>
          <w:b w:val="1"/>
          <w:bCs w:val="1"/>
          <w:color w:val="auto"/>
        </w:rPr>
        <w:t>Howard Guild</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5"/>
          <w:szCs w:val="15"/>
          <w:b w:val="1"/>
          <w:bCs w:val="1"/>
          <w:color w:val="auto"/>
        </w:rPr>
        <w:t>Chief Accounting Officer</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60" w:type="dxa"/>
            <w:vAlign w:val="bottom"/>
          </w:tcPr>
          <w:p>
            <w:pPr>
              <w:jc w:val="center"/>
              <w:spacing w:after="0"/>
              <w:rPr>
                <w:sz w:val="20"/>
                <w:szCs w:val="20"/>
                <w:color w:val="auto"/>
              </w:rPr>
            </w:pPr>
            <w:r>
              <w:rPr>
                <w:rFonts w:ascii="Arial" w:cs="Arial" w:eastAsia="Arial" w:hAnsi="Arial"/>
                <w:sz w:val="15"/>
                <w:szCs w:val="15"/>
                <w:b w:val="1"/>
                <w:bCs w:val="1"/>
                <w:color w:val="auto"/>
              </w:rPr>
              <w:t>Name</w:t>
            </w:r>
          </w:p>
        </w:tc>
        <w:tc>
          <w:tcPr>
            <w:tcW w:w="3740" w:type="dxa"/>
            <w:vAlign w:val="bottom"/>
          </w:tcPr>
          <w:p>
            <w:pPr>
              <w:ind w:left="2860"/>
              <w:spacing w:after="0"/>
              <w:rPr>
                <w:sz w:val="20"/>
                <w:szCs w:val="20"/>
                <w:color w:val="auto"/>
              </w:rPr>
            </w:pPr>
            <w:r>
              <w:rPr>
                <w:rFonts w:ascii="Arial" w:cs="Arial" w:eastAsia="Arial" w:hAnsi="Arial"/>
                <w:sz w:val="15"/>
                <w:szCs w:val="15"/>
                <w:b w:val="1"/>
                <w:bCs w:val="1"/>
                <w:color w:val="auto"/>
              </w:rPr>
              <w:t>Title</w:t>
            </w:r>
          </w:p>
        </w:tc>
      </w:tr>
      <w:tr>
        <w:trPr>
          <w:trHeight w:val="337"/>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Chief Executive Officer and Director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w w:val="99"/>
              </w:rPr>
              <w:t>Olivier Le Peuch</w:t>
            </w:r>
          </w:p>
        </w:tc>
        <w:tc>
          <w:tcPr>
            <w:tcW w:w="3740" w:type="dxa"/>
            <w:vAlign w:val="bottom"/>
          </w:tcPr>
          <w:p>
            <w:pPr>
              <w:ind w:left="220"/>
              <w:spacing w:after="0"/>
              <w:rPr>
                <w:sz w:val="20"/>
                <w:szCs w:val="20"/>
                <w:color w:val="auto"/>
              </w:rPr>
            </w:pPr>
            <w:r>
              <w:rPr>
                <w:rFonts w:ascii="Arial" w:cs="Arial" w:eastAsia="Arial" w:hAnsi="Arial"/>
                <w:sz w:val="15"/>
                <w:szCs w:val="15"/>
                <w:color w:val="auto"/>
              </w:rPr>
              <w:t>(Principal Executive Officer)</w:t>
            </w: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S</w:t>
            </w:r>
            <w:r>
              <w:rPr>
                <w:rFonts w:ascii="Arial" w:cs="Arial" w:eastAsia="Arial" w:hAnsi="Arial"/>
                <w:sz w:val="10"/>
                <w:szCs w:val="10"/>
                <w:color w:val="auto"/>
              </w:rPr>
              <w:t>tephane</w:t>
            </w:r>
            <w:r>
              <w:rPr>
                <w:rFonts w:ascii="Arial" w:cs="Arial" w:eastAsia="Arial" w:hAnsi="Arial"/>
                <w:sz w:val="15"/>
                <w:szCs w:val="15"/>
                <w:color w:val="auto"/>
              </w:rPr>
              <w:t xml:space="preserve"> B</w:t>
            </w:r>
            <w:r>
              <w:rPr>
                <w:rFonts w:ascii="Arial" w:cs="Arial" w:eastAsia="Arial" w:hAnsi="Arial"/>
                <w:sz w:val="10"/>
                <w:szCs w:val="10"/>
                <w:color w:val="auto"/>
              </w:rPr>
              <w:t>iguet</w:t>
            </w:r>
          </w:p>
        </w:tc>
        <w:tc>
          <w:tcPr>
            <w:tcW w:w="3740" w:type="dxa"/>
            <w:vAlign w:val="bottom"/>
          </w:tcPr>
          <w:p>
            <w:pPr>
              <w:ind w:left="220"/>
              <w:spacing w:after="0"/>
              <w:rPr>
                <w:sz w:val="20"/>
                <w:szCs w:val="20"/>
                <w:color w:val="auto"/>
              </w:rPr>
            </w:pPr>
            <w:r>
              <w:rPr>
                <w:rFonts w:ascii="Arial" w:cs="Arial" w:eastAsia="Arial" w:hAnsi="Arial"/>
                <w:sz w:val="15"/>
                <w:szCs w:val="15"/>
                <w:color w:val="auto"/>
              </w:rPr>
              <w:t>Executive Vice President and Chief Financial Officer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Stephane Biguet</w:t>
            </w:r>
          </w:p>
        </w:tc>
        <w:tc>
          <w:tcPr>
            <w:tcW w:w="3740" w:type="dxa"/>
            <w:vAlign w:val="bottom"/>
          </w:tcPr>
          <w:p>
            <w:pPr>
              <w:ind w:left="220"/>
              <w:spacing w:after="0"/>
              <w:rPr>
                <w:sz w:val="20"/>
                <w:szCs w:val="20"/>
                <w:color w:val="auto"/>
              </w:rPr>
            </w:pPr>
            <w:r>
              <w:rPr>
                <w:rFonts w:ascii="Arial" w:cs="Arial" w:eastAsia="Arial" w:hAnsi="Arial"/>
                <w:sz w:val="15"/>
                <w:szCs w:val="15"/>
                <w:color w:val="auto"/>
              </w:rPr>
              <w:t>(Principal Financial Officer)</w:t>
            </w: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H</w:t>
            </w:r>
            <w:r>
              <w:rPr>
                <w:rFonts w:ascii="Arial" w:cs="Arial" w:eastAsia="Arial" w:hAnsi="Arial"/>
                <w:sz w:val="10"/>
                <w:szCs w:val="10"/>
                <w:color w:val="auto"/>
              </w:rPr>
              <w:t>oward</w:t>
            </w:r>
            <w:r>
              <w:rPr>
                <w:rFonts w:ascii="Arial" w:cs="Arial" w:eastAsia="Arial" w:hAnsi="Arial"/>
                <w:sz w:val="15"/>
                <w:szCs w:val="15"/>
                <w:color w:val="auto"/>
              </w:rPr>
              <w:t xml:space="preserve"> G</w:t>
            </w:r>
            <w:r>
              <w:rPr>
                <w:rFonts w:ascii="Arial" w:cs="Arial" w:eastAsia="Arial" w:hAnsi="Arial"/>
                <w:sz w:val="10"/>
                <w:szCs w:val="10"/>
                <w:color w:val="auto"/>
              </w:rPr>
              <w:t>uild</w:t>
            </w:r>
          </w:p>
        </w:tc>
        <w:tc>
          <w:tcPr>
            <w:tcW w:w="3740" w:type="dxa"/>
            <w:vAlign w:val="bottom"/>
          </w:tcPr>
          <w:p>
            <w:pPr>
              <w:ind w:left="220"/>
              <w:spacing w:after="0"/>
              <w:rPr>
                <w:sz w:val="20"/>
                <w:szCs w:val="20"/>
                <w:color w:val="auto"/>
              </w:rPr>
            </w:pPr>
            <w:r>
              <w:rPr>
                <w:rFonts w:ascii="Arial" w:cs="Arial" w:eastAsia="Arial" w:hAnsi="Arial"/>
                <w:sz w:val="15"/>
                <w:szCs w:val="15"/>
                <w:color w:val="auto"/>
              </w:rPr>
              <w:t>Chief Accounting Officer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Howard Guild</w:t>
            </w:r>
          </w:p>
        </w:tc>
        <w:tc>
          <w:tcPr>
            <w:tcW w:w="3740" w:type="dxa"/>
            <w:vAlign w:val="bottom"/>
          </w:tcPr>
          <w:p>
            <w:pPr>
              <w:ind w:left="220"/>
              <w:spacing w:after="0"/>
              <w:rPr>
                <w:sz w:val="20"/>
                <w:szCs w:val="20"/>
                <w:color w:val="auto"/>
              </w:rPr>
            </w:pPr>
            <w:r>
              <w:rPr>
                <w:rFonts w:ascii="Arial" w:cs="Arial" w:eastAsia="Arial" w:hAnsi="Arial"/>
                <w:sz w:val="15"/>
                <w:szCs w:val="15"/>
                <w:color w:val="auto"/>
              </w:rPr>
              <w:t>(Principal Accounting Officer)</w:t>
            </w: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Peter Coleman</w:t>
            </w:r>
          </w:p>
        </w:tc>
        <w:tc>
          <w:tcPr>
            <w:tcW w:w="3740" w:type="dxa"/>
            <w:vAlign w:val="bottom"/>
          </w:tcPr>
          <w:p>
            <w:pPr>
              <w:spacing w:after="0"/>
              <w:rPr>
                <w:sz w:val="16"/>
                <w:szCs w:val="16"/>
                <w:color w:val="auto"/>
              </w:rPr>
            </w:pP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Patrick de La Chevardière</w:t>
            </w:r>
          </w:p>
        </w:tc>
        <w:tc>
          <w:tcPr>
            <w:tcW w:w="3740" w:type="dxa"/>
            <w:vAlign w:val="bottom"/>
          </w:tcPr>
          <w:p>
            <w:pPr>
              <w:spacing w:after="0"/>
              <w:rPr>
                <w:sz w:val="16"/>
                <w:szCs w:val="16"/>
                <w:color w:val="auto"/>
              </w:rPr>
            </w:pP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Miguel M. Galuccio</w:t>
            </w:r>
          </w:p>
        </w:tc>
        <w:tc>
          <w:tcPr>
            <w:tcW w:w="3740" w:type="dxa"/>
            <w:vAlign w:val="bottom"/>
          </w:tcPr>
          <w:p>
            <w:pPr>
              <w:spacing w:after="0"/>
              <w:rPr>
                <w:sz w:val="16"/>
                <w:szCs w:val="16"/>
                <w:color w:val="auto"/>
              </w:rPr>
            </w:pP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Chairman of the Board</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James Hackett</w:t>
            </w:r>
          </w:p>
        </w:tc>
        <w:tc>
          <w:tcPr>
            <w:tcW w:w="3740" w:type="dxa"/>
            <w:vAlign w:val="bottom"/>
          </w:tcPr>
          <w:p>
            <w:pPr>
              <w:spacing w:after="0"/>
              <w:rPr>
                <w:sz w:val="16"/>
                <w:szCs w:val="16"/>
                <w:color w:val="auto"/>
              </w:rPr>
            </w:pP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Samuel Leupold</w:t>
            </w:r>
          </w:p>
        </w:tc>
        <w:tc>
          <w:tcPr>
            <w:tcW w:w="3740" w:type="dxa"/>
            <w:vAlign w:val="bottom"/>
          </w:tcPr>
          <w:p>
            <w:pPr>
              <w:spacing w:after="0"/>
              <w:rPr>
                <w:sz w:val="16"/>
                <w:szCs w:val="16"/>
                <w:color w:val="auto"/>
              </w:rPr>
            </w:pP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Maria Moræus Hanssen</w:t>
            </w:r>
          </w:p>
        </w:tc>
        <w:tc>
          <w:tcPr>
            <w:tcW w:w="3740" w:type="dxa"/>
            <w:vAlign w:val="bottom"/>
          </w:tcPr>
          <w:p>
            <w:pPr>
              <w:spacing w:after="0"/>
              <w:rPr>
                <w:sz w:val="16"/>
                <w:szCs w:val="16"/>
                <w:color w:val="auto"/>
              </w:rPr>
            </w:pP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Vanitha Narayanan</w:t>
            </w:r>
          </w:p>
        </w:tc>
        <w:tc>
          <w:tcPr>
            <w:tcW w:w="3740" w:type="dxa"/>
            <w:vAlign w:val="bottom"/>
          </w:tcPr>
          <w:p>
            <w:pPr>
              <w:spacing w:after="0"/>
              <w:rPr>
                <w:sz w:val="16"/>
                <w:szCs w:val="16"/>
                <w:color w:val="auto"/>
              </w:rPr>
            </w:pP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740" w:type="dxa"/>
            <w:vAlign w:val="bottom"/>
          </w:tcPr>
          <w:p>
            <w:pPr>
              <w:ind w:left="220"/>
              <w:spacing w:after="0"/>
              <w:rPr>
                <w:sz w:val="20"/>
                <w:szCs w:val="20"/>
                <w:color w:val="auto"/>
              </w:rPr>
            </w:pPr>
            <w:r>
              <w:rPr>
                <w:rFonts w:ascii="Arial" w:cs="Arial" w:eastAsia="Arial" w:hAnsi="Arial"/>
                <w:sz w:val="15"/>
                <w:szCs w:val="15"/>
                <w:color w:val="auto"/>
              </w:rPr>
              <w:t>Director</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Jeff W. Sheets</w:t>
            </w:r>
          </w:p>
        </w:tc>
        <w:tc>
          <w:tcPr>
            <w:tcW w:w="3740" w:type="dxa"/>
            <w:vAlign w:val="bottom"/>
          </w:tcPr>
          <w:p>
            <w:pPr>
              <w:spacing w:after="0"/>
              <w:rPr>
                <w:sz w:val="16"/>
                <w:szCs w:val="16"/>
                <w:color w:val="auto"/>
              </w:rPr>
            </w:pPr>
          </w:p>
        </w:tc>
      </w:tr>
      <w:tr>
        <w:trPr>
          <w:trHeight w:val="333"/>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D</w:t>
            </w:r>
            <w:r>
              <w:rPr>
                <w:rFonts w:ascii="Arial" w:cs="Arial" w:eastAsia="Arial" w:hAnsi="Arial"/>
                <w:sz w:val="10"/>
                <w:szCs w:val="10"/>
                <w:color w:val="auto"/>
              </w:rPr>
              <w:t>ianne</w:t>
            </w:r>
            <w:r>
              <w:rPr>
                <w:rFonts w:ascii="Arial" w:cs="Arial" w:eastAsia="Arial" w:hAnsi="Arial"/>
                <w:sz w:val="15"/>
                <w:szCs w:val="15"/>
                <w:color w:val="auto"/>
              </w:rPr>
              <w:t xml:space="preserve"> B. R</w:t>
            </w:r>
            <w:r>
              <w:rPr>
                <w:rFonts w:ascii="Arial" w:cs="Arial" w:eastAsia="Arial" w:hAnsi="Arial"/>
                <w:sz w:val="10"/>
                <w:szCs w:val="10"/>
                <w:color w:val="auto"/>
              </w:rPr>
              <w:t>alston</w:t>
            </w:r>
          </w:p>
        </w:tc>
        <w:tc>
          <w:tcPr>
            <w:tcW w:w="3740" w:type="dxa"/>
            <w:vAlign w:val="bottom"/>
          </w:tcPr>
          <w:p>
            <w:pPr>
              <w:ind w:left="220"/>
              <w:spacing w:after="0"/>
              <w:rPr>
                <w:sz w:val="20"/>
                <w:szCs w:val="20"/>
                <w:color w:val="auto"/>
              </w:rPr>
            </w:pPr>
            <w:r>
              <w:rPr>
                <w:rFonts w:ascii="Arial" w:cs="Arial" w:eastAsia="Arial" w:hAnsi="Arial"/>
                <w:sz w:val="15"/>
                <w:szCs w:val="15"/>
                <w:color w:val="auto"/>
              </w:rPr>
              <w:t>January 23, 2026</w:t>
            </w:r>
          </w:p>
        </w:tc>
      </w:tr>
      <w:tr>
        <w:trPr>
          <w:trHeight w:val="193"/>
        </w:trPr>
        <w:tc>
          <w:tcPr>
            <w:tcW w:w="5460" w:type="dxa"/>
            <w:vAlign w:val="bottom"/>
          </w:tcPr>
          <w:p>
            <w:pPr>
              <w:jc w:val="center"/>
              <w:spacing w:after="0"/>
              <w:rPr>
                <w:sz w:val="20"/>
                <w:szCs w:val="20"/>
                <w:color w:val="auto"/>
              </w:rPr>
            </w:pPr>
            <w:r>
              <w:rPr>
                <w:rFonts w:ascii="Arial" w:cs="Arial" w:eastAsia="Arial" w:hAnsi="Arial"/>
                <w:sz w:val="15"/>
                <w:szCs w:val="15"/>
                <w:color w:val="auto"/>
              </w:rPr>
              <w:t>*By Dianne B. Ralston, Attorney-in-Fact</w:t>
            </w:r>
          </w:p>
        </w:tc>
        <w:tc>
          <w:tcPr>
            <w:tcW w:w="37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578485</wp:posOffset>
            </wp:positionV>
            <wp:extent cx="7165975" cy="412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DESCRIPTION OF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w:t>
      </w:r>
    </w:p>
    <w:p>
      <w:pPr>
        <w:spacing w:after="0" w:line="204" w:lineRule="exact"/>
        <w:rPr>
          <w:sz w:val="20"/>
          <w:szCs w:val="20"/>
          <w:color w:val="auto"/>
        </w:rPr>
      </w:pPr>
    </w:p>
    <w:p>
      <w:pPr>
        <w:ind w:right="640" w:firstLine="750"/>
        <w:spacing w:after="0" w:line="262" w:lineRule="auto"/>
        <w:rPr>
          <w:sz w:val="20"/>
          <w:szCs w:val="20"/>
          <w:color w:val="auto"/>
        </w:rPr>
      </w:pPr>
      <w:r>
        <w:rPr>
          <w:rFonts w:ascii="Times New Roman" w:cs="Times New Roman" w:eastAsia="Times New Roman" w:hAnsi="Times New Roman"/>
          <w:sz w:val="19"/>
          <w:szCs w:val="19"/>
          <w:color w:val="231F20"/>
        </w:rPr>
        <w:t>We may issue an aggregate of 4,500,000,000 shares of common stock, par value $0.01 per share. We may also issue an aggregate of 200,000,000 shares of preferred stock, par value $0.01 per share. No shares of preferred stock have been issued.</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231F20"/>
        </w:rPr>
        <w:t>The principal United States market for our common stock is the New York Stock Exchange, where it is traded under the symbol “SLB.”</w:t>
      </w:r>
    </w:p>
    <w:p>
      <w:pPr>
        <w:spacing w:after="0" w:line="213" w:lineRule="exact"/>
        <w:rPr>
          <w:sz w:val="20"/>
          <w:szCs w:val="20"/>
          <w:color w:val="auto"/>
        </w:rPr>
      </w:pPr>
    </w:p>
    <w:p>
      <w:pPr>
        <w:ind w:right="160" w:firstLine="750"/>
        <w:spacing w:after="0" w:line="249" w:lineRule="auto"/>
        <w:rPr>
          <w:sz w:val="20"/>
          <w:szCs w:val="20"/>
          <w:color w:val="auto"/>
        </w:rPr>
      </w:pPr>
      <w:r>
        <w:rPr>
          <w:rFonts w:ascii="Times New Roman" w:cs="Times New Roman" w:eastAsia="Times New Roman" w:hAnsi="Times New Roman"/>
          <w:sz w:val="19"/>
          <w:szCs w:val="19"/>
          <w:color w:val="231F20"/>
        </w:rPr>
        <w:t>The following description of our common stock is not complete and is qualified in its entirety by reference to our Articles of Incorporation and Amended and Restated By-Laws, each as amended to date and filed as exhibits to our Annual Reports on Form 10-K and Quarterly Reports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Dividend Rights</w:t>
      </w:r>
    </w:p>
    <w:p>
      <w:pPr>
        <w:spacing w:after="0" w:line="213" w:lineRule="exact"/>
        <w:rPr>
          <w:sz w:val="20"/>
          <w:szCs w:val="20"/>
          <w:color w:val="auto"/>
        </w:rPr>
      </w:pPr>
    </w:p>
    <w:p>
      <w:pPr>
        <w:ind w:right="40" w:firstLine="750"/>
        <w:spacing w:after="0" w:line="241" w:lineRule="auto"/>
        <w:rPr>
          <w:sz w:val="20"/>
          <w:szCs w:val="20"/>
          <w:color w:val="auto"/>
        </w:rPr>
      </w:pPr>
      <w:r>
        <w:rPr>
          <w:rFonts w:ascii="Times New Roman" w:cs="Times New Roman" w:eastAsia="Times New Roman" w:hAnsi="Times New Roman"/>
          <w:sz w:val="19"/>
          <w:szCs w:val="19"/>
          <w:color w:val="231F20"/>
        </w:rPr>
        <w:t>All outstanding shares of common stock (</w:t>
      </w:r>
      <w:r>
        <w:rPr>
          <w:rFonts w:ascii="Times New Roman" w:cs="Times New Roman" w:eastAsia="Times New Roman" w:hAnsi="Times New Roman"/>
          <w:sz w:val="19"/>
          <w:szCs w:val="19"/>
          <w:i w:val="1"/>
          <w:iCs w:val="1"/>
          <w:color w:val="231F20"/>
        </w:rPr>
        <w:t>i.e.</w:t>
      </w:r>
      <w:r>
        <w:rPr>
          <w:rFonts w:ascii="Times New Roman" w:cs="Times New Roman" w:eastAsia="Times New Roman" w:hAnsi="Times New Roman"/>
          <w:sz w:val="19"/>
          <w:szCs w:val="19"/>
          <w:color w:val="231F20"/>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SLB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w:t>
      </w:r>
      <w:r>
        <w:rPr>
          <w:rFonts w:ascii="Times New Roman" w:cs="Times New Roman" w:eastAsia="Times New Roman" w:hAnsi="Times New Roman"/>
          <w:sz w:val="19"/>
          <w:szCs w:val="19"/>
          <w:i w:val="1"/>
          <w:iCs w:val="1"/>
          <w:color w:val="231F20"/>
        </w:rPr>
        <w:t>i.e.</w:t>
      </w:r>
      <w:r>
        <w:rPr>
          <w:rFonts w:ascii="Times New Roman" w:cs="Times New Roman" w:eastAsia="Times New Roman" w:hAnsi="Times New Roman"/>
          <w:sz w:val="19"/>
          <w:szCs w:val="19"/>
          <w:color w:val="231F20"/>
        </w:rPr>
        <w:t>, our net asset value) at least equals the nominal capital (</w:t>
      </w:r>
      <w:r>
        <w:rPr>
          <w:rFonts w:ascii="Times New Roman" w:cs="Times New Roman" w:eastAsia="Times New Roman" w:hAnsi="Times New Roman"/>
          <w:sz w:val="19"/>
          <w:szCs w:val="19"/>
          <w:i w:val="1"/>
          <w:iCs w:val="1"/>
          <w:color w:val="231F20"/>
        </w:rPr>
        <w:t>i.e.</w:t>
      </w:r>
      <w:r>
        <w:rPr>
          <w:rFonts w:ascii="Times New Roman" w:cs="Times New Roman" w:eastAsia="Times New Roman" w:hAnsi="Times New Roman"/>
          <w:sz w:val="19"/>
          <w:szCs w:val="19"/>
          <w:color w:val="231F20"/>
        </w:rPr>
        <w:t>, the aggregate par value of our outstanding shares) and as a result of the distribution will not fall below the nominal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Voting Rights</w:t>
      </w:r>
    </w:p>
    <w:p>
      <w:pPr>
        <w:spacing w:after="0" w:line="213" w:lineRule="exact"/>
        <w:rPr>
          <w:sz w:val="20"/>
          <w:szCs w:val="20"/>
          <w:color w:val="auto"/>
        </w:rPr>
      </w:pPr>
    </w:p>
    <w:p>
      <w:pPr>
        <w:ind w:right="200" w:firstLine="750"/>
        <w:spacing w:after="0" w:line="267" w:lineRule="auto"/>
        <w:rPr>
          <w:sz w:val="20"/>
          <w:szCs w:val="20"/>
          <w:color w:val="auto"/>
        </w:rPr>
      </w:pPr>
      <w:r>
        <w:rPr>
          <w:rFonts w:ascii="Times New Roman" w:cs="Times New Roman" w:eastAsia="Times New Roman" w:hAnsi="Times New Roman"/>
          <w:sz w:val="19"/>
          <w:szCs w:val="19"/>
          <w:i w:val="1"/>
          <w:iCs w:val="1"/>
          <w:color w:val="231F20"/>
        </w:rPr>
        <w:t xml:space="preserve">Entitlement to Vote. </w:t>
      </w:r>
      <w:r>
        <w:rPr>
          <w:rFonts w:ascii="Times New Roman" w:cs="Times New Roman" w:eastAsia="Times New Roman" w:hAnsi="Times New Roman"/>
          <w:sz w:val="19"/>
          <w:szCs w:val="19"/>
          <w:color w:val="231F20"/>
        </w:rPr>
        <w:t>Each holder of common stock and each holder of preferred stock (if issued and outstanding) is entitled to one vote for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each share registered in that holder’s name. Voting rights may be exercised in person or by proxy.</w:t>
      </w:r>
    </w:p>
    <w:p>
      <w:pPr>
        <w:spacing w:after="0" w:line="161" w:lineRule="exact"/>
        <w:rPr>
          <w:sz w:val="20"/>
          <w:szCs w:val="20"/>
          <w:color w:val="auto"/>
        </w:rPr>
      </w:pPr>
    </w:p>
    <w:p>
      <w:pPr>
        <w:ind w:right="80" w:firstLine="750"/>
        <w:spacing w:after="0" w:line="242" w:lineRule="auto"/>
        <w:rPr>
          <w:sz w:val="20"/>
          <w:szCs w:val="20"/>
          <w:color w:val="auto"/>
        </w:rPr>
      </w:pPr>
      <w:r>
        <w:rPr>
          <w:rFonts w:ascii="Times New Roman" w:cs="Times New Roman" w:eastAsia="Times New Roman" w:hAnsi="Times New Roman"/>
          <w:sz w:val="19"/>
          <w:szCs w:val="19"/>
          <w:i w:val="1"/>
          <w:iCs w:val="1"/>
          <w:color w:val="231F20"/>
        </w:rPr>
        <w:t xml:space="preserve">Quorum. </w:t>
      </w:r>
      <w:r>
        <w:rPr>
          <w:rFonts w:ascii="Times New Roman" w:cs="Times New Roman" w:eastAsia="Times New Roman" w:hAnsi="Times New Roman"/>
          <w:sz w:val="19"/>
          <w:szCs w:val="19"/>
          <w:color w:val="231F20"/>
        </w:rPr>
        <w:t>No action may be taken at any general meeting of SLB stockholders unless a quorum consisting of the holders of at least one-half</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of the outstanding shares entitling the holders thereof to vote at such meeting are present at such meeting in person or by proxy. If a quorum is not present in person or by proxy at any general meeting of SLB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SLB stockholders despite the absence of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829310</wp:posOffset>
            </wp:positionV>
            <wp:extent cx="7165975" cy="412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353" w:lineRule="exact"/>
        <w:rPr>
          <w:sz w:val="20"/>
          <w:szCs w:val="20"/>
          <w:color w:val="auto"/>
        </w:rPr>
      </w:pPr>
    </w:p>
    <w:p>
      <w:pPr>
        <w:ind w:right="740" w:firstLine="750"/>
        <w:spacing w:after="0" w:line="267" w:lineRule="auto"/>
        <w:rPr>
          <w:sz w:val="20"/>
          <w:szCs w:val="20"/>
          <w:color w:val="auto"/>
        </w:rPr>
      </w:pPr>
      <w:r>
        <w:rPr>
          <w:rFonts w:ascii="Times New Roman" w:cs="Times New Roman" w:eastAsia="Times New Roman" w:hAnsi="Times New Roman"/>
          <w:sz w:val="19"/>
          <w:szCs w:val="19"/>
          <w:i w:val="1"/>
          <w:iCs w:val="1"/>
          <w:color w:val="231F20"/>
        </w:rPr>
        <w:t xml:space="preserve">Required Vote. </w:t>
      </w:r>
      <w:r>
        <w:rPr>
          <w:rFonts w:ascii="Times New Roman" w:cs="Times New Roman" w:eastAsia="Times New Roman" w:hAnsi="Times New Roman"/>
          <w:sz w:val="19"/>
          <w:szCs w:val="19"/>
          <w:color w:val="231F20"/>
        </w:rPr>
        <w:t>In general, any action requiring the approval of SLB stockholders may be authorized by a majority of the votes cast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(excluding any abstentions) at any meeting at which a quorum is present (subject to the quorum exception described above).</w:t>
      </w:r>
    </w:p>
    <w:p>
      <w:pPr>
        <w:spacing w:after="0" w:line="165" w:lineRule="exact"/>
        <w:rPr>
          <w:sz w:val="20"/>
          <w:szCs w:val="20"/>
          <w:color w:val="auto"/>
        </w:rPr>
      </w:pPr>
    </w:p>
    <w:p>
      <w:pPr>
        <w:jc w:val="both"/>
        <w:ind w:right="20" w:firstLine="750"/>
        <w:spacing w:after="0" w:line="249" w:lineRule="auto"/>
        <w:rPr>
          <w:sz w:val="20"/>
          <w:szCs w:val="20"/>
          <w:color w:val="auto"/>
        </w:rPr>
      </w:pPr>
      <w:r>
        <w:rPr>
          <w:rFonts w:ascii="Times New Roman" w:cs="Times New Roman" w:eastAsia="Times New Roman" w:hAnsi="Times New Roman"/>
          <w:sz w:val="19"/>
          <w:szCs w:val="19"/>
          <w:color w:val="231F20"/>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70" w:lineRule="exact"/>
        <w:rPr>
          <w:sz w:val="20"/>
          <w:szCs w:val="20"/>
          <w:color w:val="auto"/>
        </w:rPr>
      </w:pPr>
    </w:p>
    <w:p>
      <w:pPr>
        <w:ind w:right="20" w:firstLine="750"/>
        <w:spacing w:after="0" w:line="245" w:lineRule="auto"/>
        <w:rPr>
          <w:sz w:val="20"/>
          <w:szCs w:val="20"/>
          <w:color w:val="auto"/>
        </w:rPr>
      </w:pPr>
      <w:r>
        <w:rPr>
          <w:rFonts w:ascii="Times New Roman" w:cs="Times New Roman" w:eastAsia="Times New Roman" w:hAnsi="Times New Roman"/>
          <w:sz w:val="19"/>
          <w:szCs w:val="19"/>
          <w:color w:val="231F20"/>
        </w:rPr>
        <w:t>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SLB stockholders in our assets.</w:t>
      </w:r>
    </w:p>
    <w:p>
      <w:pPr>
        <w:spacing w:after="0" w:line="187" w:lineRule="exact"/>
        <w:rPr>
          <w:sz w:val="20"/>
          <w:szCs w:val="20"/>
          <w:color w:val="auto"/>
        </w:rPr>
      </w:pPr>
    </w:p>
    <w:p>
      <w:pPr>
        <w:ind w:right="180" w:firstLine="750"/>
        <w:spacing w:after="0" w:line="249" w:lineRule="auto"/>
        <w:rPr>
          <w:sz w:val="20"/>
          <w:szCs w:val="20"/>
          <w:color w:val="auto"/>
        </w:rPr>
      </w:pPr>
      <w:r>
        <w:rPr>
          <w:rFonts w:ascii="Times New Roman" w:cs="Times New Roman" w:eastAsia="Times New Roman" w:hAnsi="Times New Roman"/>
          <w:sz w:val="19"/>
          <w:szCs w:val="19"/>
          <w:color w:val="231F20"/>
        </w:rPr>
        <w:t>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Preemptive and Other Rights</w:t>
      </w:r>
    </w:p>
    <w:p>
      <w:pPr>
        <w:spacing w:after="0" w:line="217" w:lineRule="exact"/>
        <w:rPr>
          <w:sz w:val="20"/>
          <w:szCs w:val="20"/>
          <w:color w:val="auto"/>
        </w:rPr>
      </w:pPr>
    </w:p>
    <w:p>
      <w:pPr>
        <w:ind w:right="340" w:firstLine="750"/>
        <w:spacing w:after="0" w:line="245" w:lineRule="auto"/>
        <w:rPr>
          <w:sz w:val="20"/>
          <w:szCs w:val="20"/>
          <w:color w:val="auto"/>
        </w:rPr>
      </w:pPr>
      <w:r>
        <w:rPr>
          <w:rFonts w:ascii="Times New Roman" w:cs="Times New Roman" w:eastAsia="Times New Roman" w:hAnsi="Times New Roman"/>
          <w:sz w:val="19"/>
          <w:szCs w:val="19"/>
          <w:color w:val="231F20"/>
        </w:rPr>
        <w:t>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Rights upon Liquidation</w:t>
      </w:r>
    </w:p>
    <w:p>
      <w:pPr>
        <w:spacing w:after="0" w:line="217" w:lineRule="exact"/>
        <w:rPr>
          <w:sz w:val="20"/>
          <w:szCs w:val="20"/>
          <w:color w:val="auto"/>
        </w:rPr>
      </w:pPr>
    </w:p>
    <w:p>
      <w:pPr>
        <w:ind w:right="640" w:firstLine="750"/>
        <w:spacing w:after="0" w:line="262" w:lineRule="auto"/>
        <w:rPr>
          <w:sz w:val="20"/>
          <w:szCs w:val="20"/>
          <w:color w:val="auto"/>
        </w:rPr>
      </w:pPr>
      <w:r>
        <w:rPr>
          <w:rFonts w:ascii="Times New Roman" w:cs="Times New Roman" w:eastAsia="Times New Roman" w:hAnsi="Times New Roman"/>
          <w:sz w:val="19"/>
          <w:szCs w:val="19"/>
          <w:color w:val="231F20"/>
        </w:rPr>
        <w:t>In the event of liquidation, each share of common stock is entitled to equal rights after satisfaction of any preferred stock liquidation preference.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Repurchases of Common Stock</w:t>
      </w:r>
    </w:p>
    <w:p>
      <w:pPr>
        <w:spacing w:after="0" w:line="217" w:lineRule="exact"/>
        <w:rPr>
          <w:sz w:val="20"/>
          <w:szCs w:val="20"/>
          <w:color w:val="auto"/>
        </w:rPr>
      </w:pPr>
    </w:p>
    <w:p>
      <w:pPr>
        <w:ind w:right="200" w:firstLine="750"/>
        <w:spacing w:after="0" w:line="262" w:lineRule="auto"/>
        <w:rPr>
          <w:sz w:val="20"/>
          <w:szCs w:val="20"/>
          <w:color w:val="auto"/>
        </w:rPr>
      </w:pPr>
      <w:r>
        <w:rPr>
          <w:rFonts w:ascii="Times New Roman" w:cs="Times New Roman" w:eastAsia="Times New Roman" w:hAnsi="Times New Roman"/>
          <w:sz w:val="19"/>
          <w:szCs w:val="19"/>
          <w:color w:val="231F20"/>
        </w:rPr>
        <w:t>We may for our own account purchase shares of common stock so long as one share of common stock remains outstanding and our equity before and after such a purchase at least equals its nominal capital.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Governance Provisions and Anti-Takeover Effects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Available but Unissued Preferred Stock</w:t>
      </w:r>
    </w:p>
    <w:p>
      <w:pPr>
        <w:spacing w:after="0" w:line="219" w:lineRule="exact"/>
        <w:rPr>
          <w:sz w:val="20"/>
          <w:szCs w:val="20"/>
          <w:color w:val="auto"/>
        </w:rPr>
      </w:pPr>
    </w:p>
    <w:p>
      <w:pPr>
        <w:ind w:firstLine="750"/>
        <w:spacing w:after="0" w:line="245" w:lineRule="auto"/>
        <w:rPr>
          <w:sz w:val="20"/>
          <w:szCs w:val="20"/>
          <w:color w:val="auto"/>
        </w:rPr>
      </w:pPr>
      <w:r>
        <w:rPr>
          <w:rFonts w:ascii="Times New Roman" w:cs="Times New Roman" w:eastAsia="Times New Roman" w:hAnsi="Times New Roman"/>
          <w:sz w:val="19"/>
          <w:szCs w:val="19"/>
          <w:color w:val="231F20"/>
        </w:rPr>
        <w:t>The board of directors has the authority to issue shares of preferred stock in one or more series with such terms as the board determines, provided that they satisfy the provisions set forth in our Articles of Incorporation, including that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699135</wp:posOffset>
            </wp:positionV>
            <wp:extent cx="7165975" cy="412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35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color w:val="231F20"/>
        </w:rPr>
        <w:t>receive certain liquidation preferences, (5) may contain provisions allowing it to be converted into common stock or certain other securities, and (6) may contain optional or mandatory redemption provisions.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Election and Removal of Directors</w:t>
      </w:r>
    </w:p>
    <w:p>
      <w:pPr>
        <w:spacing w:after="0" w:line="219" w:lineRule="exact"/>
        <w:rPr>
          <w:sz w:val="20"/>
          <w:szCs w:val="20"/>
          <w:color w:val="auto"/>
        </w:rPr>
      </w:pPr>
    </w:p>
    <w:p>
      <w:pPr>
        <w:ind w:right="80" w:firstLine="750"/>
        <w:spacing w:after="0" w:line="239" w:lineRule="auto"/>
        <w:rPr>
          <w:sz w:val="20"/>
          <w:szCs w:val="20"/>
          <w:color w:val="auto"/>
        </w:rPr>
      </w:pPr>
      <w:r>
        <w:rPr>
          <w:rFonts w:ascii="Times New Roman" w:cs="Times New Roman" w:eastAsia="Times New Roman" w:hAnsi="Times New Roman"/>
          <w:sz w:val="19"/>
          <w:szCs w:val="19"/>
          <w:color w:val="231F20"/>
        </w:rPr>
        <w:t>Directors are elected at a general meeting of stockholders by a majority of votes cast by stockholders entitled to vote, except that directors are to be elected by a plurality of voting power in certain elections where the number of nominees exceeds the number of directors to be elected. The number of directors constituting the whole board of directors may not be fewer than five nor more than 24, as fixed from time to time by the board of directors, subject to approval of stockholders of the Company. The maximum number of persons constituting the whole board of directors will, until changed at any succeeding general meeting of stockholders, be the number so fixed. If the number of directors elected by stockholders is smaller than the maximum number of directors as fixed by the board of directors in accordance with our Articles of Incorporation, the board of directors may be authorized, but not obligated, to appoint additional directors such that the total number of directors does not exceed the maximum number of directors as fixed by the board of directors and approved by our stockholders, any such appointment to be effective until the next annual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Stockholder Meetings</w:t>
      </w:r>
    </w:p>
    <w:p>
      <w:pPr>
        <w:spacing w:after="0" w:line="219" w:lineRule="exact"/>
        <w:rPr>
          <w:sz w:val="20"/>
          <w:szCs w:val="20"/>
          <w:color w:val="auto"/>
        </w:rPr>
      </w:pPr>
    </w:p>
    <w:p>
      <w:pPr>
        <w:ind w:right="60" w:firstLine="750"/>
        <w:spacing w:after="0" w:line="239" w:lineRule="auto"/>
        <w:rPr>
          <w:sz w:val="20"/>
          <w:szCs w:val="20"/>
          <w:color w:val="auto"/>
        </w:rPr>
      </w:pPr>
      <w:r>
        <w:rPr>
          <w:rFonts w:ascii="Times New Roman" w:cs="Times New Roman" w:eastAsia="Times New Roman" w:hAnsi="Times New Roman"/>
          <w:sz w:val="19"/>
          <w:szCs w:val="19"/>
          <w:color w:val="231F20"/>
        </w:rPr>
        <w:t>In accordance with applicable law, all general meetings of SLB stockholders must be held in Curaçao. The annual general meeting of SLB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SLB stockholders may be called at any time upon the direction of the Chairman, the Vice Chairman, the Chief Executive Officer, the President or the board of directors. Special general meetings of stockholders may also be called (i) by one or more SLB stockholders representing at least 10% of the votes that can be cast on the topics they wish to be addressed at such meeting and that have a reasonable interest in having such meeting convened, (ii) by one or more holders of shares representing in the aggregate a majority of shares then outstanding and (iii) in certain circumstances if all of the directors are prevented from or incapable of serving, by any person or persons holding in the aggregate at least 5% of the outstanding shares of common stock for the purpose of electing a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Stockholder Action by Written Consent</w:t>
      </w:r>
    </w:p>
    <w:p>
      <w:pPr>
        <w:spacing w:after="0" w:line="206" w:lineRule="exact"/>
        <w:rPr>
          <w:sz w:val="20"/>
          <w:szCs w:val="20"/>
          <w:color w:val="auto"/>
        </w:rPr>
      </w:pPr>
    </w:p>
    <w:p>
      <w:pPr>
        <w:ind w:right="100" w:firstLine="750"/>
        <w:spacing w:after="0" w:line="262" w:lineRule="auto"/>
        <w:rPr>
          <w:sz w:val="20"/>
          <w:szCs w:val="20"/>
          <w:color w:val="auto"/>
        </w:rPr>
      </w:pPr>
      <w:r>
        <w:rPr>
          <w:rFonts w:ascii="Times New Roman" w:cs="Times New Roman" w:eastAsia="Times New Roman" w:hAnsi="Times New Roman"/>
          <w:sz w:val="19"/>
          <w:szCs w:val="19"/>
          <w:color w:val="231F20"/>
        </w:rPr>
        <w:t>Under Curaçao law, stockholders may not act by written consent without a meeting, unless all directors and all stockholders entitled to vote on the matter have consented to the taking of such action by the general meeting of stockholders by written consent.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Notice Requirements for Stockholder Business and Nominations</w:t>
      </w:r>
    </w:p>
    <w:p>
      <w:pPr>
        <w:spacing w:after="0" w:line="219" w:lineRule="exact"/>
        <w:rPr>
          <w:sz w:val="20"/>
          <w:szCs w:val="20"/>
          <w:color w:val="auto"/>
        </w:rPr>
      </w:pPr>
    </w:p>
    <w:p>
      <w:pPr>
        <w:ind w:right="160" w:firstLine="750"/>
        <w:spacing w:after="0" w:line="249" w:lineRule="auto"/>
        <w:rPr>
          <w:sz w:val="20"/>
          <w:szCs w:val="20"/>
          <w:color w:val="auto"/>
        </w:rPr>
      </w:pPr>
      <w:r>
        <w:rPr>
          <w:rFonts w:ascii="Times New Roman" w:cs="Times New Roman" w:eastAsia="Times New Roman" w:hAnsi="Times New Roman"/>
          <w:sz w:val="19"/>
          <w:szCs w:val="19"/>
          <w:color w:val="231F20"/>
        </w:rPr>
        <w:t>For stockholder proposals to be introduced for consideration at an annual general meeting of stockholders other than pursuant to Securities Exchange Act Rule 14a-8 and for stockholder candidates to be nominated for election as directors other than pursuant to our proxy access bylaw provisions, notice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697230</wp:posOffset>
            </wp:positionV>
            <wp:extent cx="7165975" cy="412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35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9"/>
          <w:szCs w:val="19"/>
          <w:color w:val="231F20"/>
        </w:rPr>
        <w:t>must be delivered to the Secretary of SLB at our executive offices not later than 120 days nor earlier than 150 days before the first anniversary of the date of the preceding year’s annual general meeting of stockholders. Any such notice must otherwise satisfy the requirements of our Restated By-Laws.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Amendments to the Restated By-Laws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231F20"/>
        </w:rPr>
        <w:t>The Restated By-Laws may be amended only by the vote of a majority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Buy-Out</w:t>
      </w:r>
    </w:p>
    <w:p>
      <w:pPr>
        <w:spacing w:after="0" w:line="219" w:lineRule="exact"/>
        <w:rPr>
          <w:sz w:val="20"/>
          <w:szCs w:val="20"/>
          <w:color w:val="auto"/>
        </w:rPr>
      </w:pPr>
    </w:p>
    <w:p>
      <w:pPr>
        <w:ind w:right="60" w:firstLine="750"/>
        <w:spacing w:after="0" w:line="241" w:lineRule="auto"/>
        <w:rPr>
          <w:sz w:val="20"/>
          <w:szCs w:val="20"/>
          <w:color w:val="auto"/>
        </w:rPr>
      </w:pPr>
      <w:r>
        <w:rPr>
          <w:rFonts w:ascii="Times New Roman" w:cs="Times New Roman" w:eastAsia="Times New Roman" w:hAnsi="Times New Roman"/>
          <w:sz w:val="19"/>
          <w:szCs w:val="19"/>
          <w:color w:val="231F20"/>
        </w:rPr>
        <w:t>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701675</wp:posOffset>
            </wp:positionV>
            <wp:extent cx="7165975" cy="412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9"/>
          <w:szCs w:val="19"/>
          <w:b w:val="1"/>
          <w:bCs w:val="1"/>
          <w:color w:val="auto"/>
        </w:rPr>
        <w:t>Exhibit 10.11</w:t>
      </w:r>
    </w:p>
    <w:p>
      <w:pPr>
        <w:spacing w:after="0" w:line="391"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9"/>
          <w:szCs w:val="19"/>
          <w:b w:val="1"/>
          <w:bCs w:val="1"/>
          <w:color w:val="auto"/>
        </w:rPr>
        <w:t>SLB [</w:t>
      </w:r>
      <w:r>
        <w:rPr>
          <w:sz w:val="20"/>
          <w:szCs w:val="20"/>
          <w:color w:val="auto"/>
        </w:rPr>
        <w:tab/>
      </w:r>
      <w:r>
        <w:rPr>
          <w:rFonts w:ascii="Times New Roman" w:cs="Times New Roman" w:eastAsia="Times New Roman" w:hAnsi="Times New Roman"/>
          <w:sz w:val="18"/>
          <w:szCs w:val="18"/>
          <w:b w:val="1"/>
          <w:bCs w:val="1"/>
          <w:color w:val="auto"/>
        </w:rPr>
        <w:t>] OMNIBUS STOCK INCENTIVE PLAN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AWARD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(Includes Confidentiality, Intellectual Property, Non-Competition,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 Non-Solicitation Provisions in Section 7 and Attachment I)</w:t>
      </w:r>
    </w:p>
    <w:p>
      <w:pPr>
        <w:spacing w:after="0" w:line="189" w:lineRule="exact"/>
        <w:rPr>
          <w:sz w:val="20"/>
          <w:szCs w:val="20"/>
          <w:color w:val="auto"/>
        </w:rPr>
      </w:pPr>
    </w:p>
    <w:p>
      <w:pPr>
        <w:ind w:left="4660"/>
        <w:spacing w:after="0"/>
        <w:tabs>
          <w:tab w:leader="none" w:pos="6500" w:val="left"/>
        </w:tabs>
        <w:rPr>
          <w:sz w:val="20"/>
          <w:szCs w:val="20"/>
          <w:color w:val="auto"/>
        </w:rPr>
      </w:pPr>
      <w:r>
        <w:rPr>
          <w:rFonts w:ascii="Times New Roman" w:cs="Times New Roman" w:eastAsia="Times New Roman" w:hAnsi="Times New Roman"/>
          <w:sz w:val="19"/>
          <w:szCs w:val="19"/>
          <w:b w:val="1"/>
          <w:bCs w:val="1"/>
          <w:color w:val="auto"/>
        </w:rPr>
        <w:t>Effective Date: [</w:t>
      </w:r>
      <w:r>
        <w:rPr>
          <w:sz w:val="20"/>
          <w:szCs w:val="20"/>
          <w:color w:val="auto"/>
        </w:rPr>
        <w:tab/>
      </w:r>
      <w:r>
        <w:rPr>
          <w:rFonts w:ascii="Times New Roman" w:cs="Times New Roman" w:eastAsia="Times New Roman" w:hAnsi="Times New Roman"/>
          <w:sz w:val="18"/>
          <w:szCs w:val="18"/>
          <w:b w:val="1"/>
          <w:bCs w:val="1"/>
          <w:color w:val="auto"/>
        </w:rPr>
        <w:t>]</w:t>
      </w:r>
    </w:p>
    <w:p>
      <w:pPr>
        <w:spacing w:after="0" w:line="211" w:lineRule="exact"/>
        <w:rPr>
          <w:sz w:val="20"/>
          <w:szCs w:val="20"/>
          <w:color w:val="auto"/>
        </w:rPr>
      </w:pPr>
    </w:p>
    <w:p>
      <w:pPr>
        <w:jc w:val="center"/>
        <w:ind w:right="4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 xml:space="preserve">Please note: </w:t>
      </w:r>
      <w:r>
        <w:rPr>
          <w:rFonts w:ascii="Times New Roman" w:cs="Times New Roman" w:eastAsia="Times New Roman" w:hAnsi="Times New Roman"/>
          <w:sz w:val="19"/>
          <w:szCs w:val="19"/>
          <w:i w:val="1"/>
          <w:iCs w:val="1"/>
          <w:color w:val="auto"/>
        </w:rPr>
        <w:t>If you do not wish to accept this Restricted Stock Unit Award Agreement, you must notify the Stock Department no later than 30 days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after this Agreement is made available to you.</w:t>
      </w:r>
    </w:p>
    <w:p>
      <w:pPr>
        <w:spacing w:after="0" w:line="379" w:lineRule="exact"/>
        <w:rPr>
          <w:sz w:val="20"/>
          <w:szCs w:val="20"/>
          <w:color w:val="auto"/>
        </w:rPr>
      </w:pPr>
    </w:p>
    <w:p>
      <w:pPr>
        <w:jc w:val="both"/>
        <w:ind w:firstLine="372"/>
        <w:spacing w:after="0" w:line="242" w:lineRule="auto"/>
        <w:rPr>
          <w:sz w:val="20"/>
          <w:szCs w:val="20"/>
          <w:color w:val="auto"/>
        </w:rPr>
      </w:pPr>
      <w:r>
        <w:rPr>
          <w:rFonts w:ascii="Times New Roman" w:cs="Times New Roman" w:eastAsia="Times New Roman" w:hAnsi="Times New Roman"/>
          <w:sz w:val="19"/>
          <w:szCs w:val="19"/>
          <w:color w:val="auto"/>
        </w:rPr>
        <w:t>SLB LIMITED, a Curaçao corporation (the “Company”), hereby grants to the employee named in the Notice of Grant of Award (“Employee”) restricted stock units (“Restricted Stock Units” or “RSUs”) pursuant to this award agreement (as may be amended, the “Agreement”) (the “Award Notice”). Your RSUs are granted pursuant to the SLB [ ] Omnibus Stock Incentive Plan, as may be amended (the “Plan”). Restricted Stock Units are notional units of measurement denominated in shares of common stock of the Company, $.01 par value per share (“Common Stock”). Each Restricted Stock Unit represents a hypothetical share of Common Stock, subject to the conditions and restrictions on transferability set forth herein and in the Plan.</w:t>
      </w:r>
    </w:p>
    <w:p>
      <w:pPr>
        <w:spacing w:after="0" w:line="176" w:lineRule="exact"/>
        <w:rPr>
          <w:sz w:val="20"/>
          <w:szCs w:val="20"/>
          <w:color w:val="auto"/>
        </w:rPr>
      </w:pPr>
    </w:p>
    <w:p>
      <w:pPr>
        <w:ind w:firstLine="751"/>
        <w:spacing w:after="0" w:line="262" w:lineRule="auto"/>
        <w:tabs>
          <w:tab w:leader="none" w:pos="101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of Restricted Stock Units</w:t>
      </w:r>
      <w:r>
        <w:rPr>
          <w:rFonts w:ascii="Times New Roman" w:cs="Times New Roman" w:eastAsia="Times New Roman" w:hAnsi="Times New Roman"/>
          <w:sz w:val="19"/>
          <w:szCs w:val="19"/>
          <w:color w:val="auto"/>
        </w:rPr>
        <w:t>. The period of time between the grant date specified in the Award Notice (the “Grant Date”) and the vesting of Restricted Stock Units (and the termination of restrictions thereon) is the “Restricted Period.”</w:t>
      </w:r>
    </w:p>
    <w:p>
      <w:pPr>
        <w:spacing w:after="0" w:line="158" w:lineRule="exact"/>
        <w:rPr>
          <w:sz w:val="20"/>
          <w:szCs w:val="20"/>
          <w:color w:val="auto"/>
        </w:rPr>
      </w:pPr>
    </w:p>
    <w:p>
      <w:pPr>
        <w:ind w:firstLine="751"/>
        <w:spacing w:after="0" w:line="262" w:lineRule="auto"/>
        <w:tabs>
          <w:tab w:leader="none" w:pos="101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Normal Vesting</w:t>
      </w:r>
      <w:r>
        <w:rPr>
          <w:rFonts w:ascii="Times New Roman" w:cs="Times New Roman" w:eastAsia="Times New Roman" w:hAnsi="Times New Roman"/>
          <w:sz w:val="19"/>
          <w:szCs w:val="19"/>
          <w:color w:val="auto"/>
        </w:rPr>
        <w:t>. The Restricted Stock Units will vest in a single vesting on the third anniversary of the Grant Date (“Vesting Date”), provided that the Employee has been continuously employed by the Company or any of its Subsidiaries from the Grant Date to the Vesting Date.</w:t>
      </w:r>
    </w:p>
    <w:p>
      <w:pPr>
        <w:spacing w:after="0" w:line="158" w:lineRule="exact"/>
        <w:rPr>
          <w:sz w:val="20"/>
          <w:szCs w:val="20"/>
          <w:color w:val="auto"/>
        </w:rPr>
      </w:pPr>
    </w:p>
    <w:p>
      <w:pPr>
        <w:jc w:val="both"/>
        <w:ind w:firstLine="750"/>
        <w:spacing w:after="0" w:line="245" w:lineRule="auto"/>
        <w:rPr>
          <w:sz w:val="20"/>
          <w:szCs w:val="20"/>
          <w:color w:val="auto"/>
        </w:rPr>
      </w:pPr>
      <w:r>
        <w:rPr>
          <w:rFonts w:ascii="Times New Roman" w:cs="Times New Roman" w:eastAsia="Times New Roman" w:hAnsi="Times New Roman"/>
          <w:sz w:val="19"/>
          <w:szCs w:val="19"/>
          <w:color w:val="auto"/>
        </w:rPr>
        <w:t>Except as provided in Section 1(b) or 1(c) below, if there is any Termination of Employment (as defined in Section 11 below) during the period from and between the Grant Date until and including the Vesting Date, Employee will immediately and automatically forfeit all Restricted Stock Units that have yet to vest as of such date. Any questions as to whether and when there has been a Termination of Employment, and the cause of such termination, will be resolved by the Committee (as defined in Section 11 below), and its determination will be final.</w:t>
      </w:r>
    </w:p>
    <w:p>
      <w:pPr>
        <w:spacing w:after="0" w:line="174" w:lineRule="exact"/>
        <w:rPr>
          <w:sz w:val="20"/>
          <w:szCs w:val="20"/>
          <w:color w:val="auto"/>
        </w:rPr>
      </w:pPr>
    </w:p>
    <w:p>
      <w:pPr>
        <w:jc w:val="both"/>
        <w:ind w:firstLine="751"/>
        <w:spacing w:after="0" w:line="245" w:lineRule="auto"/>
        <w:tabs>
          <w:tab w:leader="none" w:pos="101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Acceleration on Death or Disability</w:t>
      </w:r>
      <w:r>
        <w:rPr>
          <w:rFonts w:ascii="Times New Roman" w:cs="Times New Roman" w:eastAsia="Times New Roman" w:hAnsi="Times New Roman"/>
          <w:sz w:val="19"/>
          <w:szCs w:val="19"/>
          <w:color w:val="auto"/>
        </w:rPr>
        <w:t>. Upon Termination of Employment by reason of Employee’s death or Disability (as defined in Section 11 below) or upon Employee’s Disability prior to Termination of Employment (as determined by the Committee and within the meaning of Section 409A of the U.S. Internal Revenue Code (the “Code”)), all Restricted Stock Units that are not vested at that time immediately and automatically will become vested in full.</w:t>
      </w:r>
    </w:p>
    <w:p>
      <w:pPr>
        <w:spacing w:after="0" w:line="174" w:lineRule="exact"/>
        <w:rPr>
          <w:rFonts w:ascii="Times New Roman" w:cs="Times New Roman" w:eastAsia="Times New Roman" w:hAnsi="Times New Roman"/>
          <w:sz w:val="19"/>
          <w:szCs w:val="19"/>
          <w:color w:val="auto"/>
        </w:rPr>
      </w:pPr>
    </w:p>
    <w:p>
      <w:pPr>
        <w:jc w:val="both"/>
        <w:ind w:firstLine="751"/>
        <w:spacing w:after="0" w:line="245" w:lineRule="auto"/>
        <w:tabs>
          <w:tab w:leader="none" w:pos="101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Retirement</w:t>
      </w:r>
      <w:r>
        <w:rPr>
          <w:rFonts w:ascii="Times New Roman" w:cs="Times New Roman" w:eastAsia="Times New Roman" w:hAnsi="Times New Roman"/>
          <w:sz w:val="19"/>
          <w:szCs w:val="19"/>
          <w:color w:val="auto"/>
        </w:rPr>
        <w:t>. Upon Termination of Employment from the Company and its Subsidiaries by reason of Employee’s Retirement (as defined in Section 11 below), the Restricted Stock Units will continue to vest following Termination of Employment as if Employee continued to be employed with the Company or any of its Subsidiaries, subject to forfeiture in the discretion of the Committee in the event that Employee engages in Detrimental Activity (as defined in Section 11 below).</w:t>
      </w:r>
    </w:p>
    <w:p>
      <w:pPr>
        <w:spacing w:after="0" w:line="174" w:lineRule="exact"/>
        <w:rPr>
          <w:sz w:val="20"/>
          <w:szCs w:val="20"/>
          <w:color w:val="auto"/>
        </w:rPr>
      </w:pPr>
    </w:p>
    <w:p>
      <w:pPr>
        <w:jc w:val="both"/>
        <w:ind w:firstLine="751"/>
        <w:spacing w:after="0" w:line="249" w:lineRule="auto"/>
        <w:tabs>
          <w:tab w:leader="none" w:pos="101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 of Restricted Stock Units</w:t>
      </w:r>
      <w:r>
        <w:rPr>
          <w:rFonts w:ascii="Times New Roman" w:cs="Times New Roman" w:eastAsia="Times New Roman" w:hAnsi="Times New Roman"/>
          <w:sz w:val="19"/>
          <w:szCs w:val="19"/>
          <w:color w:val="auto"/>
        </w:rPr>
        <w:t>. If Employee’s Restricted Stock Units vest in accordance with the normal vesting schedule described in the first sentence of Section 1(a) above or pursuant to Section 1(b) above, payment of vested Restricted Stock Units will be made as soon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73" w:name="page74"/>
    <w:bookmarkEnd w:id="73"/>
    <w:p>
      <w:pPr>
        <w:jc w:val="both"/>
        <w:spacing w:after="0" w:line="270" w:lineRule="auto"/>
        <w:rPr>
          <w:sz w:val="20"/>
          <w:szCs w:val="20"/>
          <w:color w:val="auto"/>
        </w:rPr>
      </w:pPr>
      <w:r>
        <w:rPr>
          <w:rFonts w:ascii="Times New Roman" w:cs="Times New Roman" w:eastAsia="Times New Roman" w:hAnsi="Times New Roman"/>
          <w:sz w:val="18"/>
          <w:szCs w:val="18"/>
          <w:color w:val="auto"/>
        </w:rPr>
        <w:t>administratively practicable, but in no event later than 45 days following the date that the Restricted Stock Units vest (the date of any such payment, the “Settlement Date”). Notwithstanding the foregoing, the Committee may, in its sole and absolute discretion, settle the vested Restricted Stock Units in cash based on the Fair Market Value (as defined in Section 11 below) of the shares of Common Stock on the settlement date.</w:t>
      </w:r>
    </w:p>
    <w:p>
      <w:pPr>
        <w:spacing w:after="0" w:line="152" w:lineRule="exact"/>
        <w:rPr>
          <w:sz w:val="20"/>
          <w:szCs w:val="20"/>
          <w:color w:val="auto"/>
        </w:rPr>
      </w:pPr>
    </w:p>
    <w:p>
      <w:pPr>
        <w:ind w:left="1020" w:hanging="269"/>
        <w:spacing w:after="0"/>
        <w:tabs>
          <w:tab w:leader="none" w:pos="10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Forfeitures of Restricted Stock Units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5" w:lineRule="auto"/>
        <w:tabs>
          <w:tab w:leader="none" w:pos="112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during the Restricted Period, upon a Termination of Employment for any reason that does not result in an acceleration or continuation of vesting pursuant to Section 1, Employee will immediately and automatically forfeit all unvested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74" w:lineRule="exact"/>
        <w:rPr>
          <w:rFonts w:ascii="Times New Roman" w:cs="Times New Roman" w:eastAsia="Times New Roman" w:hAnsi="Times New Roman"/>
          <w:sz w:val="19"/>
          <w:szCs w:val="19"/>
          <w:color w:val="auto"/>
        </w:rPr>
      </w:pPr>
    </w:p>
    <w:p>
      <w:pPr>
        <w:jc w:val="both"/>
        <w:ind w:firstLine="751"/>
        <w:spacing w:after="0" w:line="245" w:lineRule="auto"/>
        <w:tabs>
          <w:tab w:leader="none" w:pos="112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in this Agreement to the contrary, if at any time during the Restricted Period, Employee engages in Detrimental Activity, Employee will immediately and automatically forfeit all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87" w:lineRule="exact"/>
        <w:rPr>
          <w:sz w:val="20"/>
          <w:szCs w:val="20"/>
          <w:color w:val="auto"/>
        </w:rPr>
      </w:pPr>
    </w:p>
    <w:p>
      <w:pPr>
        <w:ind w:left="1020" w:hanging="269"/>
        <w:spacing w:after="0"/>
        <w:tabs>
          <w:tab w:leader="none" w:pos="10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 on Transfer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3" w:lineRule="auto"/>
        <w:tabs>
          <w:tab w:leader="none" w:pos="101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Stock Units granted hereunder to Employee may not be sold, assigned, transferred, pledged or otherwise encumbered, whether voluntarily or involuntarily, by operation of law or otherwise (any of the foregoing, a “Transfer”), other than (i) to the Company as a result of the forfeiture of Restricted Stock Units, or (ii) by will or the laws of descent and distribution. Payment of Restricted Stock Units after Employee’s death will be made to Employee’s estate or, in the sole and absolute discretion of the Committee, to the person or persons entitled to receive such payment under applicable laws of descent and distribution.</w:t>
      </w:r>
    </w:p>
    <w:p>
      <w:pPr>
        <w:spacing w:after="0" w:line="175" w:lineRule="exact"/>
        <w:rPr>
          <w:rFonts w:ascii="Times New Roman" w:cs="Times New Roman" w:eastAsia="Times New Roman" w:hAnsi="Times New Roman"/>
          <w:sz w:val="19"/>
          <w:szCs w:val="19"/>
          <w:color w:val="auto"/>
        </w:rPr>
      </w:pPr>
    </w:p>
    <w:p>
      <w:pPr>
        <w:jc w:val="both"/>
        <w:ind w:firstLine="751"/>
        <w:spacing w:after="0" w:line="243" w:lineRule="auto"/>
        <w:tabs>
          <w:tab w:leader="none" w:pos="101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Restricted Stock Units will terminate and become of no further effect.</w:t>
      </w:r>
    </w:p>
    <w:p>
      <w:pPr>
        <w:spacing w:after="0" w:line="176" w:lineRule="exact"/>
        <w:rPr>
          <w:sz w:val="20"/>
          <w:szCs w:val="20"/>
          <w:color w:val="auto"/>
        </w:rPr>
      </w:pPr>
    </w:p>
    <w:p>
      <w:pPr>
        <w:jc w:val="both"/>
        <w:ind w:firstLine="751"/>
        <w:spacing w:after="0" w:line="249" w:lineRule="auto"/>
        <w:tabs>
          <w:tab w:leader="none" w:pos="101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as a Stockholder</w:t>
      </w:r>
      <w:r>
        <w:rPr>
          <w:rFonts w:ascii="Times New Roman" w:cs="Times New Roman" w:eastAsia="Times New Roman" w:hAnsi="Times New Roman"/>
          <w:sz w:val="19"/>
          <w:szCs w:val="19"/>
          <w:color w:val="auto"/>
        </w:rPr>
        <w:t>. Employee will have no rights as a stockholder of the Company with regard to the Restricted Stock Units. Rights as a stockholder of the Company will arise only if the Restricted Stock Units are settled in shares of Common Stock pursuant to Section 2 above.</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 and Social Insurance Withholding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2" w:lineRule="auto"/>
        <w:tabs>
          <w:tab w:leader="none" w:pos="1181"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w:t>
      </w:r>
    </w:p>
    <w:p>
      <w:pPr>
        <w:spacing w:after="0" w:line="1" w:lineRule="exact"/>
        <w:rPr>
          <w:rFonts w:ascii="Times New Roman" w:cs="Times New Roman" w:eastAsia="Times New Roman" w:hAnsi="Times New Roman"/>
          <w:sz w:val="19"/>
          <w:szCs w:val="19"/>
          <w:color w:val="auto"/>
        </w:rPr>
      </w:pPr>
    </w:p>
    <w:p>
      <w:pPr>
        <w:ind w:left="220" w:hanging="218"/>
        <w:spacing w:after="0"/>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no representations or undertakings regarding the treatment of any Tax-Related Items in connection with any aspect of the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960755</wp:posOffset>
            </wp:positionV>
            <wp:extent cx="7165975" cy="412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74" w:name="page75"/>
    <w:bookmarkEnd w:id="74"/>
    <w:p>
      <w:pPr>
        <w:spacing w:after="0" w:line="261" w:lineRule="auto"/>
        <w:rPr>
          <w:sz w:val="20"/>
          <w:szCs w:val="20"/>
          <w:color w:val="auto"/>
        </w:rPr>
      </w:pPr>
      <w:r>
        <w:rPr>
          <w:rFonts w:ascii="Times New Roman" w:cs="Times New Roman" w:eastAsia="Times New Roman" w:hAnsi="Times New Roman"/>
          <w:sz w:val="18"/>
          <w:szCs w:val="18"/>
          <w:color w:val="auto"/>
        </w:rPr>
        <w:t>Units, including the grant of the Restricted Stock Units, the vesting of the Restricted Stock Units, the conversion of the Restricted Stock Units into shares of Common Stock or the receipt of any equivalent cash payment, the subsequent sale of any shares of Common Stock acquired at vesting, and</w:t>
      </w:r>
    </w:p>
    <w:p>
      <w:pPr>
        <w:spacing w:after="0" w:line="1" w:lineRule="exact"/>
        <w:rPr>
          <w:sz w:val="20"/>
          <w:szCs w:val="20"/>
          <w:color w:val="auto"/>
        </w:rPr>
      </w:pPr>
    </w:p>
    <w:p>
      <w:pPr>
        <w:ind w:firstLine="2"/>
        <w:spacing w:after="0"/>
        <w:tabs>
          <w:tab w:leader="none" w:pos="281"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does not commit to structure the terms of the grant or any aspect of the Restricted Stock Units to reduce or eliminate Employee’s liability for the Tax-Related Items.</w:t>
      </w:r>
    </w:p>
    <w:p>
      <w:pPr>
        <w:spacing w:after="0" w:line="177" w:lineRule="exact"/>
        <w:rPr>
          <w:rFonts w:ascii="Times New Roman" w:cs="Times New Roman" w:eastAsia="Times New Roman" w:hAnsi="Times New Roman"/>
          <w:sz w:val="19"/>
          <w:szCs w:val="19"/>
          <w:color w:val="auto"/>
        </w:rPr>
      </w:pPr>
    </w:p>
    <w:p>
      <w:pPr>
        <w:jc w:val="both"/>
        <w:ind w:firstLine="751"/>
        <w:spacing w:after="0" w:line="241" w:lineRule="auto"/>
        <w:tabs>
          <w:tab w:leader="none" w:pos="1173"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or (ii) withhold whole shares of Common Stock which would otherwise be delivered to Employee having an aggregate Fair Market Value, determined as of the Tax Date, or withhold an amount of cash from Employee’s wages or other cash compensation which would otherwise be payable to Employee by the Company or from any equivalent cash payment received upon vesting of the Restricted Stock Units, equal to the amount necessary to satisfy any such obligation.</w:t>
      </w:r>
    </w:p>
    <w:p>
      <w:pPr>
        <w:spacing w:after="0" w:line="190" w:lineRule="exact"/>
        <w:rPr>
          <w:rFonts w:ascii="Times New Roman" w:cs="Times New Roman" w:eastAsia="Times New Roman" w:hAnsi="Times New Roman"/>
          <w:sz w:val="19"/>
          <w:szCs w:val="19"/>
          <w:color w:val="auto"/>
        </w:rPr>
      </w:pPr>
    </w:p>
    <w:p>
      <w:pPr>
        <w:jc w:val="both"/>
        <w:ind w:firstLine="751"/>
        <w:spacing w:after="0"/>
        <w:tabs>
          <w:tab w:leader="none" w:pos="1122"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the Employee if Employee fails to comply with his or her obligations in connection with the Tax-Related Items as described herein.</w:t>
      </w:r>
    </w:p>
    <w:p>
      <w:pPr>
        <w:spacing w:after="0" w:line="187" w:lineRule="exact"/>
        <w:rPr>
          <w:sz w:val="20"/>
          <w:szCs w:val="20"/>
          <w:color w:val="auto"/>
        </w:rPr>
      </w:pPr>
    </w:p>
    <w:p>
      <w:pPr>
        <w:jc w:val="both"/>
        <w:ind w:firstLine="751"/>
        <w:spacing w:after="0" w:line="255" w:lineRule="auto"/>
        <w:tabs>
          <w:tab w:leader="none" w:pos="10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 and Noncompetition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acknowledges that Employee is in possession of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 which is incorporated herein by reference, including all rules, procedures, policies and requirements that the Company may promulgate consistent with Attachment I. Additionally, each of Employee and the Company (and each of its Subsidiaries) hereby acknowledges, agrees to, and reaffirms the terms of any prior Award Agreement (or attachment or annex thereto) containing any provisions related to confidential information, intellectual property, non-competition, non-solicitation or other restrictive covenants.</w:t>
      </w:r>
    </w:p>
    <w:p>
      <w:pPr>
        <w:spacing w:after="0" w:line="169" w:lineRule="exact"/>
        <w:rPr>
          <w:rFonts w:ascii="Times New Roman" w:cs="Times New Roman" w:eastAsia="Times New Roman" w:hAnsi="Times New Roman"/>
          <w:sz w:val="18"/>
          <w:szCs w:val="18"/>
          <w:color w:val="auto"/>
        </w:rPr>
      </w:pPr>
    </w:p>
    <w:p>
      <w:pPr>
        <w:jc w:val="both"/>
        <w:ind w:firstLine="751"/>
        <w:spacing w:after="0" w:line="249" w:lineRule="auto"/>
        <w:tabs>
          <w:tab w:leader="none" w:pos="101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Changes in Capital Structure</w:t>
      </w:r>
      <w:r>
        <w:rPr>
          <w:rFonts w:ascii="Times New Roman" w:cs="Times New Roman" w:eastAsia="Times New Roman" w:hAnsi="Times New Roman"/>
          <w:sz w:val="19"/>
          <w:szCs w:val="19"/>
          <w:color w:val="auto"/>
        </w:rPr>
        <w:t>. As more fully described in the Plan, if the outstanding shares of Common Stock at any time are changed or ex changed by declaration of a stock dividend, stock split, combination of shares, or recapitalization, the number and kind of Restricted Stock Units will be appropriately and equitably adjusted so as to maintain their equivalence to the proportionate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75" w:name="page76"/>
    <w:bookmarkEnd w:id="75"/>
    <w:p>
      <w:pPr>
        <w:jc w:val="both"/>
        <w:ind w:firstLine="751"/>
        <w:spacing w:after="0" w:line="242" w:lineRule="auto"/>
        <w:tabs>
          <w:tab w:leader="none" w:pos="101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Securities Laws</w:t>
      </w:r>
      <w:r>
        <w:rPr>
          <w:rFonts w:ascii="Times New Roman" w:cs="Times New Roman" w:eastAsia="Times New Roman" w:hAnsi="Times New Roman"/>
          <w:sz w:val="19"/>
          <w:szCs w:val="19"/>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5"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of Rights</w:t>
      </w:r>
      <w:r>
        <w:rPr>
          <w:rFonts w:ascii="Times New Roman" w:cs="Times New Roman" w:eastAsia="Times New Roman" w:hAnsi="Times New Roman"/>
          <w:sz w:val="19"/>
          <w:szCs w:val="19"/>
          <w:color w:val="auto"/>
        </w:rPr>
        <w:t>. Nothing in this Agreement or the Plan may be construed to:</w:t>
      </w:r>
    </w:p>
    <w:p>
      <w:pPr>
        <w:spacing w:after="0" w:line="200" w:lineRule="exact"/>
        <w:rPr>
          <w:sz w:val="20"/>
          <w:szCs w:val="20"/>
          <w:color w:val="auto"/>
        </w:rPr>
      </w:pPr>
    </w:p>
    <w:p>
      <w:pPr>
        <w:ind w:firstLine="751"/>
        <w:spacing w:after="0" w:line="262" w:lineRule="auto"/>
        <w:tabs>
          <w:tab w:leader="none" w:pos="101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 Employee or any other person or entity any right to be awarded any further Restricted Stock Units (or other form of stock incentive awards) other than in the sole discretion of the Committee;</w:t>
      </w:r>
    </w:p>
    <w:p>
      <w:pPr>
        <w:spacing w:after="0" w:line="157"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 Employee or any other person or entity any interest in any fund or in any specified asset or assets of the Company (other than the Restricted Stock Units); or</w:t>
      </w:r>
    </w:p>
    <w:p>
      <w:pPr>
        <w:spacing w:after="0" w:line="157"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confer upon Employee or any other person or entity the right to continue in the employment or service of the Company or any</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w:t>
      </w:r>
    </w:p>
    <w:p>
      <w:pPr>
        <w:spacing w:after="0" w:line="180" w:lineRule="exact"/>
        <w:rPr>
          <w:sz w:val="20"/>
          <w:szCs w:val="20"/>
          <w:color w:val="auto"/>
        </w:rPr>
      </w:pPr>
    </w:p>
    <w:p>
      <w:pPr>
        <w:ind w:left="1020" w:hanging="269"/>
        <w:spacing w:after="0"/>
        <w:tabs>
          <w:tab w:leader="none" w:pos="10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020" w:hanging="269"/>
        <w:spacing w:after="0"/>
        <w:tabs>
          <w:tab w:leader="none" w:pos="10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 is defined in the introduction.</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“Award Notice” is defined in the introduction.</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is defined in Section 15.</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is defined in Section 1(b).</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“Committee” means the Compensation Committee of the Board of Directors of the Company.</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“Common Stock” is defined in the introduction.</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means SLB Limited.</w:t>
      </w:r>
    </w:p>
    <w:p>
      <w:pPr>
        <w:spacing w:after="0" w:line="200" w:lineRule="exact"/>
        <w:rPr>
          <w:rFonts w:ascii="Times New Roman" w:cs="Times New Roman" w:eastAsia="Times New Roman" w:hAnsi="Times New Roman"/>
          <w:sz w:val="19"/>
          <w:szCs w:val="19"/>
          <w:color w:val="auto"/>
        </w:rPr>
      </w:pPr>
    </w:p>
    <w:p>
      <w:pPr>
        <w:jc w:val="both"/>
        <w:ind w:firstLine="751"/>
        <w:spacing w:after="0" w:line="254" w:lineRule="auto"/>
        <w:tabs>
          <w:tab w:leader="none" w:pos="10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Activity” means activity that is determined by the Committee in its sole and absolute discretion to be detrimental to the interests of the Company or any of its Subsidiaries, including but not limited to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76" w:name="page77"/>
    <w:bookmarkEnd w:id="76"/>
    <w:p>
      <w:pPr>
        <w:jc w:val="both"/>
        <w:spacing w:after="0" w:line="249" w:lineRule="auto"/>
        <w:rPr>
          <w:sz w:val="20"/>
          <w:szCs w:val="20"/>
          <w:color w:val="auto"/>
        </w:rPr>
      </w:pPr>
      <w:r>
        <w:rPr>
          <w:rFonts w:ascii="Times New Roman" w:cs="Times New Roman" w:eastAsia="Times New Roman" w:hAnsi="Times New Roman"/>
          <w:sz w:val="19"/>
          <w:szCs w:val="19"/>
          <w:color w:val="auto"/>
        </w:rPr>
        <w:t>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70" w:lineRule="exact"/>
        <w:rPr>
          <w:sz w:val="20"/>
          <w:szCs w:val="20"/>
          <w:color w:val="auto"/>
        </w:rPr>
      </w:pPr>
    </w:p>
    <w:p>
      <w:pPr>
        <w:jc w:val="both"/>
        <w:ind w:firstLine="751"/>
        <w:spacing w:after="0" w:line="245" w:lineRule="auto"/>
        <w:tabs>
          <w:tab w:leader="none" w:pos="101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74"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“Disability” means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is defined in the introduction.</w:t>
      </w:r>
    </w:p>
    <w:p>
      <w:pPr>
        <w:spacing w:after="0" w:line="200" w:lineRule="exact"/>
        <w:rPr>
          <w:rFonts w:ascii="Times New Roman" w:cs="Times New Roman" w:eastAsia="Times New Roman" w:hAnsi="Times New Roman"/>
          <w:sz w:val="19"/>
          <w:szCs w:val="19"/>
          <w:color w:val="auto"/>
        </w:rPr>
      </w:pPr>
    </w:p>
    <w:p>
      <w:pPr>
        <w:jc w:val="both"/>
        <w:ind w:firstLine="751"/>
        <w:spacing w:after="0" w:line="245" w:lineRule="auto"/>
        <w:tabs>
          <w:tab w:leader="none" w:pos="101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(m)“Grant Date” is defined in Section 1.</w:t>
      </w:r>
    </w:p>
    <w:p>
      <w:pPr>
        <w:spacing w:after="0" w:line="200" w:lineRule="exact"/>
        <w:rPr>
          <w:sz w:val="20"/>
          <w:szCs w:val="20"/>
          <w:color w:val="auto"/>
        </w:rPr>
      </w:pPr>
    </w:p>
    <w:p>
      <w:pPr>
        <w:ind w:left="1020" w:hanging="269"/>
        <w:spacing w:after="0"/>
        <w:tabs>
          <w:tab w:leader="none" w:pos="102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 is defined in the introduction.</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Period” is defined in Section 1.</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Stock Units” (or “RSUs”) is defined in the introduction.</w:t>
      </w:r>
    </w:p>
    <w:p>
      <w:pPr>
        <w:spacing w:after="0" w:line="200" w:lineRule="exact"/>
        <w:rPr>
          <w:rFonts w:ascii="Times New Roman" w:cs="Times New Roman" w:eastAsia="Times New Roman" w:hAnsi="Times New Roman"/>
          <w:sz w:val="19"/>
          <w:szCs w:val="19"/>
          <w:color w:val="auto"/>
        </w:rPr>
      </w:pPr>
    </w:p>
    <w:p>
      <w:pPr>
        <w:jc w:val="both"/>
        <w:ind w:firstLine="751"/>
        <w:spacing w:after="0" w:line="254" w:lineRule="auto"/>
        <w:tabs>
          <w:tab w:leader="none" w:pos="101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50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w:t>
      </w:r>
    </w:p>
    <w:p>
      <w:pPr>
        <w:spacing w:after="0" w:line="3" w:lineRule="exact"/>
        <w:rPr>
          <w:rFonts w:ascii="Times New Roman" w:cs="Times New Roman" w:eastAsia="Times New Roman" w:hAnsi="Times New Roman"/>
          <w:sz w:val="18"/>
          <w:szCs w:val="18"/>
          <w:color w:val="auto"/>
        </w:rPr>
      </w:pPr>
    </w:p>
    <w:p>
      <w:pPr>
        <w:ind w:left="300" w:hanging="298"/>
        <w:spacing w:after="0"/>
        <w:tabs>
          <w:tab w:leader="none" w:pos="30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be granted or withheld in the sole discretion of the Committee or the Retirement Committee, as applicable.</w:t>
      </w:r>
    </w:p>
    <w:p>
      <w:pPr>
        <w:spacing w:after="0" w:line="18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Committee” means a committee consisting of the Company’s Chief People Officer, the Director HR Operations and the Director Total Rewards.</w:t>
      </w:r>
    </w:p>
    <w:p>
      <w:pPr>
        <w:spacing w:after="0" w:line="157"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“Settlement Date” is defined in Section 2.</w:t>
      </w:r>
    </w:p>
    <w:p>
      <w:pPr>
        <w:spacing w:after="0" w:line="200"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9"/>
          <w:szCs w:val="19"/>
          <w:color w:val="auto"/>
        </w:rPr>
        <w:t>owns 50% or more of the voting, capital or profits interests (whether in the form of partnership interests, membership interests or otherwise).</w:t>
      </w:r>
    </w:p>
    <w:p>
      <w:pPr>
        <w:spacing w:after="0" w:line="200" w:lineRule="exact"/>
        <w:rPr>
          <w:sz w:val="20"/>
          <w:szCs w:val="20"/>
          <w:color w:val="auto"/>
        </w:rPr>
      </w:pPr>
    </w:p>
    <w:p>
      <w:pPr>
        <w:jc w:val="both"/>
        <w:ind w:firstLine="751"/>
        <w:spacing w:after="0" w:line="249" w:lineRule="auto"/>
        <w:tabs>
          <w:tab w:leader="none" w:pos="1019"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is defined in Section 4(a).</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(w)“Vesting Date” is defined in Section 1(a).</w:t>
      </w:r>
    </w:p>
    <w:p>
      <w:pPr>
        <w:spacing w:after="0" w:line="200" w:lineRule="exact"/>
        <w:rPr>
          <w:sz w:val="20"/>
          <w:szCs w:val="20"/>
          <w:color w:val="auto"/>
        </w:rPr>
      </w:pPr>
    </w:p>
    <w:p>
      <w:pPr>
        <w:jc w:val="both"/>
        <w:ind w:firstLine="751"/>
        <w:spacing w:after="0" w:line="249" w:lineRule="auto"/>
        <w:tabs>
          <w:tab w:leader="none" w:pos="101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Committee Determination</w:t>
      </w:r>
      <w:r>
        <w:rPr>
          <w:rFonts w:ascii="Times New Roman" w:cs="Times New Roman" w:eastAsia="Times New Roman" w:hAnsi="Times New Roman"/>
          <w:sz w:val="19"/>
          <w:szCs w:val="19"/>
          <w:color w:val="auto"/>
        </w:rPr>
        <w:t>. Any questions as to whether and when (i) the Employee has engaged in Detrimental Activity, (ii) there has been a Disability, or (iii) there has been a Termination of Employment and the cause of such termination, will be resolved by the Committee, and its determination will be final.</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5" w:lineRule="auto"/>
        <w:tabs>
          <w:tab w:leader="none" w:pos="101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hereby acknowledges that he or she has received, reviewed and accepted the terms and conditions contained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or subsequent awards.</w:t>
      </w:r>
    </w:p>
    <w:p>
      <w:pPr>
        <w:spacing w:after="0" w:line="174"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57"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invalidity or unenforceability of any provision of this Agreement will not affect the validity or enforceability of any other provision of this Agreement.</w:t>
      </w:r>
    </w:p>
    <w:p>
      <w:pPr>
        <w:spacing w:after="0" w:line="157"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0"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and the Company agree to execute such further instruments and to take such further action as may reasonably be necessary to carry out the intent of this Agreement.</w:t>
      </w:r>
    </w:p>
    <w:p>
      <w:pPr>
        <w:spacing w:after="0" w:line="157"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the Plan (a) constitute the entire agreement among the Employee and the Company with respect to the Restricted Stock Units and this Agreement supersedes all prior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938530</wp:posOffset>
            </wp:positionV>
            <wp:extent cx="7165975" cy="412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78" w:name="page79"/>
    <w:bookmarkEnd w:id="78"/>
    <w:p>
      <w:pPr>
        <w:jc w:val="both"/>
        <w:spacing w:after="0" w:line="243" w:lineRule="auto"/>
        <w:rPr>
          <w:sz w:val="20"/>
          <w:szCs w:val="20"/>
          <w:color w:val="auto"/>
        </w:rPr>
      </w:pPr>
      <w:r>
        <w:rPr>
          <w:rFonts w:ascii="Times New Roman" w:cs="Times New Roman" w:eastAsia="Times New Roman" w:hAnsi="Times New Roman"/>
          <w:sz w:val="19"/>
          <w:szCs w:val="19"/>
          <w:color w:val="auto"/>
        </w:rPr>
        <w:t>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Restricted Stock Units other than those expressly set forth herein or in the Plan, and (ii) such party has not relied upon any representation, warranty, covenant or agreement relating to the Restricted Stock Units, other than those referred to in clause (i) above.</w:t>
      </w:r>
    </w:p>
    <w:p>
      <w:pPr>
        <w:spacing w:after="0" w:line="176" w:lineRule="exact"/>
        <w:rPr>
          <w:sz w:val="20"/>
          <w:szCs w:val="20"/>
          <w:color w:val="auto"/>
        </w:rPr>
      </w:pPr>
    </w:p>
    <w:p>
      <w:pPr>
        <w:jc w:val="both"/>
        <w:ind w:firstLine="751"/>
        <w:spacing w:after="0" w:line="245" w:lineRule="auto"/>
        <w:tabs>
          <w:tab w:leader="none" w:pos="101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of Harris County, Texas and the Southern District of Texas, Houston Division, respectively.</w:t>
      </w:r>
    </w:p>
    <w:p>
      <w:pPr>
        <w:spacing w:after="0" w:line="174" w:lineRule="exact"/>
        <w:rPr>
          <w:sz w:val="20"/>
          <w:szCs w:val="20"/>
          <w:color w:val="auto"/>
        </w:rPr>
      </w:pPr>
    </w:p>
    <w:p>
      <w:pPr>
        <w:jc w:val="both"/>
        <w:ind w:firstLine="751"/>
        <w:spacing w:after="0" w:line="261" w:lineRule="auto"/>
        <w:tabs>
          <w:tab w:leader="none" w:pos="10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This award of Restricted Stock Units is intended to be exempt from or to comply with the provisions of Code Section 409A and will be construed and interpreted accordingly. If Employee is a “specified employee” within the meaning of Code Section 409A(a)</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(2)(B)(i) on the date of his or her “separation from service” within the meaning of U.S. Treasury Regulation Section 1.409A-1(h), the time of payment otherwise specified in this Agreement will be deferred to the extent required by Code Section 409A.</w:t>
      </w:r>
    </w:p>
    <w:p>
      <w:pPr>
        <w:spacing w:after="0" w:line="177" w:lineRule="exact"/>
        <w:rPr>
          <w:rFonts w:ascii="Times New Roman" w:cs="Times New Roman" w:eastAsia="Times New Roman" w:hAnsi="Times New Roman"/>
          <w:sz w:val="18"/>
          <w:szCs w:val="18"/>
          <w:color w:val="auto"/>
        </w:rPr>
      </w:pPr>
    </w:p>
    <w:p>
      <w:pPr>
        <w:ind w:left="1020" w:hanging="269"/>
        <w:spacing w:after="0"/>
        <w:tabs>
          <w:tab w:leader="none" w:pos="10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jc w:val="both"/>
        <w:ind w:firstLine="751"/>
        <w:spacing w:after="0" w:line="242" w:lineRule="auto"/>
        <w:tabs>
          <w:tab w:leader="none" w:pos="101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 of Award</w:t>
      </w:r>
      <w:r>
        <w:rPr>
          <w:rFonts w:ascii="Times New Roman" w:cs="Times New Roman" w:eastAsia="Times New Roman" w:hAnsi="Times New Roman"/>
          <w:sz w:val="19"/>
          <w:szCs w:val="19"/>
          <w:color w:val="auto"/>
        </w:rPr>
        <w:t>. Employee is deemed to accept the award of Restricted Stock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Restricted Stock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75" w:lineRule="exact"/>
        <w:rPr>
          <w:rFonts w:ascii="Times New Roman" w:cs="Times New Roman" w:eastAsia="Times New Roman" w:hAnsi="Times New Roman"/>
          <w:sz w:val="19"/>
          <w:szCs w:val="19"/>
          <w:color w:val="auto"/>
        </w:rPr>
      </w:pPr>
    </w:p>
    <w:p>
      <w:pPr>
        <w:jc w:val="both"/>
        <w:ind w:firstLine="751"/>
        <w:spacing w:after="0" w:line="243" w:lineRule="auto"/>
        <w:tabs>
          <w:tab w:leader="none" w:pos="101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Appendix.</w:t>
      </w:r>
      <w:r>
        <w:rPr>
          <w:rFonts w:ascii="Times New Roman" w:cs="Times New Roman" w:eastAsia="Times New Roman" w:hAnsi="Times New Roman"/>
          <w:sz w:val="19"/>
          <w:szCs w:val="19"/>
          <w:color w:val="auto"/>
        </w:rPr>
        <w:t xml:space="preserve"> Notwithstanding any provisions in this Agreement, the Restricted Stock Units shall be subject to the additional terms and conditions for your country set forth in Appendix A, Appendix B, and Appendix C attached hereto. Moreover, if you relocate to one of the countries included therein, the terms and conditions for such country will apply to you to the extent the Company determines that the application of such terms and conditions is necessary or advisable for legal or administrative reasons. Appendix A, Appendix B and Appendix C constitute part of this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40" w:type="dxa"/>
            <w:vAlign w:val="bottom"/>
            <w:gridSpan w:val="3"/>
          </w:tcPr>
          <w:p>
            <w:pPr>
              <w:ind w:left="760"/>
              <w:spacing w:after="0"/>
              <w:rPr>
                <w:sz w:val="20"/>
                <w:szCs w:val="20"/>
                <w:color w:val="auto"/>
              </w:rPr>
            </w:pPr>
            <w:r>
              <w:rPr>
                <w:rFonts w:ascii="Times New Roman" w:cs="Times New Roman" w:eastAsia="Times New Roman" w:hAnsi="Times New Roman"/>
                <w:sz w:val="19"/>
                <w:szCs w:val="19"/>
                <w:color w:val="auto"/>
              </w:rPr>
              <w:t>18. More Information.  The Plan and prospectus are both available on-line at the Company’s</w:t>
            </w:r>
          </w:p>
        </w:tc>
        <w:tc>
          <w:tcPr>
            <w:tcW w:w="34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w:t>
            </w:r>
          </w:p>
        </w:tc>
        <w:tc>
          <w:tcPr>
            <w:tcW w:w="29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 site. A paper copy of the Plan and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vMerge w:val="restart"/>
          </w:tcPr>
          <w:p>
            <w:pPr>
              <w:jc w:val="right"/>
              <w:ind w:right="87"/>
              <w:spacing w:after="0"/>
              <w:rPr>
                <w:sz w:val="20"/>
                <w:szCs w:val="20"/>
                <w:color w:val="auto"/>
              </w:rPr>
            </w:pPr>
            <w:r>
              <w:rPr>
                <w:rFonts w:ascii="Times New Roman" w:cs="Times New Roman" w:eastAsia="Times New Roman" w:hAnsi="Times New Roman"/>
                <w:sz w:val="19"/>
                <w:szCs w:val="19"/>
                <w:color w:val="auto"/>
              </w:rPr>
              <w:t>].</w:t>
            </w: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9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prospectus may be obtained by contacting the Stock Department,  [   ] or emailing your request to [</w:t>
            </w:r>
          </w:p>
        </w:tc>
        <w:tc>
          <w:tcPr>
            <w:tcW w:w="340" w:type="dxa"/>
            <w:vAlign w:val="bottom"/>
            <w:vMerge w:val="continue"/>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3"/>
        </w:trPr>
        <w:tc>
          <w:tcPr>
            <w:tcW w:w="10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b w:val="1"/>
          <w:bCs w:val="1"/>
          <w:color w:val="auto"/>
        </w:rPr>
        <w:t>ATTACHMENT 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Confidential Information, Intellectual Property,</w:t>
      </w:r>
    </w:p>
    <w:p>
      <w:pPr>
        <w:jc w:val="center"/>
        <w:spacing w:after="0"/>
        <w:rPr>
          <w:sz w:val="20"/>
          <w:szCs w:val="20"/>
          <w:color w:val="auto"/>
        </w:rPr>
      </w:pPr>
      <w:r>
        <w:rPr>
          <w:rFonts w:ascii="Times New Roman" w:cs="Times New Roman" w:eastAsia="Times New Roman" w:hAnsi="Times New Roman"/>
          <w:sz w:val="19"/>
          <w:szCs w:val="19"/>
          <w:b w:val="1"/>
          <w:bCs w:val="1"/>
          <w:color w:val="auto"/>
        </w:rPr>
        <w:t>Non-Compete and Non-Solicitation Agreement</w:t>
      </w:r>
    </w:p>
    <w:p>
      <w:pPr>
        <w:spacing w:after="0" w:line="193" w:lineRule="exact"/>
        <w:rPr>
          <w:sz w:val="20"/>
          <w:szCs w:val="20"/>
          <w:color w:val="auto"/>
        </w:rPr>
      </w:pPr>
    </w:p>
    <w:p>
      <w:pPr>
        <w:ind w:left="1020" w:hanging="269"/>
        <w:spacing w:after="0"/>
        <w:tabs>
          <w:tab w:leader="none" w:pos="10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9" w:lineRule="auto"/>
        <w:tabs>
          <w:tab w:leader="none" w:pos="101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0" w:lineRule="exact"/>
        <w:rPr>
          <w:rFonts w:ascii="Times New Roman" w:cs="Times New Roman" w:eastAsia="Times New Roman" w:hAnsi="Times New Roman"/>
          <w:sz w:val="19"/>
          <w:szCs w:val="19"/>
          <w:color w:val="auto"/>
        </w:rPr>
      </w:pPr>
    </w:p>
    <w:p>
      <w:pPr>
        <w:jc w:val="both"/>
        <w:ind w:firstLine="751"/>
        <w:spacing w:after="0" w:line="254" w:lineRule="auto"/>
        <w:tabs>
          <w:tab w:leader="none" w:pos="10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66" w:lineRule="exact"/>
        <w:rPr>
          <w:rFonts w:ascii="Times New Roman" w:cs="Times New Roman" w:eastAsia="Times New Roman" w:hAnsi="Times New Roman"/>
          <w:sz w:val="18"/>
          <w:szCs w:val="18"/>
          <w:color w:val="auto"/>
        </w:rPr>
      </w:pPr>
    </w:p>
    <w:p>
      <w:pPr>
        <w:jc w:val="both"/>
        <w:ind w:firstLine="751"/>
        <w:spacing w:after="0"/>
        <w:tabs>
          <w:tab w:leader="none" w:pos="101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81" w:lineRule="exact"/>
        <w:rPr>
          <w:rFonts w:ascii="Times New Roman" w:cs="Times New Roman" w:eastAsia="Times New Roman" w:hAnsi="Times New Roman"/>
          <w:sz w:val="19"/>
          <w:szCs w:val="19"/>
          <w:color w:val="auto"/>
        </w:rPr>
      </w:pPr>
    </w:p>
    <w:p>
      <w:pPr>
        <w:jc w:val="both"/>
        <w:ind w:firstLine="751"/>
        <w:spacing w:after="0" w:line="243" w:lineRule="auto"/>
        <w:tabs>
          <w:tab w:leader="none" w:pos="101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75"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“Pre-existing Intellectual Property” is all Intellectual Property that was authored, conceived, developed, or reduced to practice by Employee before the term of Employee’s employment with the Company or any Affiliate began.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938530</wp:posOffset>
            </wp:positionV>
            <wp:extent cx="7165975" cy="412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80" w:name="page81"/>
    <w:bookmarkEnd w:id="80"/>
    <w:p>
      <w:pPr>
        <w:jc w:val="both"/>
        <w:ind w:left="-551" w:firstLine="566"/>
        <w:spacing w:after="0" w:line="249" w:lineRule="auto"/>
        <w:tabs>
          <w:tab w:leader="none" w:pos="274"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Codes of Conduct</w:t>
      </w:r>
      <w:r>
        <w:rPr>
          <w:rFonts w:ascii="Times New Roman" w:cs="Times New Roman" w:eastAsia="Times New Roman" w:hAnsi="Times New Roman"/>
          <w:sz w:val="19"/>
          <w:szCs w:val="19"/>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 In the event of any conflict or ambiguity, this Attachment I prevails.</w:t>
      </w:r>
    </w:p>
    <w:p>
      <w:pPr>
        <w:spacing w:after="0" w:line="170" w:lineRule="exact"/>
        <w:rPr>
          <w:rFonts w:ascii="Times New Roman" w:cs="Times New Roman" w:eastAsia="Times New Roman" w:hAnsi="Times New Roman"/>
          <w:sz w:val="19"/>
          <w:szCs w:val="19"/>
          <w:color w:val="auto"/>
        </w:rPr>
      </w:pPr>
    </w:p>
    <w:p>
      <w:pPr>
        <w:ind w:left="269" w:hanging="269"/>
        <w:spacing w:after="0"/>
        <w:tabs>
          <w:tab w:leader="none" w:pos="269"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2" w:lineRule="auto"/>
        <w:tabs>
          <w:tab w:leader="none" w:pos="2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 do not and will not breach any agreement or duty to keep in confidence information, knowledge, or data acquired by Employee outside of Employee’s employment with the Company or any of its Affiliates.</w:t>
      </w:r>
    </w:p>
    <w:p>
      <w:pPr>
        <w:spacing w:after="0" w:line="175" w:lineRule="exact"/>
        <w:rPr>
          <w:rFonts w:ascii="Times New Roman" w:cs="Times New Roman" w:eastAsia="Times New Roman" w:hAnsi="Times New Roman"/>
          <w:sz w:val="19"/>
          <w:szCs w:val="19"/>
          <w:color w:val="auto"/>
        </w:rPr>
      </w:pPr>
    </w:p>
    <w:p>
      <w:pPr>
        <w:ind w:left="-751" w:firstLine="751"/>
        <w:spacing w:after="0" w:line="262" w:lineRule="auto"/>
        <w:tabs>
          <w:tab w:leader="none" w:pos="2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57" w:lineRule="exact"/>
        <w:rPr>
          <w:rFonts w:ascii="Times New Roman" w:cs="Times New Roman" w:eastAsia="Times New Roman" w:hAnsi="Times New Roman"/>
          <w:sz w:val="19"/>
          <w:szCs w:val="19"/>
          <w:color w:val="auto"/>
        </w:rPr>
      </w:pPr>
    </w:p>
    <w:p>
      <w:pPr>
        <w:jc w:val="both"/>
        <w:ind w:left="-751" w:firstLine="751"/>
        <w:spacing w:after="0" w:line="245" w:lineRule="auto"/>
        <w:tabs>
          <w:tab w:leader="none" w:pos="2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4" w:lineRule="exact"/>
        <w:rPr>
          <w:rFonts w:ascii="Times New Roman" w:cs="Times New Roman" w:eastAsia="Times New Roman" w:hAnsi="Times New Roman"/>
          <w:sz w:val="19"/>
          <w:szCs w:val="19"/>
          <w:color w:val="auto"/>
        </w:rPr>
      </w:pPr>
    </w:p>
    <w:p>
      <w:pPr>
        <w:jc w:val="both"/>
        <w:ind w:left="-751" w:firstLine="751"/>
        <w:spacing w:after="0" w:line="241" w:lineRule="auto"/>
        <w:tabs>
          <w:tab w:leader="none" w:pos="2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7" w:lineRule="exact"/>
        <w:rPr>
          <w:rFonts w:ascii="Times New Roman" w:cs="Times New Roman" w:eastAsia="Times New Roman" w:hAnsi="Times New Roman"/>
          <w:sz w:val="19"/>
          <w:szCs w:val="19"/>
          <w:color w:val="auto"/>
        </w:rPr>
      </w:pPr>
    </w:p>
    <w:p>
      <w:pPr>
        <w:jc w:val="both"/>
        <w:ind w:left="-751" w:firstLine="751"/>
        <w:spacing w:after="0" w:line="245" w:lineRule="auto"/>
        <w:tabs>
          <w:tab w:leader="none" w:pos="2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4" w:lineRule="exact"/>
        <w:rPr>
          <w:rFonts w:ascii="Times New Roman" w:cs="Times New Roman" w:eastAsia="Times New Roman" w:hAnsi="Times New Roman"/>
          <w:sz w:val="19"/>
          <w:szCs w:val="19"/>
          <w:color w:val="auto"/>
        </w:rPr>
      </w:pPr>
    </w:p>
    <w:p>
      <w:pPr>
        <w:ind w:left="-751" w:firstLine="751"/>
        <w:spacing w:after="0" w:line="262" w:lineRule="auto"/>
        <w:tabs>
          <w:tab w:leader="none" w:pos="26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938530</wp:posOffset>
            </wp:positionV>
            <wp:extent cx="7165975" cy="412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489"/>
          </w:cols>
          <w:pgMar w:left="1071" w:top="1337" w:right="339" w:bottom="1440" w:gutter="0" w:footer="0" w:header="0"/>
        </w:sectPr>
      </w:pPr>
    </w:p>
    <w:bookmarkStart w:id="81" w:name="page82"/>
    <w:bookmarkEnd w:id="81"/>
    <w:p>
      <w:pPr>
        <w:ind w:left="269" w:hanging="269"/>
        <w:spacing w:after="0"/>
        <w:tabs>
          <w:tab w:leader="none" w:pos="269"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Disclosure of Intellectual Property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1" w:lineRule="auto"/>
        <w:tabs>
          <w:tab w:leader="none" w:pos="26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7" w:lineRule="exact"/>
        <w:rPr>
          <w:rFonts w:ascii="Times New Roman" w:cs="Times New Roman" w:eastAsia="Times New Roman" w:hAnsi="Times New Roman"/>
          <w:sz w:val="19"/>
          <w:szCs w:val="19"/>
          <w:color w:val="auto"/>
        </w:rPr>
      </w:pPr>
    </w:p>
    <w:p>
      <w:pPr>
        <w:jc w:val="both"/>
        <w:ind w:left="-751" w:firstLine="751"/>
        <w:spacing w:after="0" w:line="242" w:lineRule="auto"/>
        <w:tabs>
          <w:tab w:leader="none" w:pos="26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5" w:lineRule="exact"/>
        <w:rPr>
          <w:rFonts w:ascii="Times New Roman" w:cs="Times New Roman" w:eastAsia="Times New Roman" w:hAnsi="Times New Roman"/>
          <w:sz w:val="19"/>
          <w:szCs w:val="19"/>
          <w:color w:val="auto"/>
        </w:rPr>
      </w:pPr>
    </w:p>
    <w:p>
      <w:pPr>
        <w:jc w:val="both"/>
        <w:ind w:left="-751" w:firstLine="751"/>
        <w:spacing w:after="0" w:line="249" w:lineRule="auto"/>
        <w:tabs>
          <w:tab w:leader="none" w:pos="26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0" w:lineRule="exact"/>
        <w:rPr>
          <w:rFonts w:ascii="Times New Roman" w:cs="Times New Roman" w:eastAsia="Times New Roman" w:hAnsi="Times New Roman"/>
          <w:sz w:val="19"/>
          <w:szCs w:val="19"/>
          <w:color w:val="auto"/>
        </w:rPr>
      </w:pPr>
    </w:p>
    <w:p>
      <w:pPr>
        <w:jc w:val="both"/>
        <w:ind w:left="-751" w:firstLine="751"/>
        <w:spacing w:after="0" w:line="260" w:lineRule="auto"/>
        <w:tabs>
          <w:tab w:leader="none" w:pos="2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60" w:lineRule="exact"/>
        <w:rPr>
          <w:rFonts w:ascii="Times New Roman" w:cs="Times New Roman" w:eastAsia="Times New Roman" w:hAnsi="Times New Roman"/>
          <w:sz w:val="18"/>
          <w:szCs w:val="18"/>
          <w:color w:val="auto"/>
        </w:rPr>
      </w:pPr>
    </w:p>
    <w:p>
      <w:pPr>
        <w:jc w:val="both"/>
        <w:ind w:left="-751" w:firstLine="751"/>
        <w:spacing w:after="0" w:line="243" w:lineRule="auto"/>
        <w:tabs>
          <w:tab w:leader="none" w:pos="26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76" w:lineRule="exact"/>
        <w:rPr>
          <w:sz w:val="20"/>
          <w:szCs w:val="20"/>
          <w:color w:val="auto"/>
        </w:rPr>
      </w:pPr>
    </w:p>
    <w:p>
      <w:pPr>
        <w:ind w:left="269" w:hanging="269"/>
        <w:spacing w:after="0"/>
        <w:tabs>
          <w:tab w:leader="none" w:pos="26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of Intellectual Property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3" w:lineRule="auto"/>
        <w:tabs>
          <w:tab w:leader="none" w:pos="268"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950595</wp:posOffset>
            </wp:positionV>
            <wp:extent cx="7165975" cy="412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489"/>
          </w:cols>
          <w:pgMar w:left="1071" w:top="1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exclusive property of the Company whether or not deemed to be a “work made for hire” within the meaning of the copyright laws of the United States.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clarity, Employee does not hereby assign or agree to assign any Pre-existing Intellectual Property to the Company.</w:t>
      </w:r>
    </w:p>
    <w:p>
      <w:pPr>
        <w:spacing w:after="0" w:line="180" w:lineRule="exact"/>
        <w:rPr>
          <w:sz w:val="20"/>
          <w:szCs w:val="20"/>
          <w:color w:val="auto"/>
        </w:rPr>
      </w:pPr>
    </w:p>
    <w:p>
      <w:pPr>
        <w:jc w:val="both"/>
        <w:ind w:firstLine="751"/>
        <w:spacing w:after="0" w:line="243" w:lineRule="auto"/>
        <w:tabs>
          <w:tab w:leader="none" w:pos="101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is hereby notified that certain statutes in some U.S. states relate to ownership and assignment of inventions. At relevant locations and in accordance with those statutes, the Company agrees that this Attachment 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75"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0" w:lineRule="exact"/>
        <w:rPr>
          <w:rFonts w:ascii="Times New Roman" w:cs="Times New Roman" w:eastAsia="Times New Roman" w:hAnsi="Times New Roman"/>
          <w:sz w:val="19"/>
          <w:szCs w:val="19"/>
          <w:color w:val="auto"/>
        </w:rPr>
      </w:pPr>
    </w:p>
    <w:p>
      <w:pPr>
        <w:jc w:val="both"/>
        <w:ind w:firstLine="751"/>
        <w:spacing w:after="0" w:line="242" w:lineRule="auto"/>
        <w:tabs>
          <w:tab w:leader="none" w:pos="101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 or obtained through fraud, negligence, failure to disclose, or incorrect, incomplete, or defective information on an IP Disclosure Form.</w:t>
      </w:r>
    </w:p>
    <w:p>
      <w:pPr>
        <w:spacing w:after="0" w:line="176" w:lineRule="exact"/>
        <w:rPr>
          <w:sz w:val="20"/>
          <w:szCs w:val="20"/>
          <w:color w:val="auto"/>
        </w:rPr>
      </w:pPr>
    </w:p>
    <w:p>
      <w:pPr>
        <w:ind w:left="1020" w:hanging="269"/>
        <w:spacing w:after="0"/>
        <w:tabs>
          <w:tab w:leader="none" w:pos="10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firstLine="751"/>
        <w:spacing w:after="0" w:line="262" w:lineRule="auto"/>
        <w:tabs>
          <w:tab w:leader="none" w:pos="1019"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57" w:lineRule="exact"/>
        <w:rPr>
          <w:rFonts w:ascii="Times New Roman" w:cs="Times New Roman" w:eastAsia="Times New Roman" w:hAnsi="Times New Roman"/>
          <w:sz w:val="19"/>
          <w:szCs w:val="19"/>
          <w:color w:val="auto"/>
        </w:rPr>
      </w:pPr>
    </w:p>
    <w:p>
      <w:pPr>
        <w:jc w:val="both"/>
        <w:ind w:firstLine="751"/>
        <w:spacing w:after="0" w:line="239" w:lineRule="auto"/>
        <w:tabs>
          <w:tab w:leader="none" w:pos="1019"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85" w:lineRule="exact"/>
        <w:rPr>
          <w:sz w:val="20"/>
          <w:szCs w:val="20"/>
          <w:color w:val="auto"/>
        </w:rPr>
      </w:pPr>
    </w:p>
    <w:p>
      <w:pPr>
        <w:jc w:val="both"/>
        <w:ind w:firstLine="750"/>
        <w:spacing w:after="0" w:line="249" w:lineRule="auto"/>
        <w:rPr>
          <w:sz w:val="20"/>
          <w:szCs w:val="20"/>
          <w:color w:val="auto"/>
        </w:rPr>
      </w:pPr>
      <w:r>
        <w:rPr>
          <w:rFonts w:ascii="Times New Roman" w:cs="Times New Roman" w:eastAsia="Times New Roman" w:hAnsi="Times New Roman"/>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83" w:name="page84"/>
    <w:bookmarkEnd w:id="83"/>
    <w:p>
      <w:pPr>
        <w:jc w:val="both"/>
        <w:spacing w:after="0" w:line="263" w:lineRule="auto"/>
        <w:rPr>
          <w:sz w:val="20"/>
          <w:szCs w:val="20"/>
          <w:color w:val="auto"/>
        </w:rPr>
      </w:pPr>
      <w:r>
        <w:rPr>
          <w:rFonts w:ascii="Times New Roman" w:cs="Times New Roman" w:eastAsia="Times New Roman" w:hAnsi="Times New Roman"/>
          <w:sz w:val="18"/>
          <w:szCs w:val="18"/>
          <w:color w:val="auto"/>
        </w:rPr>
        <w:t>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w:t>
      </w:r>
    </w:p>
    <w:p>
      <w:pPr>
        <w:spacing w:after="0" w:line="159" w:lineRule="exact"/>
        <w:rPr>
          <w:sz w:val="20"/>
          <w:szCs w:val="20"/>
          <w:color w:val="auto"/>
        </w:rPr>
      </w:pPr>
    </w:p>
    <w:p>
      <w:pPr>
        <w:jc w:val="both"/>
        <w:ind w:firstLine="751"/>
        <w:spacing w:after="0" w:line="239" w:lineRule="auto"/>
        <w:tabs>
          <w:tab w:leader="none" w:pos="1019"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85" w:lineRule="exact"/>
        <w:rPr>
          <w:sz w:val="20"/>
          <w:szCs w:val="20"/>
          <w:color w:val="auto"/>
        </w:rPr>
      </w:pPr>
    </w:p>
    <w:p>
      <w:pPr>
        <w:ind w:left="1020" w:hanging="269"/>
        <w:spacing w:after="0"/>
        <w:tabs>
          <w:tab w:leader="none" w:pos="102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1" w:lineRule="auto"/>
        <w:tabs>
          <w:tab w:leader="none" w:pos="1019"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77" w:lineRule="exact"/>
        <w:rPr>
          <w:rFonts w:ascii="Times New Roman" w:cs="Times New Roman" w:eastAsia="Times New Roman" w:hAnsi="Times New Roman"/>
          <w:sz w:val="19"/>
          <w:szCs w:val="19"/>
          <w:color w:val="auto"/>
        </w:rPr>
      </w:pPr>
    </w:p>
    <w:p>
      <w:pPr>
        <w:jc w:val="both"/>
        <w:ind w:firstLine="751"/>
        <w:spacing w:after="0" w:line="241" w:lineRule="auto"/>
        <w:tabs>
          <w:tab w:leader="none" w:pos="1019"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8" w:lineRule="exact"/>
        <w:rPr>
          <w:sz w:val="20"/>
          <w:szCs w:val="20"/>
          <w:color w:val="auto"/>
        </w:rPr>
      </w:pPr>
    </w:p>
    <w:p>
      <w:pPr>
        <w:ind w:left="1020" w:hanging="269"/>
        <w:spacing w:after="0"/>
        <w:tabs>
          <w:tab w:leader="none" w:pos="102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Remedies for Employee’s Breach</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9" w:lineRule="auto"/>
        <w:tabs>
          <w:tab w:leader="none" w:pos="1019"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84" w:name="page85"/>
    <w:bookmarkEnd w:id="84"/>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Company and its Affiliates irreparable harm and injury for which no adequate remedy at law exists. Therefore, in the event of the breach or threatened breach of the provisions of this Attachment I by Employee, the Company and its Affiliates will be entitled to: </w:t>
      </w:r>
      <w:r>
        <w:rPr>
          <w:rFonts w:ascii="Times New Roman" w:cs="Times New Roman" w:eastAsia="Times New Roman" w:hAnsi="Times New Roman"/>
          <w:sz w:val="19"/>
          <w:szCs w:val="19"/>
          <w:b w:val="1"/>
          <w:bCs w:val="1"/>
          <w:color w:val="auto"/>
        </w:rPr>
        <w:t>(i) recover from Employee the value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of any portion of the 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76" w:lineRule="exact"/>
        <w:rPr>
          <w:sz w:val="20"/>
          <w:szCs w:val="20"/>
          <w:color w:val="auto"/>
        </w:rPr>
      </w:pPr>
    </w:p>
    <w:p>
      <w:pPr>
        <w:jc w:val="both"/>
        <w:ind w:firstLine="751"/>
        <w:spacing w:after="0" w:line="260" w:lineRule="auto"/>
        <w:tabs>
          <w:tab w:leader="none" w:pos="10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60" w:lineRule="exact"/>
        <w:rPr>
          <w:rFonts w:ascii="Times New Roman" w:cs="Times New Roman" w:eastAsia="Times New Roman" w:hAnsi="Times New Roman"/>
          <w:sz w:val="18"/>
          <w:szCs w:val="18"/>
          <w:color w:val="auto"/>
        </w:rPr>
      </w:pPr>
    </w:p>
    <w:p>
      <w:pPr>
        <w:jc w:val="both"/>
        <w:ind w:firstLine="751"/>
        <w:spacing w:after="0" w:line="249" w:lineRule="auto"/>
        <w:tabs>
          <w:tab w:leader="none" w:pos="1019"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covenants in this Attachment I will be construed as an agreement independent of any other provision in this Attachment I, and the existence of any claim or cause of action of Employee against the Company or any Affiliate, whether predicated on this Attachment I or otherwise, will not constitute a defense to the enforcement by the Company or any Affiliate of such covenants or provisions.</w:t>
      </w:r>
    </w:p>
    <w:p>
      <w:pPr>
        <w:spacing w:after="0" w:line="17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that the remedies contained in the Attachment I for violation of this Attachment I are not the exclusive remedies that the Company or an Affiliate may pursue.</w:t>
      </w:r>
    </w:p>
    <w:p>
      <w:pPr>
        <w:spacing w:after="0" w:line="158" w:lineRule="exact"/>
        <w:rPr>
          <w:sz w:val="20"/>
          <w:szCs w:val="20"/>
          <w:color w:val="auto"/>
        </w:rPr>
      </w:pPr>
    </w:p>
    <w:p>
      <w:pPr>
        <w:jc w:val="both"/>
        <w:ind w:firstLine="751"/>
        <w:spacing w:after="0" w:line="249" w:lineRule="auto"/>
        <w:tabs>
          <w:tab w:leader="none" w:pos="1019"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Waiver of any term of this Attachment I by the Company will not operate as a waiver of any other term of this Attachment I. A failure to enforce any provision of this Attachment I will not operate as a waiver of the Company’s right to enforce any other provision of this Attachment I.</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5" w:lineRule="auto"/>
        <w:tabs>
          <w:tab w:leader="none" w:pos="101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represents and warrants that Employee is not a party to any other agreement that will interfere with Employee’s full compliance with this Attachment I or that otherwise may restrict Employee’s employment by the Company or its Affiliates or the performance of Employee’s duties for the Company or its Affiliates. Employee agrees not to enter into any agreement, whether oral or written, in conflict with this Attachment I.</w:t>
      </w:r>
    </w:p>
    <w:p>
      <w:pPr>
        <w:spacing w:after="0" w:line="174"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Attachment I may be enforced by, will inure to the benefit of, and be binding upon the Company, its successors, and assigns. This Agreement will also inure to the benefit of, and may be enforced by, the Company’s Affiliates. This Attachment I is binding upon Employee’s heirs and legal representatives.</w:t>
      </w:r>
    </w:p>
    <w:p>
      <w:pPr>
        <w:spacing w:after="0" w:line="17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Attachment I prohibits Employee from reporting possible violation of federal law or regulation to any governmental agency or entity, or making disclosures that are protected under a “whistleblower” provision of federal law or regulation.</w:t>
      </w:r>
    </w:p>
    <w:p>
      <w:pPr>
        <w:spacing w:after="0" w:line="157" w:lineRule="exact"/>
        <w:rPr>
          <w:rFonts w:ascii="Times New Roman" w:cs="Times New Roman" w:eastAsia="Times New Roman" w:hAnsi="Times New Roman"/>
          <w:sz w:val="19"/>
          <w:szCs w:val="19"/>
          <w:color w:val="auto"/>
        </w:rPr>
      </w:pPr>
    </w:p>
    <w:p>
      <w:pPr>
        <w:jc w:val="both"/>
        <w:ind w:firstLine="751"/>
        <w:spacing w:after="0" w:line="270" w:lineRule="auto"/>
        <w:tabs>
          <w:tab w:leader="none" w:pos="10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employed by an Affiliate of the Company or by accepting a transfer to an Affiliate of the Company, Employee agrees to the automatic application of all of the terms of this Attachment I to said Affiliate contemporaneously with the acceptance of such transfer, subject to subsequent agreements, if any, executed by Employee and the Affiliate of the Company or the Company, and to the fullest extent allowed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935355</wp:posOffset>
            </wp:positionV>
            <wp:extent cx="7165975" cy="412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85" w:name="page86"/>
    <w:bookmarkEnd w:id="85"/>
    <w:p>
      <w:pPr>
        <w:jc w:val="both"/>
        <w:ind w:left="-751" w:firstLine="751"/>
        <w:spacing w:after="0" w:line="242" w:lineRule="auto"/>
        <w:tabs>
          <w:tab w:leader="none" w:pos="268"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Should any portion of this Attachment I be held invalid, unenforceable, or void, such holding will not have the effect of invalidating or voiding the other portions of this Attachment 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will give rise to a finding of knowing, willful, or bad faith unreasonableness against the Company regarding this Attachment I.</w:t>
      </w:r>
    </w:p>
    <w:p>
      <w:pPr>
        <w:spacing w:after="0" w:line="175" w:lineRule="exact"/>
        <w:rPr>
          <w:rFonts w:ascii="Times New Roman" w:cs="Times New Roman" w:eastAsia="Times New Roman" w:hAnsi="Times New Roman"/>
          <w:sz w:val="19"/>
          <w:szCs w:val="19"/>
          <w:color w:val="auto"/>
        </w:rPr>
      </w:pPr>
    </w:p>
    <w:p>
      <w:pPr>
        <w:jc w:val="both"/>
        <w:ind w:left="-751" w:firstLine="751"/>
        <w:spacing w:after="0" w:line="249" w:lineRule="auto"/>
        <w:tabs>
          <w:tab w:leader="none" w:pos="268"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and conditions of this Attachment 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1204595</wp:posOffset>
            </wp:positionV>
            <wp:extent cx="7165975" cy="412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489"/>
          </w:cols>
          <w:pgMar w:left="1071" w:top="133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213" w:lineRule="exact"/>
        <w:rPr>
          <w:sz w:val="20"/>
          <w:szCs w:val="20"/>
          <w:color w:val="auto"/>
        </w:rPr>
      </w:pPr>
    </w:p>
    <w:p>
      <w:pPr>
        <w:jc w:val="center"/>
        <w:ind w:right="40"/>
        <w:spacing w:after="0" w:line="267" w:lineRule="auto"/>
        <w:rPr>
          <w:sz w:val="20"/>
          <w:szCs w:val="20"/>
          <w:color w:val="auto"/>
        </w:rPr>
      </w:pPr>
      <w:r>
        <w:rPr>
          <w:rFonts w:ascii="Times New Roman" w:cs="Times New Roman" w:eastAsia="Times New Roman" w:hAnsi="Times New Roman"/>
          <w:sz w:val="19"/>
          <w:szCs w:val="19"/>
          <w:b w:val="1"/>
          <w:bCs w:val="1"/>
          <w:color w:val="auto"/>
        </w:rPr>
        <w:t>SPECIFIC PROVISIONS APPLICABLE TO EMPLOYEES BEING FRENCH TAX RESIDENT (AT THE DATE OF GRANT) OR BECOMING FRENCH TAX RESIDENT (AFTER THE DATE OF GRANT)</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This Appendix A includes additional terms and conditions that govern the Restricted Stock Units granted to you under the Plan if, as the case may be, you are Tax resident in France or you are becoming French Tax resident after the date of grant. Defined terms not otherwise defined in this appendix have the meaning provided in the Plan or the sub-plan for France as the case may be.</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According to vesting and transfer rules of the Plan, (i) the Restricted Stock Units vest over a three (3) year period according to the following schedule (“Vesting Dates”) : provided that the Employee has been continuously employed by the Company or any of its Subsidiaries from the Grant Date to each Vesting Date: one-third on the first anniversary of the grant date, one-third on the second anniversary of the grant date, and one-third on the third anniversary of the grant date (ii) the sale of shares issued pursuant to the conversion of the Restricted Stock Units can occur when the Restricted Stock Units are converted into shares from the Grant Date to each Vesting Date.</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have mutually agreed to convert your grant to the sub-plan for France which governs the Restricted Stock Units granted to employees who are resident of France or who are or may become subject to French tax and provide for specific minimum French law holding period requirements, in line with the rules on Omnibus Stock Incentive Plan for employees in France.</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Accordingly, the Restricted Stock Units granted under this French sub-plan will be deemed French Qualified Restricted Stock Units and are intended to be eligible for the specific income and social security tax regime applicable to shares granted for no consideration under the Articles L.225-197-1 to L.225-197-5 of the French Commercial Code.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Employee and the Company agree to comply with the provisions of the French sub-plan and execute such further instruments or to take such further action as may reasonably be necessary to carry out the intent of this Agreement.</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Accordingly, Employee irrevocably agrees that (including, for the avoidance of doubt, if such Employee is no longer a French tax resident at the end of the Holding Period as defined below):</w:t>
      </w:r>
    </w:p>
    <w:p>
      <w:pPr>
        <w:spacing w:after="0" w:line="170" w:lineRule="exact"/>
        <w:rPr>
          <w:sz w:val="20"/>
          <w:szCs w:val="20"/>
          <w:color w:val="auto"/>
        </w:rPr>
      </w:pPr>
    </w:p>
    <w:p>
      <w:pPr>
        <w:ind w:left="740" w:right="20" w:hanging="739"/>
        <w:spacing w:after="0" w:line="262" w:lineRule="auto"/>
        <w:tabs>
          <w:tab w:leader="none" w:pos="37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French Qualified Restricted Stock Units shall vest and be delivered one-third on the first anniversary of the grant date, one-third on the second anniversary of the grant date, and one-third on the third anniversary of the grant date;</w:t>
      </w:r>
    </w:p>
    <w:p>
      <w:pPr>
        <w:spacing w:after="0" w:line="170" w:lineRule="exact"/>
        <w:rPr>
          <w:rFonts w:ascii="Times New Roman" w:cs="Times New Roman" w:eastAsia="Times New Roman" w:hAnsi="Times New Roman"/>
          <w:sz w:val="19"/>
          <w:szCs w:val="19"/>
          <w:color w:val="auto"/>
        </w:rPr>
      </w:pPr>
    </w:p>
    <w:p>
      <w:pPr>
        <w:ind w:left="740" w:hanging="739"/>
        <w:spacing w:after="0" w:line="249" w:lineRule="auto"/>
        <w:tabs>
          <w:tab w:leader="none" w:pos="37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shares related to a French Qualified Restricted Stock Unit which have been delivered prior to the second anniversary of the Grant Date in accordance with the vesting schedule above shall be subject to a holding period till the second year anniversary of the Grant Date (the “Holding Period”).</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By way of exception, upon Termination of Employment from the Company by reason of Employee’s death, (i) all French Qualified Restricted Stock Units that are not vested at that time immediately will become vested in full and (ii) the Company shall issue the underlying shares to the Employee’s heirs, at their request, within six months following the death of the Employee. In case of Employee’s death or disability (as determined by the Committee in its sole and absolute discretion, and as defined under article L341-4 of the Social Security Code), the shares shall be freely transferable, subject to the French Closed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950595</wp:posOffset>
            </wp:positionV>
            <wp:extent cx="7165975" cy="412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87" w:name="page88"/>
    <w:bookmarkEnd w:id="87"/>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the avoidance of doubt, (i) none of the vested French Qualified Restricted Stock Units shall be settled in cash and (ii) Employee will have all rights as a stockholder of the Company with regard to the Restricted Stock Units as of the date of delivery of the shares.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sale of shares issued pursuant to the conversion of the French Qualified Restricted Stock Units may occur as soon as the shares are delivered to the Employee, subject to such Employee complying with the Holding Period for the French Qualified Restricted Stock Units vested before the second anniversary of the Grant Date. However, in no circumstances shares may be sold during the following French Closed Periods:</w:t>
      </w:r>
    </w:p>
    <w:p>
      <w:pPr>
        <w:spacing w:after="0" w:line="183" w:lineRule="exact"/>
        <w:rPr>
          <w:sz w:val="20"/>
          <w:szCs w:val="20"/>
          <w:color w:val="auto"/>
        </w:rPr>
      </w:pPr>
    </w:p>
    <w:p>
      <w:pPr>
        <w:ind w:left="380" w:hanging="379"/>
        <w:spacing w:after="0"/>
        <w:tabs>
          <w:tab w:leader="none" w:pos="38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10 days before or after the publication of the annual accounts;</w:t>
      </w:r>
    </w:p>
    <w:p>
      <w:pPr>
        <w:spacing w:after="0" w:line="213" w:lineRule="exact"/>
        <w:rPr>
          <w:rFonts w:ascii="Times New Roman" w:cs="Times New Roman" w:eastAsia="Times New Roman" w:hAnsi="Times New Roman"/>
          <w:sz w:val="19"/>
          <w:szCs w:val="19"/>
          <w:color w:val="auto"/>
        </w:rPr>
      </w:pPr>
    </w:p>
    <w:p>
      <w:pPr>
        <w:ind w:left="600" w:hanging="599"/>
        <w:spacing w:after="0" w:line="249" w:lineRule="auto"/>
        <w:tabs>
          <w:tab w:leader="none" w:pos="38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a period beginning with the date at which executives of SLB Limited become aware of any information which, were it to be public knowledge, could have a significant impact on the price of shares in and ending 10 trading days after the information becomes public knowledge.</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These Closed Periods will apply to grant of French Qualified Restricted Stock Units as long as and to the extent such Closed Periods are applicable under French law.</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Appendix will not affect the validity or enforceability of any other provision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836930</wp:posOffset>
            </wp:positionV>
            <wp:extent cx="7165975" cy="412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B</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ADDITIONAL TERMS AND CONDITIONS APPLICABLE TO PARTICIPANTS IN CHINA SUBJECT TO SAFE</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Capitalized terms used but not defined in this Appendix B are defined in the SLB 2017 Omnibus Stock Incentive Plan, as may be amended (the “Plan”), and the Restricted Stock Unit award agreement (the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Introduction</w:t>
      </w:r>
      <w:r>
        <w:rPr>
          <w:rFonts w:ascii="Times New Roman" w:cs="Times New Roman" w:eastAsia="Times New Roman" w:hAnsi="Times New Roman"/>
          <w:sz w:val="19"/>
          <w:szCs w:val="19"/>
          <w:u w:val="single" w:color="auto"/>
          <w:color w:val="auto"/>
        </w:rPr>
        <w:t>.</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following terms and conditions will apply to you to the extent that the Company, in its discretion, determines that your participation in the Plan is subject to exchange control restrictions in the People’s Republic of China (the “PRC”), as implemented by the PRC State Administration of Foreign Exchange (“SAFE”).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Vesting of RSUs</w:t>
      </w:r>
      <w:r>
        <w:rPr>
          <w:rFonts w:ascii="Times New Roman" w:cs="Times New Roman" w:eastAsia="Times New Roman" w:hAnsi="Times New Roman"/>
          <w:sz w:val="19"/>
          <w:szCs w:val="19"/>
          <w:color w:val="auto"/>
        </w:rPr>
        <w:t>. The following provision supplements Section 1 of the Agreement:</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Unless and until the Company has obtained all necessary exchange control or other approvals from SAFE or its local counterpart (“SAFE Approval”) with respect to your Restricted Stock Units (“RSUs”), the shares of Common Stock represented by such RSUs will be issued to you as soon as administratively feasible after the Company has obtained SAFE Approval. The Company is under no obligation to issue shares of Common Stock if the Company has not obtained SAFE Approval.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Acceleration on Retirement</w:t>
      </w:r>
      <w:r>
        <w:rPr>
          <w:rFonts w:ascii="Times New Roman" w:cs="Times New Roman" w:eastAsia="Times New Roman" w:hAnsi="Times New Roman"/>
          <w:sz w:val="19"/>
          <w:szCs w:val="19"/>
          <w:color w:val="auto"/>
        </w:rPr>
        <w:t>. The following provision replaces Section 1(c) of the Agreement in its entirety:</w:t>
      </w:r>
    </w:p>
    <w:p>
      <w:pPr>
        <w:spacing w:after="0" w:line="206" w:lineRule="exact"/>
        <w:rPr>
          <w:sz w:val="20"/>
          <w:szCs w:val="20"/>
          <w:color w:val="auto"/>
        </w:rPr>
      </w:pPr>
    </w:p>
    <w:p>
      <w:pPr>
        <w:jc w:val="both"/>
        <w:ind w:firstLine="750"/>
        <w:spacing w:after="0" w:line="249" w:lineRule="auto"/>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Retirement</w:t>
      </w:r>
      <w:r>
        <w:rPr>
          <w:rFonts w:ascii="Times New Roman" w:cs="Times New Roman" w:eastAsia="Times New Roman" w:hAnsi="Times New Roman"/>
          <w:sz w:val="19"/>
          <w:szCs w:val="19"/>
          <w:color w:val="auto"/>
        </w:rPr>
        <w:t>. To allow the Company to comply with PRC exchange control restrictions, upon Termination of Employment from the Company and its Subsidiaries by reason of Employee’s Retirement (as defined in Section 11), the Restricted Stock Units will become fully vested, subject to the Company obtaining SAFE Approval before vesting of the Restricted Stock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Settlement of RSUs and Sale of Shares</w:t>
      </w:r>
      <w:r>
        <w:rPr>
          <w:rFonts w:ascii="Times New Roman" w:cs="Times New Roman" w:eastAsia="Times New Roman" w:hAnsi="Times New Roman"/>
          <w:sz w:val="19"/>
          <w:szCs w:val="19"/>
          <w:color w:val="auto"/>
        </w:rPr>
        <w:t>. The following provision supplements Section 2 of the Agreement:</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Notwithstanding anything to the contrary in the Plan or this Agreement, you understand and agree that the Company may require any shares of Common Stock that you acquire from vesting of the RSUs to be immediately sold at vesting or, at the Company’s discretion, at a later time. The purpose of this is solely to allow the Company to comply with PRC exchange control restrictions.</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You understand and agree that any shares of Common Stock acquired by you under Plan must be sold by no later than ninety (90) days after your Termination of Employment, or within any other such time frame as may be permitted by the Company or required by SAFE. Further, you understand that any shares of Common Stock acquired by you under the Plan that have not been sold within ninety (90) days of your termination of employment will be automatically sold by Fidelity (which is the Company's current designated broker) at the Company’s direction. For the sake of clarity, any references to Fidelity in this Appendix also refer to any other designated broker the Company may use in the future.</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You further agree that the Company is authorized to instruct Fidelity to assist with the mandatory sale of the shares of Common Stock, and you expressly authorize Fidelity to complete the sale of the shares of Common Stock. Your acceptance of this Agreement constitutes your authorization for Fidelity to act on your behalf in the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89" w:name="page90"/>
    <w:bookmarkEnd w:id="89"/>
    <w:p>
      <w:pPr>
        <w:jc w:val="both"/>
        <w:spacing w:after="0" w:line="245" w:lineRule="auto"/>
        <w:rPr>
          <w:sz w:val="20"/>
          <w:szCs w:val="20"/>
          <w:color w:val="auto"/>
        </w:rPr>
      </w:pPr>
      <w:r>
        <w:rPr>
          <w:rFonts w:ascii="Times New Roman" w:cs="Times New Roman" w:eastAsia="Times New Roman" w:hAnsi="Times New Roman"/>
          <w:sz w:val="19"/>
          <w:szCs w:val="19"/>
          <w:color w:val="auto"/>
        </w:rPr>
        <w:t>You acknowledge that Fidelity is under no obligation to arrange for the sale of shares of Common Stock at any particular price. Upon the sale of the shares of Common Stock, the Company agrees to pay you the cash proceeds from the sale, less any brokerage fees or commissions, in accordance with applicable exchange control laws and regulations, and provided any liability for Tax-Related Items (as defined in Section 6 of the Agreement) has been satisfied.</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Due to fluctuations in the Company’s share price and the United States Dollar exchange rate between the date that shares are issued to you upon vesting of the RSUs and (if later) the date on which the shares of Common Stock are sold, the sale proceeds may be more or less than the fair market value of the shares of Common Stock on the date the shares are initially issued to you. This date is the relevant date for determining your tax liability. You understand and agree that the Company is not responsible for the amount of any loss you may incur, and that the Company assumes no liability for any fluctuation in the share price or United States Dollar exchange rate.</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You further agree that any shares of Common Stock to be issued to you shall be deposited directly into your Fidelity account. You also agree that you may not transfer the deposited shares of Common Stock from your Fidelity account. This limitation will apply both to transfers to different accounts with Fidelity and to transfers to other brokerage firms. The limitation shall apply to all shares of Common Stock issued to you under the Plan, whether or not you continue to be employed by the Company, the Employer or any affiliate of the Company.</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Exchange Control Requirements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SAFE rules require that when you sell shares of Common Stock or receive any other cash payments from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dividends), all such funds must be immediately brought back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"repatriated") to China through a special exchange control account. To comply with this requirement, the Company will set up the special exchange control account and will facilitate the repatriation of the funds to China where the funds will be delivered to you. By accepting the RSUs, you acknowledge and agree that all funds received from your shares of Stock must be repatriated to China, and you hereby consent and agree that such funds may be transferred to the special exchange control account prior to being delivered to you.</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You understand that the sale proceeds (or other funds) may be paid to you in local currency. If the funds are paid in local currency, you acknowledge that neither the Company nor any affiliate is under an obligation to secure any particular currency conversion rate and that the Company (or any affiliate) may face delays in converting the funds to local currency due to exchange control requirements in China. You agree to bear any currency fluctuation risk between the time the shares of Common Stock are sold (or other funds are paid out) and the time the funds are converted into local currency and distributed to you.</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You further agree to comply with any other requirements that may be imposed by the Company in the future to facilitate compliance with exchange control requirements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938530</wp:posOffset>
            </wp:positionV>
            <wp:extent cx="7165975" cy="412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 STATE AND COUNTRY-SPECIFIC APPENDICES FOR ATTACHMENT I</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u w:val="single" w:color="auto"/>
          <w:color w:val="auto"/>
        </w:rPr>
        <w:t>Appendix C.1- U.S. State Law</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Notwithstanding anything herein to the contrary, if Employee primarily resides or works in any of the U.S. states below, or transfers employment and/or residency after the Grant Date to one of the U.S. states below, then the following terms shall apply to the noncompete and nonsolicit restrictions in Sections 6 and 7 of Attachment I after the date on which Employee ceases to be employed by the Company Group for as long as Employee continues to work or reside in such 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California</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Sections 6 and 7(b) of Attachment I shall not apply to any Employee who primarily resides or works in, or transfers employment and/or residency after the Grant Date to California. For any Employee who primarily resides or works in California, any clause or agreement between Employee and the Company that restricts post-employment competition in California, including but not limited to Sections 6 and 7(b), are hereby rescinded and shall be deemed null and void.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Colorado</w:t>
      </w:r>
    </w:p>
    <w:p>
      <w:pPr>
        <w:spacing w:after="0" w:line="2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Employee acknowledges that Employee was provided with a separate notice of Sections 6 and 7 of Attachment I at least 14 days before the earlier of (1) the effective date of this Agreement or (2) the Grant Date.</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Section 6 of Attachment I shall only apply to any Employee who primarily resides or works in, or transfers employment and/or residency after the Grant Date to Colorado and earns an amount of compensation equal to or greater than the threshold amount for “highly compensated workers” under Colorado law.</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Section 7(b) of Attachment I shall only apply to any Employee who primarily resides or works in, or transfers employment and/or residency after the Grant Date to Colorado and earns an amount of compensation equal to or greater than 60% of the threshold amount for “highly compensated workers” under Colorado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Georgia</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Section 6 of Attachment I shall only apply to any Employee who primarily resides or works in, or transfers employment and/or residency after the Grant Date to Georgia and (i) customarily and regularly solicits customers or prospective customers for the Company Group, (ii) customarily and regularly engages in making sales or obtaining orders or contracts for products or services to be performed by others, (iii) has the authority to hire or fire other employees or particular weight is given to Employee’s suggestions and recommendations as to the hiring, firing, advancement, promotion, or any other change of status of other employees, or (iv) performs the duties of a “key employee” or professional under Georgia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Idaho</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Section 6 of Attachment I shall only apply to any Employee who primarily resides or works in, or transfers employment and/or residency after the Grant Date to Idaho and performs the duties of a “key employee” under Idaho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938530</wp:posOffset>
            </wp:positionV>
            <wp:extent cx="7165975" cy="412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9"/>
          <w:szCs w:val="19"/>
          <w:b w:val="1"/>
          <w:bCs w:val="1"/>
          <w:color w:val="auto"/>
        </w:rPr>
        <w:t>Illinois</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Sections 6 and 7 of Attachment I shall only apply to any Employee who primarily resides or works in, or transfers employment and/or residency after the Grant Date to Illinois and: (i) whose actual or expected annualized rate of earnings exceeds the statutory amount set in the Illinois Freedom to Work Act 820 ILCS 90/10, as adjusted in accordance with the Illinois Freedom to Work Act and (ii) who was not laid off or furloughed due to COVID-19 or similar circumstances without appropriate compensation.</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Employee acknowledges that: (i) the Company has advised Employee that Employee has the right to consult with an attorney before executing this Agreement, and (ii) Employee was provided with a separate notice of Sections 6 and 7(b) of Attachment I at least 14 days before the earlier of (1) the effective date of this Agreement or (2) the Grant Date or Employee was provided with at least 14 days to review this Agreement. Employee further acknowledges that the Company is in compliance with this provision even if Employee voluntarily elects to sign this Agreement before the expiration of the 14-day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Louisiana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Employees who primarily reside or work in, or transfer employment and/or residency after the Grant Date to Louisiana, the Restricted Territory shall be as described below.</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Within the State of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Massachusetts</w:t>
      </w:r>
    </w:p>
    <w:p>
      <w:pPr>
        <w:spacing w:after="0" w:line="2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Section 6 of Attachment I shall only apply to any Employee who primarily resides or works in, or transfers employment and/or residency after the Grant Date to Massachusetts and (i) is classified as exempt under the Fair Labor Standards Act, (ii) was not terminated without cause or laid off, (iii) who the Company Group pays on a pro-rata basis during the entirety of the restricted period following the date in which Employee ceases to be employed by the Company Group (but in no event longer than a one (1) year period) an amount equal to fifty percent (50%) of Employee’s highest annualized base salary paid by the Company Group within the two years preceding the date in which Employee ceases to be employed by the Company Group.</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Employee acknowledges that Employee was provided with this notice at least 10 days before the effective date of this Agreement. Employee acknowledges that Employee the Company has advised and hereby does advise Employee that Employee has the right to consult with an attorney of his or her choosing before executing this Agreement.</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restriction in Section 6(b) of Attachment I shall be limited to the period of one (1) year following the date on which Employee ceases to be employed by the Company Group, unless Employee has breached his or her fiduciary duty to the Company Group or Employee has unlawfully taken, physically or electronically, property belonging to the Company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Nevada</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Section 6 of Attachment I shall not apply to any Employee who primarily resides or works in, or transfers employment and/or residency after the Grant Date to Nevada and: (i) is paid solely on an hourly wage basis, exclusive of any tips or gratuities, or (ii) their termination was part of a reduction of force,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817880</wp:posOffset>
            </wp:positionV>
            <wp:extent cx="7165975" cy="412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92" w:name="page93"/>
    <w:bookmarkEnd w:id="92"/>
    <w:p>
      <w:pPr>
        <w:jc w:val="both"/>
        <w:spacing w:after="0" w:line="262" w:lineRule="auto"/>
        <w:rPr>
          <w:sz w:val="20"/>
          <w:szCs w:val="20"/>
          <w:color w:val="auto"/>
        </w:rPr>
      </w:pPr>
      <w:r>
        <w:rPr>
          <w:rFonts w:ascii="Times New Roman" w:cs="Times New Roman" w:eastAsia="Times New Roman" w:hAnsi="Times New Roman"/>
          <w:sz w:val="19"/>
          <w:szCs w:val="19"/>
          <w:color w:val="auto"/>
        </w:rPr>
        <w:t>or similar restructuring of the Company Group (unless the Company Group pays Employee’s salary, benefits, or equivalent compensation, including severance pay, if any, during the restricted period).</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Section 6 of Attachment I shall not restrict Employee from providing a service to a former customer or client if (i) Employee did not solicit the former customer or client; (ii) the customer or client voluntarily chose to leave and sought Employee’s services; and (iii) Employee has otherwise complied with Section 6 of Attachment I regarding time, geographic area, and scope of the restrained activity, other than any limitation on providing services to a former customer or client of the Company Group who seeks the services of Employee without any contact instigated by Employee.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North Dakota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Sections 6 and 7(b) of Attachment I shall not apply to any Employee who primarily resides or works in, or transfers employment and/or residency after the Grant Date to North Dakota.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Oklahoma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Section 6 of Attachment I shall not apply to any Employee who primarily resides or works in, or transfers employment and/or residency after the Grant Date to Oklahoma.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C.2 - United Arab Emirates</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Notwithstanding anything herein to the contrary, if Employee primarily resides or works in the United Arab Emirates, or transfers employment and/or residency after the Grant Date to the United Arab Emirates, then the following terms shall apply to the noncompete and nonsolicit restrictions in Sections 6 and 7 of Attachment I after the date on which Employee ceases to be employed by the Company Group for as long as Employee continues to work or reside in such state.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Restricted Territory shall be as described below.</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Emirate of Dubai (including but not limited to the Dubai International Financial Centre) and the Emirate of Abu Dhabi (including but not limited to the Abu Dhabi Global Market).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clause in Section 6(b) of Attachment I is hereby rescinded and shall be deemed null and void: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event of breach by Employee, the specified period will be extended by the period of time of the breach.</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restriction in Section 7 of Attachment I shall be limited to the period of twelve (12) months following the date on which Employee ceases to be employed by the Company Group.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clause in Section 7(a) of Attachment I is hereby rescinded and shall be deemed null and void: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event of breach by Employee, the specified period will be extended by the period of time of the breach.</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C.3 - Saudia Arabia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Notwithstanding anything herein to the contrary, if Employee primarily resides or works in Saudi Arabia, or transfers employment and/or residency after the Grant Date to Saudi Arabia, then the following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809625</wp:posOffset>
            </wp:positionV>
            <wp:extent cx="7165975" cy="412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93" w:name="page94"/>
    <w:bookmarkEnd w:id="93"/>
    <w:p>
      <w:pPr>
        <w:spacing w:after="0" w:line="262" w:lineRule="auto"/>
        <w:rPr>
          <w:sz w:val="20"/>
          <w:szCs w:val="20"/>
          <w:color w:val="auto"/>
        </w:rPr>
      </w:pPr>
      <w:r>
        <w:rPr>
          <w:rFonts w:ascii="Times New Roman" w:cs="Times New Roman" w:eastAsia="Times New Roman" w:hAnsi="Times New Roman"/>
          <w:sz w:val="19"/>
          <w:szCs w:val="19"/>
          <w:color w:val="auto"/>
        </w:rPr>
        <w:t>shall apply to the confidential information, noncompete and nonsolicit restrictions in Sections 3, 6 and 7 of Attachment I after the date on which Employee ceases to be employed by the Company Group for as long as Employee continues to work or reside in such state.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restriction in Section 3(c) of Attachment I shall only apply for 50 years following the termination of the Employee's employment.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Restricted Territory shall be as described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Dhahran, Khobar, Dammam, Udhailiyahh, Khafji, or King Salman Energy Park (SPARK).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restriction in Section 7(a) of Attachment I shall be limited to employees, consultants, or contractors: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17" w:lineRule="exact"/>
        <w:rPr>
          <w:sz w:val="20"/>
          <w:szCs w:val="20"/>
          <w:color w:val="auto"/>
        </w:rPr>
      </w:pPr>
    </w:p>
    <w:p>
      <w:pPr>
        <w:ind w:left="1000" w:hanging="249"/>
        <w:spacing w:after="0"/>
        <w:tabs>
          <w:tab w:leader="none" w:pos="100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whom Employee had contact or business dealings while employed by the Company and its Affiliates;</w:t>
      </w:r>
    </w:p>
    <w:p>
      <w:pPr>
        <w:spacing w:after="0" w:line="193" w:lineRule="exact"/>
        <w:rPr>
          <w:rFonts w:ascii="Times New Roman" w:cs="Times New Roman" w:eastAsia="Times New Roman" w:hAnsi="Times New Roman"/>
          <w:sz w:val="19"/>
          <w:szCs w:val="19"/>
          <w:color w:val="auto"/>
        </w:rPr>
      </w:pPr>
    </w:p>
    <w:p>
      <w:pPr>
        <w:ind w:left="1060" w:hanging="309"/>
        <w:spacing w:after="0"/>
        <w:tabs>
          <w:tab w:leader="none" w:pos="106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who worked in Employee’s business unit (Group); or</w:t>
      </w:r>
    </w:p>
    <w:p>
      <w:pPr>
        <w:spacing w:after="0" w:line="213" w:lineRule="exact"/>
        <w:rPr>
          <w:rFonts w:ascii="Times New Roman" w:cs="Times New Roman" w:eastAsia="Times New Roman" w:hAnsi="Times New Roman"/>
          <w:sz w:val="19"/>
          <w:szCs w:val="19"/>
          <w:color w:val="auto"/>
        </w:rPr>
      </w:pPr>
    </w:p>
    <w:p>
      <w:pPr>
        <w:ind w:left="1060" w:hanging="309"/>
        <w:spacing w:after="0"/>
        <w:tabs>
          <w:tab w:leader="none" w:pos="106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about whom Employee had access to confidential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w:t>
      </w:r>
    </w:p>
    <w:p>
      <w:pPr>
        <w:spacing w:after="0" w:line="213" w:lineRule="exact"/>
        <w:rPr>
          <w:sz w:val="20"/>
          <w:szCs w:val="20"/>
          <w:color w:val="auto"/>
        </w:rPr>
      </w:pPr>
    </w:p>
    <w:p>
      <w:pPr>
        <w:jc w:val="both"/>
        <w:ind w:firstLine="2"/>
        <w:spacing w:after="0" w:line="249" w:lineRule="auto"/>
        <w:tabs>
          <w:tab w:leader="none" w:pos="277"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who were engaged or employed by the Company or its Affiliates in Saudi Arabia on the date in which Employee ceases to be employed by the Company Group or was engaged or employed by the Company or its Affiliates in Saudi Arabia during the twelve (12)-month period immediately preceding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1075690</wp:posOffset>
            </wp:positionV>
            <wp:extent cx="7165975" cy="412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94" w:name="page95"/>
    <w:bookmarkEnd w:id="94"/>
    <w:p>
      <w:pPr>
        <w:jc w:val="both"/>
        <w:spacing w:after="0" w:line="252" w:lineRule="auto"/>
        <w:rPr>
          <w:sz w:val="20"/>
          <w:szCs w:val="20"/>
          <w:color w:val="auto"/>
        </w:rPr>
      </w:pPr>
      <w:r>
        <w:rPr>
          <w:rFonts w:ascii="Times New Roman" w:cs="Times New Roman" w:eastAsia="Times New Roman" w:hAnsi="Times New Roman"/>
          <w:sz w:val="19"/>
          <w:szCs w:val="19"/>
          <w:b w:val="1"/>
          <w:bCs w:val="1"/>
          <w:color w:val="auto"/>
        </w:rPr>
        <w:t>By selecting accept your award you certify that you have read, understand and agree to the terms of the RSU agreement, including the terms of Attachment I (including, without limitation, terms related to intellectual property, confidential information, solicitation or competition) are incorporated by reference herein and shall apply to the Employee as if fully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1073150</wp:posOffset>
            </wp:positionV>
            <wp:extent cx="7165975" cy="412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9"/>
          <w:szCs w:val="19"/>
          <w:b w:val="1"/>
          <w:bCs w:val="1"/>
          <w:color w:val="auto"/>
        </w:rPr>
        <w:t>Exhibit 10.12</w:t>
      </w:r>
    </w:p>
    <w:p>
      <w:pPr>
        <w:spacing w:after="0" w:line="391"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9"/>
          <w:szCs w:val="19"/>
          <w:b w:val="1"/>
          <w:bCs w:val="1"/>
          <w:color w:val="auto"/>
        </w:rPr>
        <w:t>SLB [</w:t>
      </w:r>
      <w:r>
        <w:rPr>
          <w:sz w:val="20"/>
          <w:szCs w:val="20"/>
          <w:color w:val="auto"/>
        </w:rPr>
        <w:tab/>
      </w:r>
      <w:r>
        <w:rPr>
          <w:rFonts w:ascii="Times New Roman" w:cs="Times New Roman" w:eastAsia="Times New Roman" w:hAnsi="Times New Roman"/>
          <w:sz w:val="18"/>
          <w:szCs w:val="18"/>
          <w:b w:val="1"/>
          <w:bCs w:val="1"/>
          <w:color w:val="auto"/>
        </w:rPr>
        <w:t>] OMNIBUS STOCK INCENTIVE PLAN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AWARD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(Includes Confidentiality, Intellectual Property, Non-Competition,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 Non-Solicitation Provisions in Section 7 and Attachment 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Effective Date: [  ]</w:t>
      </w:r>
    </w:p>
    <w:p>
      <w:pPr>
        <w:spacing w:after="0" w:line="211"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 xml:space="preserve">Please note: </w:t>
      </w:r>
      <w:r>
        <w:rPr>
          <w:rFonts w:ascii="Times New Roman" w:cs="Times New Roman" w:eastAsia="Times New Roman" w:hAnsi="Times New Roman"/>
          <w:sz w:val="19"/>
          <w:szCs w:val="19"/>
          <w:i w:val="1"/>
          <w:iCs w:val="1"/>
          <w:color w:val="auto"/>
        </w:rPr>
        <w:t>If you do not wish to accept this Restricted Stock Unit Award Agreement, you must notify the Stock Department no later than 30 days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after this Agreement is made available to you.</w:t>
      </w:r>
    </w:p>
    <w:p>
      <w:pPr>
        <w:spacing w:after="0" w:line="379" w:lineRule="exact"/>
        <w:rPr>
          <w:sz w:val="20"/>
          <w:szCs w:val="20"/>
          <w:color w:val="auto"/>
        </w:rPr>
      </w:pPr>
    </w:p>
    <w:p>
      <w:pPr>
        <w:jc w:val="both"/>
        <w:ind w:firstLine="372"/>
        <w:spacing w:after="0" w:line="242" w:lineRule="auto"/>
        <w:rPr>
          <w:sz w:val="20"/>
          <w:szCs w:val="20"/>
          <w:color w:val="auto"/>
        </w:rPr>
      </w:pPr>
      <w:r>
        <w:rPr>
          <w:rFonts w:ascii="Times New Roman" w:cs="Times New Roman" w:eastAsia="Times New Roman" w:hAnsi="Times New Roman"/>
          <w:sz w:val="19"/>
          <w:szCs w:val="19"/>
          <w:color w:val="auto"/>
        </w:rPr>
        <w:t>SLB LIMITED, a Curaçao corporation (the “Company”), hereby grants to the employee named in the Notice of Grant of Award (“Employee”) restricted stock units (“Restricted Stock Units” or “RSUs”) pursuant to this award agreement (as may be amended, the “Agreement”) (the “Award Notice”). Your RSUs are granted pursuant to the SLB [ ] Omnibus Stock Incentive Plan, as may be amended (the “Plan”). Restricted Stock Units are notional units of measurement denominated in shares of common stock of the Company, $.01 par value per share (“Common Stock”). Each Restricted Stock Unit represents a hypothetical share of Common Stock, subject to the conditions and restrictions on transferability set forth herein and in the Plan.</w:t>
      </w:r>
    </w:p>
    <w:p>
      <w:pPr>
        <w:spacing w:after="0" w:line="176" w:lineRule="exact"/>
        <w:rPr>
          <w:sz w:val="20"/>
          <w:szCs w:val="20"/>
          <w:color w:val="auto"/>
        </w:rPr>
      </w:pPr>
    </w:p>
    <w:p>
      <w:pPr>
        <w:ind w:firstLine="751"/>
        <w:spacing w:after="0" w:line="262" w:lineRule="auto"/>
        <w:tabs>
          <w:tab w:leader="none" w:pos="101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of Restricted Stock Units</w:t>
      </w:r>
      <w:r>
        <w:rPr>
          <w:rFonts w:ascii="Times New Roman" w:cs="Times New Roman" w:eastAsia="Times New Roman" w:hAnsi="Times New Roman"/>
          <w:sz w:val="19"/>
          <w:szCs w:val="19"/>
          <w:color w:val="auto"/>
        </w:rPr>
        <w:t>. The period of time between the grant date specified in the Award Notice (the “Grant Date”) and the vesting of Restricted Stock Units (and the termination of restrictions thereon) is the “Restricted Period.”</w:t>
      </w:r>
    </w:p>
    <w:p>
      <w:pPr>
        <w:spacing w:after="0" w:line="158" w:lineRule="exact"/>
        <w:rPr>
          <w:sz w:val="20"/>
          <w:szCs w:val="20"/>
          <w:color w:val="auto"/>
        </w:rPr>
      </w:pPr>
    </w:p>
    <w:p>
      <w:pPr>
        <w:jc w:val="both"/>
        <w:ind w:firstLine="751"/>
        <w:spacing w:after="0" w:line="245" w:lineRule="auto"/>
        <w:tabs>
          <w:tab w:leader="none" w:pos="1019"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Normal Vesting</w:t>
      </w:r>
      <w:r>
        <w:rPr>
          <w:rFonts w:ascii="Times New Roman" w:cs="Times New Roman" w:eastAsia="Times New Roman" w:hAnsi="Times New Roman"/>
          <w:sz w:val="19"/>
          <w:szCs w:val="19"/>
          <w:color w:val="auto"/>
        </w:rPr>
        <w:t>. The Restricted Stock Units will vest over a three (3) year period according to the following schedule (“Vesting Dates”), provided that the Employee has been continuously employed by the Company or any of its Subsidiaries from the Grant Date to each Vesting Date: one-third on the first anniversary of the grant date, one-third on the second anniversary of the grant date, and one-third on the third anniversary of the grant date.</w:t>
      </w:r>
    </w:p>
    <w:p>
      <w:pPr>
        <w:spacing w:after="0" w:line="174" w:lineRule="exact"/>
        <w:rPr>
          <w:sz w:val="20"/>
          <w:szCs w:val="20"/>
          <w:color w:val="auto"/>
        </w:rPr>
      </w:pPr>
    </w:p>
    <w:p>
      <w:pPr>
        <w:jc w:val="both"/>
        <w:ind w:firstLine="750"/>
        <w:spacing w:after="0" w:line="245" w:lineRule="auto"/>
        <w:rPr>
          <w:sz w:val="20"/>
          <w:szCs w:val="20"/>
          <w:color w:val="auto"/>
        </w:rPr>
      </w:pPr>
      <w:r>
        <w:rPr>
          <w:rFonts w:ascii="Times New Roman" w:cs="Times New Roman" w:eastAsia="Times New Roman" w:hAnsi="Times New Roman"/>
          <w:sz w:val="19"/>
          <w:szCs w:val="19"/>
          <w:color w:val="auto"/>
        </w:rPr>
        <w:t>Except as provided in Section 1(b) or 1(c) below, if there is any Termination of Employment (as defined in Section 11 below) during the period from and between the Grant Date until and including the Vesting Date, Employee will immediately and automatically forfeit all Restricted Stock Units that have yet to vest as of such date. Any questions as to whether and when there has been a Termination of Employment, and the cause of such termination, will be resolved by the Committee (as defined in Section 11 below), and its determination will be final.</w:t>
      </w:r>
    </w:p>
    <w:p>
      <w:pPr>
        <w:spacing w:after="0" w:line="174" w:lineRule="exact"/>
        <w:rPr>
          <w:sz w:val="20"/>
          <w:szCs w:val="20"/>
          <w:color w:val="auto"/>
        </w:rPr>
      </w:pPr>
    </w:p>
    <w:p>
      <w:pPr>
        <w:jc w:val="both"/>
        <w:ind w:firstLine="751"/>
        <w:spacing w:after="0" w:line="245" w:lineRule="auto"/>
        <w:tabs>
          <w:tab w:leader="none" w:pos="1019"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Acceleration on Death or Disability</w:t>
      </w:r>
      <w:r>
        <w:rPr>
          <w:rFonts w:ascii="Times New Roman" w:cs="Times New Roman" w:eastAsia="Times New Roman" w:hAnsi="Times New Roman"/>
          <w:sz w:val="19"/>
          <w:szCs w:val="19"/>
          <w:color w:val="auto"/>
        </w:rPr>
        <w:t>. Upon Termination of Employment by reason of Employee’s death or Disability (as defined in Section 11 below) or upon Employee’s Disability prior to Termination of Employment (as determined by the Committee and within the meaning of Section 409A of the U.S. Internal Revenue Code (the “Code”)), all Restricted Stock Units that are not vested at that time immediately and automatically will become vested in full.</w:t>
      </w:r>
    </w:p>
    <w:p>
      <w:pPr>
        <w:spacing w:after="0" w:line="174" w:lineRule="exact"/>
        <w:rPr>
          <w:rFonts w:ascii="Times New Roman" w:cs="Times New Roman" w:eastAsia="Times New Roman" w:hAnsi="Times New Roman"/>
          <w:sz w:val="19"/>
          <w:szCs w:val="19"/>
          <w:color w:val="auto"/>
        </w:rPr>
      </w:pPr>
    </w:p>
    <w:p>
      <w:pPr>
        <w:jc w:val="both"/>
        <w:ind w:firstLine="751"/>
        <w:spacing w:after="0" w:line="245" w:lineRule="auto"/>
        <w:tabs>
          <w:tab w:leader="none" w:pos="1019"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Retirement</w:t>
      </w:r>
      <w:r>
        <w:rPr>
          <w:rFonts w:ascii="Times New Roman" w:cs="Times New Roman" w:eastAsia="Times New Roman" w:hAnsi="Times New Roman"/>
          <w:sz w:val="19"/>
          <w:szCs w:val="19"/>
          <w:color w:val="auto"/>
        </w:rPr>
        <w:t>. Upon Termination of Employment from the Company and its Subsidiaries by reason of Employee’s Retirement (as defined in Section 11 below), the Restricted Stock Units will continue to vest following Termination of Employment as if Employee continued to be employed with the Company or any of its Subsidiaries, subject to forfeiture in the discretion of the Committee in the event that Employee engages in Detrimental Activity (as defined in Section 11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949325</wp:posOffset>
            </wp:positionV>
            <wp:extent cx="7165975" cy="412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96" w:name="page97"/>
    <w:bookmarkEnd w:id="96"/>
    <w:p>
      <w:pPr>
        <w:jc w:val="both"/>
        <w:ind w:left="-751" w:firstLine="751"/>
        <w:spacing w:after="0" w:line="260" w:lineRule="auto"/>
        <w:tabs>
          <w:tab w:leader="none" w:pos="2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 If Employee’s Restricted Stock Units vest in accordance with the normal vesting schedule described in the first sentence of Section 1(a) above or pursuant to Section 1(b) above, payment of vested Restricted Stock Units will be made as soon as administratively practicable, but in no event later than 45 days following the date that the Restricted Stock Units vest (the date of any such payment, the “Settlement Date”). Notwithstanding the foregoing, the Committee may, in its sole and absolute discretion, settle the vested Restricted Stock Units in cash based on the Fair Market Value (as defined in Section 11 below) of the shares of Common Stock on the settlement date.</w:t>
      </w:r>
    </w:p>
    <w:p>
      <w:pPr>
        <w:spacing w:after="0" w:line="160" w:lineRule="exact"/>
        <w:rPr>
          <w:rFonts w:ascii="Times New Roman" w:cs="Times New Roman" w:eastAsia="Times New Roman" w:hAnsi="Times New Roman"/>
          <w:sz w:val="18"/>
          <w:szCs w:val="18"/>
          <w:color w:val="auto"/>
        </w:rPr>
      </w:pPr>
    </w:p>
    <w:p>
      <w:pPr>
        <w:ind w:left="269" w:hanging="269"/>
        <w:spacing w:after="0"/>
        <w:tabs>
          <w:tab w:leader="none" w:pos="269"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Forfeitures of Restricted Stock Units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5" w:lineRule="auto"/>
        <w:tabs>
          <w:tab w:leader="none" w:pos="37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during the Restricted Period, upon a Termination of Employment for any reason that does not result in an acceleration or continuation of vesting pursuant to Section 1, Employee will immediately and automatically forfeit all unvested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74" w:lineRule="exact"/>
        <w:rPr>
          <w:rFonts w:ascii="Times New Roman" w:cs="Times New Roman" w:eastAsia="Times New Roman" w:hAnsi="Times New Roman"/>
          <w:sz w:val="19"/>
          <w:szCs w:val="19"/>
          <w:color w:val="auto"/>
        </w:rPr>
      </w:pPr>
    </w:p>
    <w:p>
      <w:pPr>
        <w:jc w:val="both"/>
        <w:ind w:left="-751" w:firstLine="751"/>
        <w:spacing w:after="0" w:line="245" w:lineRule="auto"/>
        <w:tabs>
          <w:tab w:leader="none" w:pos="37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in this Agreement to the contrary, if at any time during the Restricted Period, Employee engages in Detrimental Activity, Employee will immediately and automatically forfeit all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87" w:lineRule="exact"/>
        <w:rPr>
          <w:sz w:val="20"/>
          <w:szCs w:val="20"/>
          <w:color w:val="auto"/>
        </w:rPr>
      </w:pPr>
    </w:p>
    <w:p>
      <w:pPr>
        <w:ind w:left="269" w:hanging="269"/>
        <w:spacing w:after="0"/>
        <w:tabs>
          <w:tab w:leader="none" w:pos="26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 on Transfer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3" w:lineRule="auto"/>
        <w:tabs>
          <w:tab w:leader="none" w:pos="268"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Stock Units granted hereunder to Employee may not be sold, assigned, transferred, pledged or otherwise encumbered, whether voluntarily or involuntarily, by operation of law or otherwise (any of the foregoing, a “Transfer”), other than (i) to the Company as a result of the forfeiture of Restricted Stock Units, or (ii) by will or the laws of descent and distribution. Payment of Restricted Stock Units after Employee’s death will be made to Employee’s estate or, in the sole and absolute discretion of the Committee, to the person or persons entitled to receive such payment under applicable laws of descent and distribution.</w:t>
      </w:r>
    </w:p>
    <w:p>
      <w:pPr>
        <w:spacing w:after="0" w:line="175" w:lineRule="exact"/>
        <w:rPr>
          <w:rFonts w:ascii="Times New Roman" w:cs="Times New Roman" w:eastAsia="Times New Roman" w:hAnsi="Times New Roman"/>
          <w:sz w:val="19"/>
          <w:szCs w:val="19"/>
          <w:color w:val="auto"/>
        </w:rPr>
      </w:pPr>
    </w:p>
    <w:p>
      <w:pPr>
        <w:jc w:val="both"/>
        <w:ind w:left="-751" w:firstLine="751"/>
        <w:spacing w:after="0" w:line="243" w:lineRule="auto"/>
        <w:tabs>
          <w:tab w:leader="none" w:pos="268"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Restricted Stock Units will terminate and become of no further effect.</w:t>
      </w:r>
    </w:p>
    <w:p>
      <w:pPr>
        <w:spacing w:after="0" w:line="176" w:lineRule="exact"/>
        <w:rPr>
          <w:sz w:val="20"/>
          <w:szCs w:val="20"/>
          <w:color w:val="auto"/>
        </w:rPr>
      </w:pPr>
    </w:p>
    <w:p>
      <w:pPr>
        <w:jc w:val="both"/>
        <w:ind w:left="-751" w:firstLine="751"/>
        <w:spacing w:after="0" w:line="249" w:lineRule="auto"/>
        <w:tabs>
          <w:tab w:leader="none" w:pos="268"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as a Stockholder</w:t>
      </w:r>
      <w:r>
        <w:rPr>
          <w:rFonts w:ascii="Times New Roman" w:cs="Times New Roman" w:eastAsia="Times New Roman" w:hAnsi="Times New Roman"/>
          <w:sz w:val="19"/>
          <w:szCs w:val="19"/>
          <w:color w:val="auto"/>
        </w:rPr>
        <w:t>. Employee will have no rights as a stockholder of the Company with regard to the Restricted Stock Units. Rights as a stockholder of the Company will arise only if the Restricted Stock Units are settled in shares of Common Stock pursuant to Section 2 above.</w:t>
      </w:r>
    </w:p>
    <w:p>
      <w:pPr>
        <w:spacing w:after="0" w:line="170" w:lineRule="exact"/>
        <w:rPr>
          <w:rFonts w:ascii="Times New Roman" w:cs="Times New Roman" w:eastAsia="Times New Roman" w:hAnsi="Times New Roman"/>
          <w:sz w:val="19"/>
          <w:szCs w:val="19"/>
          <w:color w:val="auto"/>
        </w:rPr>
      </w:pPr>
    </w:p>
    <w:p>
      <w:pPr>
        <w:ind w:left="269" w:hanging="269"/>
        <w:spacing w:after="0"/>
        <w:tabs>
          <w:tab w:leader="none" w:pos="26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 and Social Insurance Withholding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9" w:lineRule="auto"/>
        <w:tabs>
          <w:tab w:leader="none" w:pos="43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946785</wp:posOffset>
            </wp:positionV>
            <wp:extent cx="7165975" cy="412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489"/>
          </w:cols>
          <w:pgMar w:left="1071" w:top="1337" w:right="339" w:bottom="1440" w:gutter="0" w:footer="0" w:header="0"/>
        </w:sectPr>
      </w:pPr>
    </w:p>
    <w:bookmarkStart w:id="97" w:name="page98"/>
    <w:bookmarkEnd w:id="97"/>
    <w:p>
      <w:pPr>
        <w:jc w:val="both"/>
        <w:spacing w:after="0" w:line="242" w:lineRule="auto"/>
        <w:rPr>
          <w:sz w:val="20"/>
          <w:szCs w:val="20"/>
          <w:color w:val="auto"/>
        </w:rPr>
      </w:pPr>
      <w:r>
        <w:rPr>
          <w:rFonts w:ascii="Times New Roman" w:cs="Times New Roman" w:eastAsia="Times New Roman" w:hAnsi="Times New Roman"/>
          <w:sz w:val="19"/>
          <w:szCs w:val="19"/>
          <w:color w:val="auto"/>
        </w:rPr>
        <w:t>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Restricted Stock Units, including the grant of the Restricted Stock Units, the vesting of the Restricted Stock Units, the conversion of the Restricted Stock Units into shares of Common Stock or the receipt of any equivalent cash payment, the subsequent sale of any shares of Common Stock acquired at vesting, and (ii) does not commit to structure the terms of the grant or any aspect of the Restricted Stock Units to reduce or eliminate Employee’s liability for the Tax-Related Items.</w:t>
      </w:r>
    </w:p>
    <w:p>
      <w:pPr>
        <w:spacing w:after="0" w:line="176" w:lineRule="exact"/>
        <w:rPr>
          <w:sz w:val="20"/>
          <w:szCs w:val="20"/>
          <w:color w:val="auto"/>
        </w:rPr>
      </w:pPr>
    </w:p>
    <w:p>
      <w:pPr>
        <w:jc w:val="both"/>
        <w:ind w:firstLine="751"/>
        <w:spacing w:after="0"/>
        <w:tabs>
          <w:tab w:leader="none" w:pos="1173"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or (ii) withhold whole shares of Common Stock which would otherwise be delivered to Employee having an aggregate Fair Market Value, determined as of the Tax Date, or withhold an amount of cash from Employee’s wages or other cash compensation which would otherwise be payable to Employee by the Company or from any equivalent cash payment received upon vesting of the Restricted Stock Units, equal to the amount necessary to satisfy any such obligation.</w:t>
      </w:r>
    </w:p>
    <w:p>
      <w:pPr>
        <w:jc w:val="both"/>
        <w:ind w:firstLine="751"/>
        <w:spacing w:after="0" w:line="237" w:lineRule="auto"/>
        <w:tabs>
          <w:tab w:leader="none" w:pos="1122"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the Employee if Employee fails to comply with his or her obligations in connection with the Tax-Related Items as described herein.</w:t>
      </w:r>
    </w:p>
    <w:p>
      <w:pPr>
        <w:spacing w:after="0" w:line="192" w:lineRule="exact"/>
        <w:rPr>
          <w:sz w:val="20"/>
          <w:szCs w:val="20"/>
          <w:color w:val="auto"/>
        </w:rPr>
      </w:pPr>
    </w:p>
    <w:p>
      <w:pPr>
        <w:jc w:val="both"/>
        <w:ind w:firstLine="751"/>
        <w:spacing w:after="0" w:line="255" w:lineRule="auto"/>
        <w:tabs>
          <w:tab w:leader="none" w:pos="101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 and Noncompetition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 acknowledges that Employee is in possession of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 which is incorporated herein by reference, including all rules, procedures, policies and requirements that the Company may promulgate consistent with Attachment I. Additionally, each of Employee and the Company (and each of its Subsidiaries) hereby acknowledges, agrees to, and reaffirms the terms of any prior Award Agreement (or attachment or annex thereto) containing any provisions related to confidential information, intellectual property, non-competition, non-solicitation or other restrictive covenants.</w:t>
      </w:r>
    </w:p>
    <w:p>
      <w:pPr>
        <w:spacing w:after="0" w:line="169" w:lineRule="exact"/>
        <w:rPr>
          <w:rFonts w:ascii="Times New Roman" w:cs="Times New Roman" w:eastAsia="Times New Roman" w:hAnsi="Times New Roman"/>
          <w:sz w:val="18"/>
          <w:szCs w:val="18"/>
          <w:color w:val="auto"/>
        </w:rPr>
      </w:pPr>
    </w:p>
    <w:p>
      <w:pPr>
        <w:jc w:val="both"/>
        <w:ind w:firstLine="751"/>
        <w:spacing w:after="0" w:line="249" w:lineRule="auto"/>
        <w:tabs>
          <w:tab w:leader="none" w:pos="1019"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Changes in Capital Structure</w:t>
      </w:r>
      <w:r>
        <w:rPr>
          <w:rFonts w:ascii="Times New Roman" w:cs="Times New Roman" w:eastAsia="Times New Roman" w:hAnsi="Times New Roman"/>
          <w:sz w:val="19"/>
          <w:szCs w:val="19"/>
          <w:color w:val="auto"/>
        </w:rPr>
        <w:t>. As more fully described in the Plan, if the outstanding shares of Common Stock at any time are changed or ex changed by declaration of a stock dividend, stock split, combination of shares, or recapitalization, the number and kind of Restricted Stock Units will be appropriately and equitably adjusted so as to maintain their equivalence to the proportionate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98" w:name="page99"/>
    <w:bookmarkEnd w:id="98"/>
    <w:p>
      <w:pPr>
        <w:jc w:val="both"/>
        <w:ind w:firstLine="751"/>
        <w:spacing w:after="0" w:line="242" w:lineRule="auto"/>
        <w:tabs>
          <w:tab w:leader="none" w:pos="1019"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Securities Laws</w:t>
      </w:r>
      <w:r>
        <w:rPr>
          <w:rFonts w:ascii="Times New Roman" w:cs="Times New Roman" w:eastAsia="Times New Roman" w:hAnsi="Times New Roman"/>
          <w:sz w:val="19"/>
          <w:szCs w:val="19"/>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5"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of Rights</w:t>
      </w:r>
      <w:r>
        <w:rPr>
          <w:rFonts w:ascii="Times New Roman" w:cs="Times New Roman" w:eastAsia="Times New Roman" w:hAnsi="Times New Roman"/>
          <w:sz w:val="19"/>
          <w:szCs w:val="19"/>
          <w:color w:val="auto"/>
        </w:rPr>
        <w:t>. Nothing in this Agreement or the Plan may be construed to:</w:t>
      </w:r>
    </w:p>
    <w:p>
      <w:pPr>
        <w:spacing w:after="0" w:line="200" w:lineRule="exact"/>
        <w:rPr>
          <w:sz w:val="20"/>
          <w:szCs w:val="20"/>
          <w:color w:val="auto"/>
        </w:rPr>
      </w:pPr>
    </w:p>
    <w:p>
      <w:pPr>
        <w:ind w:firstLine="751"/>
        <w:spacing w:after="0" w:line="262" w:lineRule="auto"/>
        <w:tabs>
          <w:tab w:leader="none" w:pos="1019"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 Employee or any other person or entity any right to be awarded any further Restricted Stock Units (or other form of stock incentive awards) other than in the sole discretion of the Committee;</w:t>
      </w:r>
    </w:p>
    <w:p>
      <w:pPr>
        <w:spacing w:after="0" w:line="157"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 Employee or any other person or entity any interest in any fund or in any specified asset or assets of the Company (other than the Restricted Stock Units); or</w:t>
      </w:r>
    </w:p>
    <w:p>
      <w:pPr>
        <w:spacing w:after="0" w:line="157"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confer upon Employee or any other person or entity the right to continue in the employment or service of the Company or any</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w:t>
      </w:r>
    </w:p>
    <w:p>
      <w:pPr>
        <w:spacing w:after="0" w:line="180" w:lineRule="exact"/>
        <w:rPr>
          <w:sz w:val="20"/>
          <w:szCs w:val="20"/>
          <w:color w:val="auto"/>
        </w:rPr>
      </w:pPr>
    </w:p>
    <w:p>
      <w:pPr>
        <w:ind w:left="1020" w:hanging="269"/>
        <w:spacing w:after="0"/>
        <w:tabs>
          <w:tab w:leader="none" w:pos="102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020" w:hanging="269"/>
        <w:spacing w:after="0"/>
        <w:tabs>
          <w:tab w:leader="none" w:pos="10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 is defined in the introduction.</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“Award Notice” is defined in the introduction.</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is defined in Section 15.</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is defined in Section 1(b).</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“Committee” means the Compensation Committee of the Board of Directors of the Company.</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“Common Stock” is defined in the introduction.</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means SLB Limited.</w:t>
      </w:r>
    </w:p>
    <w:p>
      <w:pPr>
        <w:spacing w:after="0" w:line="200" w:lineRule="exact"/>
        <w:rPr>
          <w:rFonts w:ascii="Times New Roman" w:cs="Times New Roman" w:eastAsia="Times New Roman" w:hAnsi="Times New Roman"/>
          <w:sz w:val="19"/>
          <w:szCs w:val="19"/>
          <w:color w:val="auto"/>
        </w:rPr>
      </w:pPr>
    </w:p>
    <w:p>
      <w:pPr>
        <w:jc w:val="both"/>
        <w:ind w:firstLine="751"/>
        <w:spacing w:after="0" w:line="254" w:lineRule="auto"/>
        <w:tabs>
          <w:tab w:leader="none" w:pos="101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Activity” means activity that is determined by the Committee in its sole and absolute discretion to be detrimental to the interests of the Company or any of its Subsidiaries, including but not limited to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99" w:name="page100"/>
    <w:bookmarkEnd w:id="99"/>
    <w:p>
      <w:pPr>
        <w:jc w:val="both"/>
        <w:spacing w:after="0" w:line="249" w:lineRule="auto"/>
        <w:rPr>
          <w:sz w:val="20"/>
          <w:szCs w:val="20"/>
          <w:color w:val="auto"/>
        </w:rPr>
      </w:pPr>
      <w:r>
        <w:rPr>
          <w:rFonts w:ascii="Times New Roman" w:cs="Times New Roman" w:eastAsia="Times New Roman" w:hAnsi="Times New Roman"/>
          <w:sz w:val="19"/>
          <w:szCs w:val="19"/>
          <w:color w:val="auto"/>
        </w:rPr>
        <w:t>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70" w:lineRule="exact"/>
        <w:rPr>
          <w:sz w:val="20"/>
          <w:szCs w:val="20"/>
          <w:color w:val="auto"/>
        </w:rPr>
      </w:pPr>
    </w:p>
    <w:p>
      <w:pPr>
        <w:jc w:val="both"/>
        <w:ind w:firstLine="751"/>
        <w:spacing w:after="0" w:line="245" w:lineRule="auto"/>
        <w:tabs>
          <w:tab w:leader="none" w:pos="1019"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74"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“Disability” means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is defined in the introduction.</w:t>
      </w:r>
    </w:p>
    <w:p>
      <w:pPr>
        <w:spacing w:after="0" w:line="200" w:lineRule="exact"/>
        <w:rPr>
          <w:rFonts w:ascii="Times New Roman" w:cs="Times New Roman" w:eastAsia="Times New Roman" w:hAnsi="Times New Roman"/>
          <w:sz w:val="19"/>
          <w:szCs w:val="19"/>
          <w:color w:val="auto"/>
        </w:rPr>
      </w:pPr>
    </w:p>
    <w:p>
      <w:pPr>
        <w:jc w:val="both"/>
        <w:ind w:firstLine="751"/>
        <w:spacing w:after="0" w:line="245" w:lineRule="auto"/>
        <w:tabs>
          <w:tab w:leader="none" w:pos="1019"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(m)“Grant Date” is defined in Section 1.</w:t>
      </w:r>
    </w:p>
    <w:p>
      <w:pPr>
        <w:spacing w:after="0" w:line="200" w:lineRule="exact"/>
        <w:rPr>
          <w:sz w:val="20"/>
          <w:szCs w:val="20"/>
          <w:color w:val="auto"/>
        </w:rPr>
      </w:pPr>
    </w:p>
    <w:p>
      <w:pPr>
        <w:ind w:left="1020" w:hanging="269"/>
        <w:spacing w:after="0"/>
        <w:tabs>
          <w:tab w:leader="none" w:pos="102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 is defined in the introduction.</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Period” is defined in Section 1.</w:t>
      </w:r>
    </w:p>
    <w:p>
      <w:pPr>
        <w:spacing w:after="0" w:line="20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Stock Units” (or “RSUs”) is defined in the introduction.</w:t>
      </w:r>
    </w:p>
    <w:p>
      <w:pPr>
        <w:spacing w:after="0" w:line="200" w:lineRule="exact"/>
        <w:rPr>
          <w:rFonts w:ascii="Times New Roman" w:cs="Times New Roman" w:eastAsia="Times New Roman" w:hAnsi="Times New Roman"/>
          <w:sz w:val="19"/>
          <w:szCs w:val="19"/>
          <w:color w:val="auto"/>
        </w:rPr>
      </w:pPr>
    </w:p>
    <w:p>
      <w:pPr>
        <w:jc w:val="both"/>
        <w:ind w:firstLine="751"/>
        <w:spacing w:after="0" w:line="254" w:lineRule="auto"/>
        <w:tabs>
          <w:tab w:leader="none" w:pos="101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50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w:t>
      </w:r>
    </w:p>
    <w:p>
      <w:pPr>
        <w:spacing w:after="0" w:line="3" w:lineRule="exact"/>
        <w:rPr>
          <w:rFonts w:ascii="Times New Roman" w:cs="Times New Roman" w:eastAsia="Times New Roman" w:hAnsi="Times New Roman"/>
          <w:sz w:val="18"/>
          <w:szCs w:val="18"/>
          <w:color w:val="auto"/>
        </w:rPr>
      </w:pPr>
    </w:p>
    <w:p>
      <w:pPr>
        <w:ind w:left="300" w:hanging="298"/>
        <w:spacing w:after="0"/>
        <w:tabs>
          <w:tab w:leader="none" w:pos="30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be granted or withheld in the sole discretion of the Committee or the Retirement Committee, as applicable.</w:t>
      </w:r>
    </w:p>
    <w:p>
      <w:pPr>
        <w:spacing w:after="0" w:line="18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Committee” means a committee consisting of the Company’s Chief People Officer, the Director HR Operations and the Director Total Rewards.</w:t>
      </w:r>
    </w:p>
    <w:p>
      <w:pPr>
        <w:spacing w:after="0" w:line="157"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“Settlement Date” is defined in Section 2.</w:t>
      </w:r>
    </w:p>
    <w:p>
      <w:pPr>
        <w:spacing w:after="0" w:line="200"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9"/>
          <w:szCs w:val="19"/>
          <w:color w:val="auto"/>
        </w:rPr>
        <w:t>owns 50% or more of the voting, capital or profits interests (whether in the form of partnership interests, membership interests or otherwise).</w:t>
      </w:r>
    </w:p>
    <w:p>
      <w:pPr>
        <w:spacing w:after="0" w:line="200" w:lineRule="exact"/>
        <w:rPr>
          <w:sz w:val="20"/>
          <w:szCs w:val="20"/>
          <w:color w:val="auto"/>
        </w:rPr>
      </w:pPr>
    </w:p>
    <w:p>
      <w:pPr>
        <w:jc w:val="both"/>
        <w:ind w:firstLine="751"/>
        <w:spacing w:after="0" w:line="249" w:lineRule="auto"/>
        <w:tabs>
          <w:tab w:leader="none" w:pos="1019"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is defined in Section 4(a).</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(w)“Vesting Date” is defined in Section 1(a).</w:t>
      </w:r>
    </w:p>
    <w:p>
      <w:pPr>
        <w:spacing w:after="0" w:line="200" w:lineRule="exact"/>
        <w:rPr>
          <w:sz w:val="20"/>
          <w:szCs w:val="20"/>
          <w:color w:val="auto"/>
        </w:rPr>
      </w:pPr>
    </w:p>
    <w:p>
      <w:pPr>
        <w:jc w:val="both"/>
        <w:ind w:firstLine="751"/>
        <w:spacing w:after="0" w:line="249" w:lineRule="auto"/>
        <w:tabs>
          <w:tab w:leader="none" w:pos="1019"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Committee Determination</w:t>
      </w:r>
      <w:r>
        <w:rPr>
          <w:rFonts w:ascii="Times New Roman" w:cs="Times New Roman" w:eastAsia="Times New Roman" w:hAnsi="Times New Roman"/>
          <w:sz w:val="19"/>
          <w:szCs w:val="19"/>
          <w:color w:val="auto"/>
        </w:rPr>
        <w:t>. Any questions as to whether and when (i) the Employee has engaged in Detrimental Activity, (ii) there has been a Disability, or (iii) there has been a Termination of Employment and the cause of such termination, will be resolved by the Committee, and its determination will be final.</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5" w:lineRule="auto"/>
        <w:tabs>
          <w:tab w:leader="none" w:pos="10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hereby acknowledges that he or she has received, reviewed and accepted the terms and conditions contained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or subsequent awards.</w:t>
      </w:r>
    </w:p>
    <w:p>
      <w:pPr>
        <w:spacing w:after="0" w:line="174"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57"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invalidity or unenforceability of any provision of this Agreement will not affect the validity or enforceability of any other provision of this Agreement.</w:t>
      </w:r>
    </w:p>
    <w:p>
      <w:pPr>
        <w:spacing w:after="0" w:line="157"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0"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and the Company agree to execute such further instruments and to take such further action as may reasonably be necessary to carry out the intent of this Agreement.</w:t>
      </w:r>
    </w:p>
    <w:p>
      <w:pPr>
        <w:spacing w:after="0" w:line="157"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the Plan (a) constitute the entire agreement among the Employee and the Company with respect to the Restricted Stock Units and this Agreement supersedes all prior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938530</wp:posOffset>
            </wp:positionV>
            <wp:extent cx="7165975" cy="412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01" w:name="page102"/>
    <w:bookmarkEnd w:id="101"/>
    <w:p>
      <w:pPr>
        <w:jc w:val="both"/>
        <w:spacing w:after="0" w:line="243" w:lineRule="auto"/>
        <w:rPr>
          <w:sz w:val="20"/>
          <w:szCs w:val="20"/>
          <w:color w:val="auto"/>
        </w:rPr>
      </w:pPr>
      <w:r>
        <w:rPr>
          <w:rFonts w:ascii="Times New Roman" w:cs="Times New Roman" w:eastAsia="Times New Roman" w:hAnsi="Times New Roman"/>
          <w:sz w:val="19"/>
          <w:szCs w:val="19"/>
          <w:color w:val="auto"/>
        </w:rPr>
        <w:t>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Restricted Stock Units other than those expressly set forth herein or in the Plan, and (ii) such party has not relied upon any representation, warranty, covenant or agreement relating to the Restricted Stock Units, other than those referred to in clause (i) above.</w:t>
      </w:r>
    </w:p>
    <w:p>
      <w:pPr>
        <w:spacing w:after="0" w:line="176" w:lineRule="exact"/>
        <w:rPr>
          <w:sz w:val="20"/>
          <w:szCs w:val="20"/>
          <w:color w:val="auto"/>
        </w:rPr>
      </w:pPr>
    </w:p>
    <w:p>
      <w:pPr>
        <w:jc w:val="both"/>
        <w:ind w:firstLine="751"/>
        <w:spacing w:after="0" w:line="245" w:lineRule="auto"/>
        <w:tabs>
          <w:tab w:leader="none" w:pos="101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of Harris County, Texas and the Southern District of Texas, Houston Division, respectively.</w:t>
      </w:r>
    </w:p>
    <w:p>
      <w:pPr>
        <w:spacing w:after="0" w:line="174" w:lineRule="exact"/>
        <w:rPr>
          <w:sz w:val="20"/>
          <w:szCs w:val="20"/>
          <w:color w:val="auto"/>
        </w:rPr>
      </w:pPr>
    </w:p>
    <w:p>
      <w:pPr>
        <w:jc w:val="both"/>
        <w:ind w:firstLine="751"/>
        <w:spacing w:after="0" w:line="261" w:lineRule="auto"/>
        <w:tabs>
          <w:tab w:leader="none" w:pos="101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This award of Restricted Stock Units is intended to be exempt from or to comply with the provisions of Code Section 409A and will be construed and interpreted accordingly. If Employee is a “specified employee” within the meaning of Code Section 409A(a)</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(2)(B)(i) on the date of his or her “separation from service” within the meaning of U.S. Treasury Regulation Section 1.409A-1(h), the time of payment otherwise specified in this Agreement will be deferred to the extent required by Code Section 409A.</w:t>
      </w:r>
    </w:p>
    <w:p>
      <w:pPr>
        <w:spacing w:after="0" w:line="177" w:lineRule="exact"/>
        <w:rPr>
          <w:rFonts w:ascii="Times New Roman" w:cs="Times New Roman" w:eastAsia="Times New Roman" w:hAnsi="Times New Roman"/>
          <w:sz w:val="18"/>
          <w:szCs w:val="18"/>
          <w:color w:val="auto"/>
        </w:rPr>
      </w:pPr>
    </w:p>
    <w:p>
      <w:pPr>
        <w:ind w:left="1020" w:hanging="269"/>
        <w:spacing w:after="0"/>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jc w:val="both"/>
        <w:ind w:firstLine="751"/>
        <w:spacing w:after="0" w:line="242" w:lineRule="auto"/>
        <w:tabs>
          <w:tab w:leader="none" w:pos="101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 of Award</w:t>
      </w:r>
      <w:r>
        <w:rPr>
          <w:rFonts w:ascii="Times New Roman" w:cs="Times New Roman" w:eastAsia="Times New Roman" w:hAnsi="Times New Roman"/>
          <w:sz w:val="19"/>
          <w:szCs w:val="19"/>
          <w:color w:val="auto"/>
        </w:rPr>
        <w:t>. Employee is deemed to accept the award of Restricted Stock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Restricted Stock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75" w:lineRule="exact"/>
        <w:rPr>
          <w:rFonts w:ascii="Times New Roman" w:cs="Times New Roman" w:eastAsia="Times New Roman" w:hAnsi="Times New Roman"/>
          <w:sz w:val="19"/>
          <w:szCs w:val="19"/>
          <w:color w:val="auto"/>
        </w:rPr>
      </w:pPr>
    </w:p>
    <w:p>
      <w:pPr>
        <w:jc w:val="both"/>
        <w:ind w:firstLine="751"/>
        <w:spacing w:after="0" w:line="243" w:lineRule="auto"/>
        <w:tabs>
          <w:tab w:leader="none" w:pos="101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Appendix.</w:t>
      </w:r>
      <w:r>
        <w:rPr>
          <w:rFonts w:ascii="Times New Roman" w:cs="Times New Roman" w:eastAsia="Times New Roman" w:hAnsi="Times New Roman"/>
          <w:sz w:val="19"/>
          <w:szCs w:val="19"/>
          <w:color w:val="auto"/>
        </w:rPr>
        <w:t xml:space="preserve"> Notwithstanding any provisions in this Agreement, the Restricted Stock Units shall be subject to the additional terms and conditions for your country set forth in Appendix A, Appendix B, and Appendix C attached hereto. Moreover, if you relocate to one of the countries included therein, the terms and conditions for such country will apply to you to the extent the Company determines that the application of such terms and conditions is necessary or advisable for legal or administrative reasons. Appendix A, Appendix B and Appendix C constitute part of this Agreement.</w:t>
      </w:r>
    </w:p>
    <w:p>
      <w:pPr>
        <w:spacing w:after="0" w:line="175"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More Information</w:t>
      </w:r>
      <w:r>
        <w:rPr>
          <w:rFonts w:ascii="Times New Roman" w:cs="Times New Roman" w:eastAsia="Times New Roman" w:hAnsi="Times New Roman"/>
          <w:sz w:val="19"/>
          <w:szCs w:val="19"/>
          <w:color w:val="auto"/>
        </w:rPr>
        <w:t>. The Plan and prospectus are both available on-line at the Company’s</w:t>
      </w:r>
    </w:p>
    <w:p>
      <w:pPr>
        <w:spacing w:after="0" w:line="17" w:lineRule="exact"/>
        <w:rPr>
          <w:sz w:val="20"/>
          <w:szCs w:val="20"/>
          <w:color w:val="auto"/>
        </w:rPr>
      </w:pPr>
    </w:p>
    <w:p>
      <w:pPr>
        <w:spacing w:after="0"/>
        <w:tabs>
          <w:tab w:leader="none" w:pos="320" w:val="left"/>
          <w:tab w:leader="none" w:pos="8220" w:val="left"/>
          <w:tab w:leader="none" w:pos="1078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 site. A paper copy of the Plan and prospectus may be obtained by contacting the Stock Department, [</w:t>
      </w:r>
      <w:r>
        <w:rPr>
          <w:sz w:val="20"/>
          <w:szCs w:val="20"/>
          <w:color w:val="auto"/>
        </w:rPr>
        <w:tab/>
      </w:r>
      <w:r>
        <w:rPr>
          <w:rFonts w:ascii="Times New Roman" w:cs="Times New Roman" w:eastAsia="Times New Roman" w:hAnsi="Times New Roman"/>
          <w:sz w:val="19"/>
          <w:szCs w:val="19"/>
          <w:color w:val="auto"/>
        </w:rPr>
        <w:t>] or emailing your request to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953135</wp:posOffset>
            </wp:positionV>
            <wp:extent cx="7165975" cy="412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02" w:name="page103"/>
    <w:bookmarkEnd w:id="102"/>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ATTACHMENT 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Confidential Information, Intellectual Property,</w:t>
      </w:r>
    </w:p>
    <w:p>
      <w:pPr>
        <w:jc w:val="center"/>
        <w:spacing w:after="0"/>
        <w:rPr>
          <w:sz w:val="20"/>
          <w:szCs w:val="20"/>
          <w:color w:val="auto"/>
        </w:rPr>
      </w:pPr>
      <w:r>
        <w:rPr>
          <w:rFonts w:ascii="Times New Roman" w:cs="Times New Roman" w:eastAsia="Times New Roman" w:hAnsi="Times New Roman"/>
          <w:sz w:val="19"/>
          <w:szCs w:val="19"/>
          <w:b w:val="1"/>
          <w:bCs w:val="1"/>
          <w:color w:val="auto"/>
        </w:rPr>
        <w:t>Non-Compete and Non-Solicitation Agreement</w:t>
      </w:r>
    </w:p>
    <w:p>
      <w:pPr>
        <w:spacing w:after="0" w:line="193" w:lineRule="exact"/>
        <w:rPr>
          <w:sz w:val="20"/>
          <w:szCs w:val="20"/>
          <w:color w:val="auto"/>
        </w:rPr>
      </w:pPr>
    </w:p>
    <w:p>
      <w:pPr>
        <w:ind w:left="1020" w:hanging="269"/>
        <w:spacing w:after="0"/>
        <w:tabs>
          <w:tab w:leader="none" w:pos="102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9" w:lineRule="auto"/>
        <w:tabs>
          <w:tab w:leader="none" w:pos="101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70" w:lineRule="exact"/>
        <w:rPr>
          <w:rFonts w:ascii="Times New Roman" w:cs="Times New Roman" w:eastAsia="Times New Roman" w:hAnsi="Times New Roman"/>
          <w:sz w:val="19"/>
          <w:szCs w:val="19"/>
          <w:color w:val="auto"/>
        </w:rPr>
      </w:pPr>
    </w:p>
    <w:p>
      <w:pPr>
        <w:jc w:val="both"/>
        <w:ind w:firstLine="751"/>
        <w:spacing w:after="0" w:line="254" w:lineRule="auto"/>
        <w:tabs>
          <w:tab w:leader="none" w:pos="101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66" w:lineRule="exact"/>
        <w:rPr>
          <w:rFonts w:ascii="Times New Roman" w:cs="Times New Roman" w:eastAsia="Times New Roman" w:hAnsi="Times New Roman"/>
          <w:sz w:val="18"/>
          <w:szCs w:val="18"/>
          <w:color w:val="auto"/>
        </w:rPr>
      </w:pPr>
    </w:p>
    <w:p>
      <w:pPr>
        <w:jc w:val="both"/>
        <w:ind w:firstLine="751"/>
        <w:spacing w:after="0"/>
        <w:tabs>
          <w:tab w:leader="none" w:pos="101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81" w:lineRule="exact"/>
        <w:rPr>
          <w:rFonts w:ascii="Times New Roman" w:cs="Times New Roman" w:eastAsia="Times New Roman" w:hAnsi="Times New Roman"/>
          <w:sz w:val="19"/>
          <w:szCs w:val="19"/>
          <w:color w:val="auto"/>
        </w:rPr>
      </w:pPr>
    </w:p>
    <w:p>
      <w:pPr>
        <w:jc w:val="both"/>
        <w:ind w:firstLine="751"/>
        <w:spacing w:after="0" w:line="243" w:lineRule="auto"/>
        <w:tabs>
          <w:tab w:leader="none" w:pos="101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950595</wp:posOffset>
            </wp:positionV>
            <wp:extent cx="7165975" cy="412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ind w:left="-751" w:firstLine="751"/>
        <w:spacing w:after="0" w:line="262" w:lineRule="auto"/>
        <w:tabs>
          <w:tab w:leader="none" w:pos="268"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“Pre-existing Intellectual Property” is all Intellectual Property that was authored, conceived, developed, or reduced to practice by Employee before the term of Employee’s employment with the Company or any Affiliate began.</w:t>
      </w:r>
    </w:p>
    <w:p>
      <w:pPr>
        <w:spacing w:after="0" w:line="157" w:lineRule="exact"/>
        <w:rPr>
          <w:rFonts w:ascii="Times New Roman" w:cs="Times New Roman" w:eastAsia="Times New Roman" w:hAnsi="Times New Roman"/>
          <w:sz w:val="19"/>
          <w:szCs w:val="19"/>
          <w:color w:val="auto"/>
        </w:rPr>
      </w:pPr>
    </w:p>
    <w:p>
      <w:pPr>
        <w:jc w:val="both"/>
        <w:ind w:left="-551" w:firstLine="566"/>
        <w:spacing w:after="0" w:line="249" w:lineRule="auto"/>
        <w:tabs>
          <w:tab w:leader="none" w:pos="274"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Codes of Conduct</w:t>
      </w:r>
      <w:r>
        <w:rPr>
          <w:rFonts w:ascii="Times New Roman" w:cs="Times New Roman" w:eastAsia="Times New Roman" w:hAnsi="Times New Roman"/>
          <w:sz w:val="19"/>
          <w:szCs w:val="19"/>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 In the event of any conflict or ambiguity, this Attachment I prevails.</w:t>
      </w:r>
    </w:p>
    <w:p>
      <w:pPr>
        <w:spacing w:after="0" w:line="170" w:lineRule="exact"/>
        <w:rPr>
          <w:sz w:val="20"/>
          <w:szCs w:val="20"/>
          <w:color w:val="auto"/>
        </w:rPr>
      </w:pPr>
    </w:p>
    <w:p>
      <w:pPr>
        <w:ind w:left="269" w:hanging="269"/>
        <w:spacing w:after="0"/>
        <w:tabs>
          <w:tab w:leader="none" w:pos="26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2" w:lineRule="auto"/>
        <w:tabs>
          <w:tab w:leader="none" w:pos="26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 do not and will not breach any agreement or duty to keep in confidence information, knowledge, or data acquired by Employee outside of Employee’s employment with the Company or any of its Affiliates.</w:t>
      </w:r>
    </w:p>
    <w:p>
      <w:pPr>
        <w:spacing w:after="0" w:line="175" w:lineRule="exact"/>
        <w:rPr>
          <w:rFonts w:ascii="Times New Roman" w:cs="Times New Roman" w:eastAsia="Times New Roman" w:hAnsi="Times New Roman"/>
          <w:sz w:val="19"/>
          <w:szCs w:val="19"/>
          <w:color w:val="auto"/>
        </w:rPr>
      </w:pPr>
    </w:p>
    <w:p>
      <w:pPr>
        <w:ind w:left="-751" w:firstLine="751"/>
        <w:spacing w:after="0" w:line="262" w:lineRule="auto"/>
        <w:tabs>
          <w:tab w:leader="none" w:pos="26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57" w:lineRule="exact"/>
        <w:rPr>
          <w:rFonts w:ascii="Times New Roman" w:cs="Times New Roman" w:eastAsia="Times New Roman" w:hAnsi="Times New Roman"/>
          <w:sz w:val="19"/>
          <w:szCs w:val="19"/>
          <w:color w:val="auto"/>
        </w:rPr>
      </w:pPr>
    </w:p>
    <w:p>
      <w:pPr>
        <w:jc w:val="both"/>
        <w:ind w:left="-751" w:firstLine="751"/>
        <w:spacing w:after="0" w:line="245" w:lineRule="auto"/>
        <w:tabs>
          <w:tab w:leader="none" w:pos="26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4" w:lineRule="exact"/>
        <w:rPr>
          <w:rFonts w:ascii="Times New Roman" w:cs="Times New Roman" w:eastAsia="Times New Roman" w:hAnsi="Times New Roman"/>
          <w:sz w:val="19"/>
          <w:szCs w:val="19"/>
          <w:color w:val="auto"/>
        </w:rPr>
      </w:pPr>
    </w:p>
    <w:p>
      <w:pPr>
        <w:jc w:val="both"/>
        <w:ind w:left="-751" w:firstLine="751"/>
        <w:spacing w:after="0" w:line="241" w:lineRule="auto"/>
        <w:tabs>
          <w:tab w:leader="none" w:pos="26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7" w:lineRule="exact"/>
        <w:rPr>
          <w:rFonts w:ascii="Times New Roman" w:cs="Times New Roman" w:eastAsia="Times New Roman" w:hAnsi="Times New Roman"/>
          <w:sz w:val="19"/>
          <w:szCs w:val="19"/>
          <w:color w:val="auto"/>
        </w:rPr>
      </w:pPr>
    </w:p>
    <w:p>
      <w:pPr>
        <w:jc w:val="both"/>
        <w:ind w:left="-751" w:firstLine="751"/>
        <w:spacing w:after="0" w:line="245" w:lineRule="auto"/>
        <w:tabs>
          <w:tab w:leader="none" w:pos="26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4" w:lineRule="exact"/>
        <w:rPr>
          <w:rFonts w:ascii="Times New Roman" w:cs="Times New Roman" w:eastAsia="Times New Roman" w:hAnsi="Times New Roman"/>
          <w:sz w:val="19"/>
          <w:szCs w:val="19"/>
          <w:color w:val="auto"/>
        </w:rPr>
      </w:pPr>
    </w:p>
    <w:p>
      <w:pPr>
        <w:ind w:left="-751" w:firstLine="751"/>
        <w:spacing w:after="0" w:line="262" w:lineRule="auto"/>
        <w:tabs>
          <w:tab w:leader="none" w:pos="26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938530</wp:posOffset>
            </wp:positionV>
            <wp:extent cx="7165975" cy="412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489"/>
          </w:cols>
          <w:pgMar w:left="1071" w:top="1337" w:right="339" w:bottom="1440" w:gutter="0" w:footer="0" w:header="0"/>
        </w:sectPr>
      </w:pPr>
    </w:p>
    <w:bookmarkStart w:id="104" w:name="page105"/>
    <w:bookmarkEnd w:id="104"/>
    <w:p>
      <w:pPr>
        <w:ind w:left="269" w:hanging="269"/>
        <w:spacing w:after="0"/>
        <w:tabs>
          <w:tab w:leader="none" w:pos="269"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Disclosure of Intellectual Property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1" w:lineRule="auto"/>
        <w:tabs>
          <w:tab w:leader="none" w:pos="26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7" w:lineRule="exact"/>
        <w:rPr>
          <w:rFonts w:ascii="Times New Roman" w:cs="Times New Roman" w:eastAsia="Times New Roman" w:hAnsi="Times New Roman"/>
          <w:sz w:val="19"/>
          <w:szCs w:val="19"/>
          <w:color w:val="auto"/>
        </w:rPr>
      </w:pPr>
    </w:p>
    <w:p>
      <w:pPr>
        <w:jc w:val="both"/>
        <w:ind w:left="-751" w:firstLine="751"/>
        <w:spacing w:after="0" w:line="242" w:lineRule="auto"/>
        <w:tabs>
          <w:tab w:leader="none" w:pos="26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5" w:lineRule="exact"/>
        <w:rPr>
          <w:rFonts w:ascii="Times New Roman" w:cs="Times New Roman" w:eastAsia="Times New Roman" w:hAnsi="Times New Roman"/>
          <w:sz w:val="19"/>
          <w:szCs w:val="19"/>
          <w:color w:val="auto"/>
        </w:rPr>
      </w:pPr>
    </w:p>
    <w:p>
      <w:pPr>
        <w:jc w:val="both"/>
        <w:ind w:left="-751" w:firstLine="751"/>
        <w:spacing w:after="0" w:line="249" w:lineRule="auto"/>
        <w:tabs>
          <w:tab w:leader="none" w:pos="26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70" w:lineRule="exact"/>
        <w:rPr>
          <w:rFonts w:ascii="Times New Roman" w:cs="Times New Roman" w:eastAsia="Times New Roman" w:hAnsi="Times New Roman"/>
          <w:sz w:val="19"/>
          <w:szCs w:val="19"/>
          <w:color w:val="auto"/>
        </w:rPr>
      </w:pPr>
    </w:p>
    <w:p>
      <w:pPr>
        <w:jc w:val="both"/>
        <w:ind w:left="-751" w:firstLine="751"/>
        <w:spacing w:after="0" w:line="260" w:lineRule="auto"/>
        <w:tabs>
          <w:tab w:leader="none" w:pos="2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60" w:lineRule="exact"/>
        <w:rPr>
          <w:rFonts w:ascii="Times New Roman" w:cs="Times New Roman" w:eastAsia="Times New Roman" w:hAnsi="Times New Roman"/>
          <w:sz w:val="18"/>
          <w:szCs w:val="18"/>
          <w:color w:val="auto"/>
        </w:rPr>
      </w:pPr>
    </w:p>
    <w:p>
      <w:pPr>
        <w:jc w:val="both"/>
        <w:ind w:left="-751" w:firstLine="751"/>
        <w:spacing w:after="0" w:line="243" w:lineRule="auto"/>
        <w:tabs>
          <w:tab w:leader="none" w:pos="26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76" w:lineRule="exact"/>
        <w:rPr>
          <w:sz w:val="20"/>
          <w:szCs w:val="20"/>
          <w:color w:val="auto"/>
        </w:rPr>
      </w:pPr>
    </w:p>
    <w:p>
      <w:pPr>
        <w:ind w:left="269" w:hanging="269"/>
        <w:spacing w:after="0"/>
        <w:tabs>
          <w:tab w:leader="none" w:pos="269"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of Intellectual Property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751" w:firstLine="751"/>
        <w:spacing w:after="0" w:line="243" w:lineRule="auto"/>
        <w:tabs>
          <w:tab w:leader="none" w:pos="26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950595</wp:posOffset>
            </wp:positionV>
            <wp:extent cx="7165975" cy="412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489"/>
          </w:cols>
          <w:pgMar w:left="1071" w:top="1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exclusive property of the Company whether or not deemed to be a “work made for hire” within the meaning of the copyright laws of the United States.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clarity, Employee does not hereby assign or agree to assign any Pre-existing Intellectual Property to the Company.</w:t>
      </w:r>
    </w:p>
    <w:p>
      <w:pPr>
        <w:spacing w:after="0" w:line="180" w:lineRule="exact"/>
        <w:rPr>
          <w:sz w:val="20"/>
          <w:szCs w:val="20"/>
          <w:color w:val="auto"/>
        </w:rPr>
      </w:pPr>
    </w:p>
    <w:p>
      <w:pPr>
        <w:jc w:val="both"/>
        <w:ind w:firstLine="751"/>
        <w:spacing w:after="0" w:line="243" w:lineRule="auto"/>
        <w:tabs>
          <w:tab w:leader="none" w:pos="101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is hereby notified that certain statutes in some U.S. states relate to ownership and assignment of inventions. At relevant locations and in accordance with those statutes, the Company agrees that this Attachment 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75"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70" w:lineRule="exact"/>
        <w:rPr>
          <w:rFonts w:ascii="Times New Roman" w:cs="Times New Roman" w:eastAsia="Times New Roman" w:hAnsi="Times New Roman"/>
          <w:sz w:val="19"/>
          <w:szCs w:val="19"/>
          <w:color w:val="auto"/>
        </w:rPr>
      </w:pPr>
    </w:p>
    <w:p>
      <w:pPr>
        <w:jc w:val="both"/>
        <w:ind w:firstLine="751"/>
        <w:spacing w:after="0" w:line="242" w:lineRule="auto"/>
        <w:tabs>
          <w:tab w:leader="none" w:pos="101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 or obtained through fraud, negligence, failure to disclose, or incorrect, incomplete, or defective information on an IP Disclosure Form.</w:t>
      </w:r>
    </w:p>
    <w:p>
      <w:pPr>
        <w:spacing w:after="0" w:line="176" w:lineRule="exact"/>
        <w:rPr>
          <w:sz w:val="20"/>
          <w:szCs w:val="20"/>
          <w:color w:val="auto"/>
        </w:rPr>
      </w:pPr>
    </w:p>
    <w:p>
      <w:pPr>
        <w:ind w:left="1020" w:hanging="269"/>
        <w:spacing w:after="0"/>
        <w:tabs>
          <w:tab w:leader="none" w:pos="102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firstLine="751"/>
        <w:spacing w:after="0" w:line="262" w:lineRule="auto"/>
        <w:tabs>
          <w:tab w:leader="none" w:pos="1019"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57" w:lineRule="exact"/>
        <w:rPr>
          <w:rFonts w:ascii="Times New Roman" w:cs="Times New Roman" w:eastAsia="Times New Roman" w:hAnsi="Times New Roman"/>
          <w:sz w:val="19"/>
          <w:szCs w:val="19"/>
          <w:color w:val="auto"/>
        </w:rPr>
      </w:pPr>
    </w:p>
    <w:p>
      <w:pPr>
        <w:jc w:val="both"/>
        <w:ind w:firstLine="751"/>
        <w:spacing w:after="0" w:line="239" w:lineRule="auto"/>
        <w:tabs>
          <w:tab w:leader="none" w:pos="1019"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06" w:name="page107"/>
    <w:bookmarkEnd w:id="106"/>
    <w:p>
      <w:pPr>
        <w:jc w:val="both"/>
        <w:spacing w:after="0" w:line="245" w:lineRule="auto"/>
        <w:rPr>
          <w:sz w:val="20"/>
          <w:szCs w:val="20"/>
          <w:color w:val="auto"/>
        </w:rPr>
      </w:pPr>
      <w:r>
        <w:rPr>
          <w:rFonts w:ascii="Times New Roman" w:cs="Times New Roman" w:eastAsia="Times New Roman" w:hAnsi="Times New Roman"/>
          <w:sz w:val="19"/>
          <w:szCs w:val="19"/>
          <w:color w:val="auto"/>
        </w:rPr>
        <w:t>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w:t>
      </w:r>
    </w:p>
    <w:p>
      <w:pPr>
        <w:spacing w:after="0" w:line="174" w:lineRule="exact"/>
        <w:rPr>
          <w:sz w:val="20"/>
          <w:szCs w:val="20"/>
          <w:color w:val="auto"/>
        </w:rPr>
      </w:pPr>
    </w:p>
    <w:p>
      <w:pPr>
        <w:jc w:val="both"/>
        <w:ind w:firstLine="751"/>
        <w:spacing w:after="0" w:line="239" w:lineRule="auto"/>
        <w:tabs>
          <w:tab w:leader="none" w:pos="1019"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85" w:lineRule="exact"/>
        <w:rPr>
          <w:sz w:val="20"/>
          <w:szCs w:val="20"/>
          <w:color w:val="auto"/>
        </w:rPr>
      </w:pPr>
    </w:p>
    <w:p>
      <w:pPr>
        <w:ind w:left="1020" w:hanging="269"/>
        <w:spacing w:after="0"/>
        <w:tabs>
          <w:tab w:leader="none" w:pos="102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1" w:lineRule="auto"/>
        <w:tabs>
          <w:tab w:leader="none" w:pos="1019"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77" w:lineRule="exact"/>
        <w:rPr>
          <w:rFonts w:ascii="Times New Roman" w:cs="Times New Roman" w:eastAsia="Times New Roman" w:hAnsi="Times New Roman"/>
          <w:sz w:val="19"/>
          <w:szCs w:val="19"/>
          <w:color w:val="auto"/>
        </w:rPr>
      </w:pPr>
    </w:p>
    <w:p>
      <w:pPr>
        <w:jc w:val="both"/>
        <w:ind w:firstLine="751"/>
        <w:spacing w:after="0" w:line="241" w:lineRule="auto"/>
        <w:tabs>
          <w:tab w:leader="none" w:pos="1019"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8" w:lineRule="exact"/>
        <w:rPr>
          <w:sz w:val="20"/>
          <w:szCs w:val="20"/>
          <w:color w:val="auto"/>
        </w:rPr>
      </w:pPr>
    </w:p>
    <w:p>
      <w:pPr>
        <w:ind w:left="1020" w:hanging="269"/>
        <w:spacing w:after="0"/>
        <w:tabs>
          <w:tab w:leader="none" w:pos="102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Remedies for Employee’s Breach</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9" w:lineRule="auto"/>
        <w:tabs>
          <w:tab w:leader="none" w:pos="1019"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07" w:name="page108"/>
    <w:bookmarkEnd w:id="107"/>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Company and its Affiliates irreparable harm and injury for which no adequate remedy at law exists. Therefore, in the event of the breach or threatened breach of the provisions of this Attachment I by Employee, the Company and its Affiliates will be entitled to: </w:t>
      </w:r>
      <w:r>
        <w:rPr>
          <w:rFonts w:ascii="Times New Roman" w:cs="Times New Roman" w:eastAsia="Times New Roman" w:hAnsi="Times New Roman"/>
          <w:sz w:val="19"/>
          <w:szCs w:val="19"/>
          <w:b w:val="1"/>
          <w:bCs w:val="1"/>
          <w:color w:val="auto"/>
        </w:rPr>
        <w:t>(i) recover from Employee the value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of any portion of the 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76" w:lineRule="exact"/>
        <w:rPr>
          <w:sz w:val="20"/>
          <w:szCs w:val="20"/>
          <w:color w:val="auto"/>
        </w:rPr>
      </w:pPr>
    </w:p>
    <w:p>
      <w:pPr>
        <w:jc w:val="both"/>
        <w:ind w:firstLine="751"/>
        <w:spacing w:after="0" w:line="260" w:lineRule="auto"/>
        <w:tabs>
          <w:tab w:leader="none" w:pos="10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60" w:lineRule="exact"/>
        <w:rPr>
          <w:rFonts w:ascii="Times New Roman" w:cs="Times New Roman" w:eastAsia="Times New Roman" w:hAnsi="Times New Roman"/>
          <w:sz w:val="18"/>
          <w:szCs w:val="18"/>
          <w:color w:val="auto"/>
        </w:rPr>
      </w:pPr>
    </w:p>
    <w:p>
      <w:pPr>
        <w:jc w:val="both"/>
        <w:ind w:firstLine="751"/>
        <w:spacing w:after="0" w:line="249" w:lineRule="auto"/>
        <w:tabs>
          <w:tab w:leader="none" w:pos="1019"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covenants in this Attachment I will be construed as an agreement independent of any other provision in this Attachment I, and the existence of any claim or cause of action of Employee against the Company or any Affiliate, whether predicated on this Attachment I or otherwise, will not constitute a defense to the enforcement by the Company or any Affiliate of such covenants or provisions.</w:t>
      </w:r>
    </w:p>
    <w:p>
      <w:pPr>
        <w:spacing w:after="0" w:line="17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that the remedies contained in the Attachment I for violation of this Attachment I are not the exclusive remedies that the Company or an Affiliate may pursue.</w:t>
      </w:r>
    </w:p>
    <w:p>
      <w:pPr>
        <w:spacing w:after="0" w:line="158" w:lineRule="exact"/>
        <w:rPr>
          <w:sz w:val="20"/>
          <w:szCs w:val="20"/>
          <w:color w:val="auto"/>
        </w:rPr>
      </w:pPr>
    </w:p>
    <w:p>
      <w:pPr>
        <w:jc w:val="both"/>
        <w:ind w:firstLine="751"/>
        <w:spacing w:after="0" w:line="249" w:lineRule="auto"/>
        <w:tabs>
          <w:tab w:leader="none" w:pos="1019"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Waiver of any term of this Attachment I by the Company will not operate as a waiver of any other term of this Attachment I. A failure to enforce any provision of this Attachment I will not operate as a waiver of the Company’s right to enforce any other provision of this Attachment I.</w:t>
      </w:r>
    </w:p>
    <w:p>
      <w:pPr>
        <w:spacing w:after="0" w:line="170" w:lineRule="exact"/>
        <w:rPr>
          <w:rFonts w:ascii="Times New Roman" w:cs="Times New Roman" w:eastAsia="Times New Roman" w:hAnsi="Times New Roman"/>
          <w:sz w:val="19"/>
          <w:szCs w:val="19"/>
          <w:color w:val="auto"/>
        </w:rPr>
      </w:pPr>
    </w:p>
    <w:p>
      <w:pPr>
        <w:ind w:left="1020" w:hanging="269"/>
        <w:spacing w:after="0"/>
        <w:tabs>
          <w:tab w:leader="none" w:pos="102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751"/>
        <w:spacing w:after="0" w:line="245" w:lineRule="auto"/>
        <w:tabs>
          <w:tab w:leader="none" w:pos="1019"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represents and warrants that Employee is not a party to any other agreement that will interfere with Employee’s full compliance with this Attachment I or that otherwise may restrict Employee’s employment by the Company or its Affiliates or the performance of Employee’s duties for the Company or its Affiliates. Employee agrees not to enter into any agreement, whether oral or written, in conflict with this Attachment I.</w:t>
      </w:r>
    </w:p>
    <w:p>
      <w:pPr>
        <w:spacing w:after="0" w:line="174" w:lineRule="exact"/>
        <w:rPr>
          <w:rFonts w:ascii="Times New Roman" w:cs="Times New Roman" w:eastAsia="Times New Roman" w:hAnsi="Times New Roman"/>
          <w:sz w:val="19"/>
          <w:szCs w:val="19"/>
          <w:color w:val="auto"/>
        </w:rPr>
      </w:pPr>
    </w:p>
    <w:p>
      <w:pPr>
        <w:jc w:val="both"/>
        <w:ind w:firstLine="751"/>
        <w:spacing w:after="0" w:line="249" w:lineRule="auto"/>
        <w:tabs>
          <w:tab w:leader="none" w:pos="1019"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Attachment I may be enforced by, will inure to the benefit of, and be binding upon the Company, its successors, and assigns. This Agreement will also inure to the benefit of, and may be enforced by, the Company’s Affiliates. This Attachment I is binding upon Employee’s heirs and legal representatives.</w:t>
      </w:r>
    </w:p>
    <w:p>
      <w:pPr>
        <w:spacing w:after="0" w:line="170" w:lineRule="exact"/>
        <w:rPr>
          <w:rFonts w:ascii="Times New Roman" w:cs="Times New Roman" w:eastAsia="Times New Roman" w:hAnsi="Times New Roman"/>
          <w:sz w:val="19"/>
          <w:szCs w:val="19"/>
          <w:color w:val="auto"/>
        </w:rPr>
      </w:pPr>
    </w:p>
    <w:p>
      <w:pPr>
        <w:ind w:firstLine="751"/>
        <w:spacing w:after="0" w:line="262" w:lineRule="auto"/>
        <w:tabs>
          <w:tab w:leader="none" w:pos="1019"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Attachment I prohibits Employee from reporting possible violation of federal law or regulation to any governmental agency or entity, or making disclosures that are protected under a “whistleblower” provision of federal law or regulation.</w:t>
      </w:r>
    </w:p>
    <w:p>
      <w:pPr>
        <w:spacing w:after="0" w:line="157" w:lineRule="exact"/>
        <w:rPr>
          <w:rFonts w:ascii="Times New Roman" w:cs="Times New Roman" w:eastAsia="Times New Roman" w:hAnsi="Times New Roman"/>
          <w:sz w:val="19"/>
          <w:szCs w:val="19"/>
          <w:color w:val="auto"/>
        </w:rPr>
      </w:pPr>
    </w:p>
    <w:p>
      <w:pPr>
        <w:jc w:val="both"/>
        <w:ind w:firstLine="751"/>
        <w:spacing w:after="0" w:line="270" w:lineRule="auto"/>
        <w:tabs>
          <w:tab w:leader="none" w:pos="10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is employed by an Affiliate of the Company or by accepting a transfer to an Affiliate of the Company, Employee agrees to the automatic application of all of the terms of this Attachment I to said Affiliate contemporaneously with the acceptance of such transfer, subject to subsequent agreements, if any, executed by Employee and the Affiliate of the Company or the Company, and to the fullest extent allowed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935355</wp:posOffset>
            </wp:positionV>
            <wp:extent cx="7165975" cy="412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08" w:name="page109"/>
    <w:bookmarkEnd w:id="108"/>
    <w:p>
      <w:pPr>
        <w:jc w:val="both"/>
        <w:ind w:left="-751" w:firstLine="751"/>
        <w:spacing w:after="0" w:line="242" w:lineRule="auto"/>
        <w:tabs>
          <w:tab w:leader="none" w:pos="26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Should any portion of this Attachment I be held invalid, unenforceable, or void, such holding will not have the effect of invalidating or voiding the other portions of this Attachment 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will give rise to a finding of knowing, willful, or bad faith unreasonableness against the Company regarding this Attachment I.</w:t>
      </w:r>
    </w:p>
    <w:p>
      <w:pPr>
        <w:spacing w:after="0" w:line="175" w:lineRule="exact"/>
        <w:rPr>
          <w:rFonts w:ascii="Times New Roman" w:cs="Times New Roman" w:eastAsia="Times New Roman" w:hAnsi="Times New Roman"/>
          <w:sz w:val="19"/>
          <w:szCs w:val="19"/>
          <w:color w:val="auto"/>
        </w:rPr>
      </w:pPr>
    </w:p>
    <w:p>
      <w:pPr>
        <w:jc w:val="both"/>
        <w:ind w:left="-751" w:firstLine="751"/>
        <w:spacing w:after="0" w:line="249" w:lineRule="auto"/>
        <w:tabs>
          <w:tab w:leader="none" w:pos="268"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and conditions of this Attachment 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946785</wp:posOffset>
            </wp:positionV>
            <wp:extent cx="7165975" cy="412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489"/>
          </w:cols>
          <w:pgMar w:left="1071" w:top="133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213" w:lineRule="exact"/>
        <w:rPr>
          <w:sz w:val="20"/>
          <w:szCs w:val="20"/>
          <w:color w:val="auto"/>
        </w:rPr>
      </w:pPr>
    </w:p>
    <w:p>
      <w:pPr>
        <w:jc w:val="center"/>
        <w:ind w:right="40"/>
        <w:spacing w:after="0" w:line="267" w:lineRule="auto"/>
        <w:rPr>
          <w:sz w:val="20"/>
          <w:szCs w:val="20"/>
          <w:color w:val="auto"/>
        </w:rPr>
      </w:pPr>
      <w:r>
        <w:rPr>
          <w:rFonts w:ascii="Times New Roman" w:cs="Times New Roman" w:eastAsia="Times New Roman" w:hAnsi="Times New Roman"/>
          <w:sz w:val="19"/>
          <w:szCs w:val="19"/>
          <w:b w:val="1"/>
          <w:bCs w:val="1"/>
          <w:color w:val="auto"/>
        </w:rPr>
        <w:t>SPECIFIC PROVISIONS APPLICABLE TO EMPLOYEES BEING FRENCH TAX RESIDENT (AT THE DATE OF GRANT) OR BECOMING FRENCH TAX RESIDENT (AFTER THE DATE OF GRANT)</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This Appendix A includes additional terms and conditions that govern the Restricted Stock Units granted to you under the Plan if, as the case may be, you are Tax resident in France or you are becoming French Tax resident after the date of grant. Defined terms not otherwise defined in this appendix have the meaning provided in the Plan or the sub-plan for France as the case may be.</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According to vesting and transfer rules of the Plan, (i) the Restricted Stock Units vest over a three (3) year period according to the following schedule (“Vesting Dates”) : provided that the Employee has been continuously employed by the Company or any of its Subsidiaries from the Grant Date to each Vesting Date: one-third on the first anniversary of the grant date, one-third on the second anniversary of the grant date, and one-third on the third anniversary of the grant date (ii) the sale of shares issued pursuant to the conversion of the Restricted Stock Units can occur when the Restricted Stock Units are converted into shares from the Grant Date to each Vesting Date.</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have mutually agreed to convert your grant to the sub-plan for France which governs the Restricted Stock Units granted to employees who are resident of France or who are or may become subject to French tax and provide for specific minimum French law holding period requirements, in line with the rules on Omnibus Stock Incentive Plan for employees in France.</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Accordingly, the Restricted Stock Units granted under this French sub-plan will be deemed French Qualified Restricted Stock Units and are intended to be eligible for the specific income and social security tax regime applicable to shares granted for no consideration under the Articles L.225-197-1 to L.225-197-5 of the French Commercial Code.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Employee and the Company agree to comply with the provisions of the French sub-plan and execute such further instruments or to take such further action as may reasonably be necessary to carry out the intent of this Agreement.</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Accordingly, Employee irrevocably agrees that (including, for the avoidance of doubt, if such Employee is no longer a French tax resident at the end of the Holding Period as defined below):</w:t>
      </w:r>
    </w:p>
    <w:p>
      <w:pPr>
        <w:spacing w:after="0" w:line="170" w:lineRule="exact"/>
        <w:rPr>
          <w:sz w:val="20"/>
          <w:szCs w:val="20"/>
          <w:color w:val="auto"/>
        </w:rPr>
      </w:pPr>
    </w:p>
    <w:p>
      <w:pPr>
        <w:ind w:left="740" w:right="20" w:hanging="739"/>
        <w:spacing w:after="0" w:line="262" w:lineRule="auto"/>
        <w:tabs>
          <w:tab w:leader="none" w:pos="374"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French Qualified Restricted Stock Units shall vest and be delivered one-third on the first anniversary of the grant date, one-third on the second anniversary of the grant date, and one-third on the third anniversary of the grant date;</w:t>
      </w:r>
    </w:p>
    <w:p>
      <w:pPr>
        <w:spacing w:after="0" w:line="170" w:lineRule="exact"/>
        <w:rPr>
          <w:rFonts w:ascii="Times New Roman" w:cs="Times New Roman" w:eastAsia="Times New Roman" w:hAnsi="Times New Roman"/>
          <w:sz w:val="19"/>
          <w:szCs w:val="19"/>
          <w:color w:val="auto"/>
        </w:rPr>
      </w:pPr>
    </w:p>
    <w:p>
      <w:pPr>
        <w:ind w:left="740" w:hanging="739"/>
        <w:spacing w:after="0" w:line="249" w:lineRule="auto"/>
        <w:tabs>
          <w:tab w:leader="none" w:pos="374"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shares related to a French Qualified Restricted Stock Unit which have been delivered prior to the second anniversary of the Grant Date in accordance with the vesting schedule above shall be subject to a holding period till the second year anniversary of the Grant Date (the “Holding Period”).</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By way of exception, upon Termination of Employment from the Company by reason of Employee’s death, (i) all French Qualified Restricted Stock Units that are not vested at that time immediately will become vested in full and (ii) the Company shall issue the underlying shares to the Employee’s heirs, at their request, within six months following the death of the Employee. In case of Employee’s death or disability (as determined by the Committee in its sole and absolute discretion, and as defined under article L341-4 of the Social Security Code), the shares shall be freely transferable, subject to the French Closed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950595</wp:posOffset>
            </wp:positionV>
            <wp:extent cx="7165975" cy="412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10" w:name="page111"/>
    <w:bookmarkEnd w:id="110"/>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the avoidance of doubt, (i) none of the vested French Qualified Restricted Stock Units shall be settled in cash and (ii) Employee will have all rights as a stockholder of the Company with regard to the Restricted Stock Units as of the date of delivery of the shares.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sale of shares issued pursuant to the conversion of the French Qualified Restricted Stock Units may occur as soon as the shares are delivered to the Employee, subject to such Employee complying with the Holding Period for the French Qualified Restricted Stock Units vested before the second anniversary of the Grant Date. However, in no circumstances shares may be sold during the following French Closed Periods:</w:t>
      </w:r>
    </w:p>
    <w:p>
      <w:pPr>
        <w:spacing w:after="0" w:line="183" w:lineRule="exact"/>
        <w:rPr>
          <w:sz w:val="20"/>
          <w:szCs w:val="20"/>
          <w:color w:val="auto"/>
        </w:rPr>
      </w:pPr>
    </w:p>
    <w:p>
      <w:pPr>
        <w:ind w:left="380" w:hanging="379"/>
        <w:spacing w:after="0"/>
        <w:tabs>
          <w:tab w:leader="none" w:pos="38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10 days before or after the publication of the annual accounts;</w:t>
      </w:r>
    </w:p>
    <w:p>
      <w:pPr>
        <w:spacing w:after="0" w:line="213" w:lineRule="exact"/>
        <w:rPr>
          <w:rFonts w:ascii="Times New Roman" w:cs="Times New Roman" w:eastAsia="Times New Roman" w:hAnsi="Times New Roman"/>
          <w:sz w:val="19"/>
          <w:szCs w:val="19"/>
          <w:color w:val="auto"/>
        </w:rPr>
      </w:pPr>
    </w:p>
    <w:p>
      <w:pPr>
        <w:ind w:left="600" w:hanging="599"/>
        <w:spacing w:after="0" w:line="249" w:lineRule="auto"/>
        <w:tabs>
          <w:tab w:leader="none" w:pos="381"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a period beginning with the date at which executives of SLB Limited become aware of any information which, were it to be public knowledge, could have a significant impact on the price of shares in and ending 10 trading days after the information becomes public knowledge.</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These Closed Periods will apply to grant of French Qualified Restricted Stock Units as long as and to the extent such Closed Periods are applicable under French law.</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Appendix will not affect the validity or enforceability of any other provision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836930</wp:posOffset>
            </wp:positionV>
            <wp:extent cx="7165975" cy="412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B</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ADDITIONAL TERMS AND CONDITIONS APPLICABLE TO PARTICIPANTS IN CHINA SUBJECT TO SAFE</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Capitalized terms used but not defined in this Appendix B are defined in the SLB 2017 Omnibus Stock Incentive Plan, as may be amended (the “Plan”), and the Restricted Stock Unit award agreement (the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Introduction</w:t>
      </w:r>
      <w:r>
        <w:rPr>
          <w:rFonts w:ascii="Times New Roman" w:cs="Times New Roman" w:eastAsia="Times New Roman" w:hAnsi="Times New Roman"/>
          <w:sz w:val="19"/>
          <w:szCs w:val="19"/>
          <w:u w:val="single" w:color="auto"/>
          <w:color w:val="auto"/>
        </w:rPr>
        <w:t>.</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following terms and conditions will apply to you to the extent that the Company, in its discretion, determines that your participation in the Plan is subject to exchange control restrictions in the People’s Republic of China (the “PRC”), as implemented by the PRC State Administration of Foreign Exchange (“SAFE”).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Vesting of RSUs</w:t>
      </w:r>
      <w:r>
        <w:rPr>
          <w:rFonts w:ascii="Times New Roman" w:cs="Times New Roman" w:eastAsia="Times New Roman" w:hAnsi="Times New Roman"/>
          <w:sz w:val="19"/>
          <w:szCs w:val="19"/>
          <w:color w:val="auto"/>
        </w:rPr>
        <w:t>. The following provision supplements Section 1 of the Agreement:</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Unless and until the Company has obtained all necessary exchange control or other approvals from SAFE or its local counterpart (“SAFE Approval”) with respect to your Restricted Stock Units (“RSUs”), the shares of Common Stock represented by such RSUs will be issued to you as soon as administratively feasible after the Company has obtained SAFE Approval. The Company is under no obligation to issue shares of Common Stock if the Company has not obtained SAFE Approval.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Acceleration on Retirement</w:t>
      </w:r>
      <w:r>
        <w:rPr>
          <w:rFonts w:ascii="Times New Roman" w:cs="Times New Roman" w:eastAsia="Times New Roman" w:hAnsi="Times New Roman"/>
          <w:sz w:val="19"/>
          <w:szCs w:val="19"/>
          <w:color w:val="auto"/>
        </w:rPr>
        <w:t>. The following provision replaces Section 1(c) of the Agreement in its entirety:</w:t>
      </w:r>
    </w:p>
    <w:p>
      <w:pPr>
        <w:spacing w:after="0" w:line="206" w:lineRule="exact"/>
        <w:rPr>
          <w:sz w:val="20"/>
          <w:szCs w:val="20"/>
          <w:color w:val="auto"/>
        </w:rPr>
      </w:pPr>
    </w:p>
    <w:p>
      <w:pPr>
        <w:jc w:val="both"/>
        <w:ind w:firstLine="750"/>
        <w:spacing w:after="0" w:line="249" w:lineRule="auto"/>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Retirement</w:t>
      </w:r>
      <w:r>
        <w:rPr>
          <w:rFonts w:ascii="Times New Roman" w:cs="Times New Roman" w:eastAsia="Times New Roman" w:hAnsi="Times New Roman"/>
          <w:sz w:val="19"/>
          <w:szCs w:val="19"/>
          <w:color w:val="auto"/>
        </w:rPr>
        <w:t>. To allow the Company to comply with PRC exchange control restrictions, upon Termination of Employment from the Company and its Subsidiaries by reason of Employee’s Retirement (as defined in Section 11), the Restricted Stock Units will become fully vested, subject to the Company obtaining SAFE Approval before vesting of the Restricted Stock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Settlement of RSUs and Sale of Shares</w:t>
      </w:r>
      <w:r>
        <w:rPr>
          <w:rFonts w:ascii="Times New Roman" w:cs="Times New Roman" w:eastAsia="Times New Roman" w:hAnsi="Times New Roman"/>
          <w:sz w:val="19"/>
          <w:szCs w:val="19"/>
          <w:color w:val="auto"/>
        </w:rPr>
        <w:t>. The following provision supplements Section 2 of the Agreement:</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Notwithstanding anything to the contrary in the Plan or this Agreement, you understand and agree that the Company may require any shares of Common Stock that you acquire from vesting of the RSUs to be immediately sold at vesting or, at the Company’s discretion, at a later time. The purpose of this is solely to allow the Company to comply with PRC exchange control restrictions.</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You understand and agree that any shares of Common Stock acquired by you under Plan must be sold by no later than ninety (90) days after your Termination of Employment, or within any other such time frame as may be permitted by the Company or required by SAFE. Further, you understand that any shares of Common Stock acquired by you under the Plan that have not been sold within ninety (90) days of your termination of employment will be automatically sold by Fidelity (which is the Company's current designated broker) at the Company’s direction. For the sake of clarity, any references to Fidelity in this Appendix also refer to any other designated broker the Company may use in the future.</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You further agree that the Company is authorized to instruct Fidelity to assist with the mandatory sale of the shares of Common Stock, and you expressly authorize Fidelity to complete the sale of the shares of Common Stock. Your acceptance of this Agreement constitutes your authorization for Fidelity to act on your behalf in the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946785</wp:posOffset>
            </wp:positionV>
            <wp:extent cx="7165975" cy="412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12" w:name="page113"/>
    <w:bookmarkEnd w:id="112"/>
    <w:p>
      <w:pPr>
        <w:jc w:val="both"/>
        <w:spacing w:after="0" w:line="245" w:lineRule="auto"/>
        <w:rPr>
          <w:sz w:val="20"/>
          <w:szCs w:val="20"/>
          <w:color w:val="auto"/>
        </w:rPr>
      </w:pPr>
      <w:r>
        <w:rPr>
          <w:rFonts w:ascii="Times New Roman" w:cs="Times New Roman" w:eastAsia="Times New Roman" w:hAnsi="Times New Roman"/>
          <w:sz w:val="19"/>
          <w:szCs w:val="19"/>
          <w:color w:val="auto"/>
        </w:rPr>
        <w:t>You acknowledge that Fidelity is under no obligation to arrange for the sale of shares of Common Stock at any particular price. Upon the sale of the shares of Common Stock, the Company agrees to pay you the cash proceeds from the sale, less any brokerage fees or commissions, in accordance with applicable exchange control laws and regulations, and provided any liability for Tax-Related Items (as defined in Section 6 of the Agreement) has been satisfied.</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Due to fluctuations in the Company’s share price and the United States Dollar exchange rate between the date that shares are issued to you upon vesting of the RSUs and (if later) the date on which the shares of Common Stock are sold, the sale proceeds may be more or less than the fair market value of the shares of Common Stock on the date the shares are initially issued to you. This date is the relevant date for determining your tax liability. You understand and agree that the Company is not responsible for the amount of any loss you may incur, and that the Company assumes no liability for any fluctuation in the share price or United States Dollar exchange rate.</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You further agree that any shares of Common Stock to be issued to you shall be deposited directly into your Fidelity account. You also agree that you may not transfer the deposited shares of Common Stock from your Fidelity account. This limitation will apply both to transfers to different accounts with Fidelity and to transfers to other brokerage firms. The limitation shall apply to all shares of Common Stock issued to you under the Plan, whether or not you continue to be employed by the Company, the Employer or any affiliate of the Company.</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Exchange Control Requirements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SAFE rules require that when you sell shares of Common Stock or receive any other cash payments from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dividends), all such funds must be immediately brought back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"repatriated") to China through a special exchange control account. To comply with this requirement, the Company will set up the special exchange control account and will facilitate the repatriation of the funds to China where the funds will be delivered to you. By accepting the RSUs, you acknowledge and agree that all funds received from your shares of Stock must be repatriated to China, and you hereby consent and agree that such funds may be transferred to the special exchange control account prior to being delivered to you.</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You understand that the sale proceeds (or other funds) may be paid to you in local currency. If the funds are paid in local currency, you acknowledge that neither the Company nor any affiliate is under an obligation to secure any particular currency conversion rate and that the Company (or any affiliate) may face delays in converting the funds to local currency due to exchange control requirements in China. You agree to bear any currency fluctuation risk between the time the shares of Common Stock are sold (or other funds are paid out) and the time the funds are converted into local currency and distributed to you.</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You further agree to comply with any other requirements that may be imposed by the Company in the future to facilitate compliance with exchange control requirements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938530</wp:posOffset>
            </wp:positionV>
            <wp:extent cx="7165975" cy="412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 STATE AND COUNTRY-SPECIFIC APPENDICES FOR ATTACHMENT I</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u w:val="single" w:color="auto"/>
          <w:color w:val="auto"/>
        </w:rPr>
        <w:t>Appendix C.1- U.S. State Law</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Notwithstanding anything herein to the contrary, if Employee primarily resides or works in any of the U.S. states below, or transfers employment and/or residency after the Grant Date to one of the U.S. states below, then the following terms shall apply to the noncompete and nonsolicit restrictions in Sections 6 and 7 of Attachment I after the date on which Employee ceases to be employed by the Company Group for as long as Employee continues to work or reside in such state.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California</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Sections 6 and 7(b) of Attachment I shall not apply to any Employee who primarily resides or works in, or transfers employment and/or residency after the Grant Date to California. For any Employee who primarily resides or works in California, any clause or agreement between Employee and the Company that restricts post-employment competition in California, including but not limited to Sections 6 and 7(b), are hereby rescinded and shall be deemed null and void.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Colorado</w:t>
      </w:r>
    </w:p>
    <w:p>
      <w:pPr>
        <w:spacing w:after="0" w:line="2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Employee acknowledges that Employee was provided with a separate notice of Sections 6 and 7 of Attachment I at least 14 days before the earlier of (1) the effective date of this Agreement or (2) the Grant Date.</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Section 6 of Attachment I shall only apply to any Employee who primarily resides or works in, or transfers employment and/or residency after the Grant Date to Colorado and earns an amount of compensation equal to or greater than the threshold amount for “highly compensated workers” under Colorado law.</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Section 7(b) of Attachment I shall only apply to any Employee who primarily resides or works in, or transfers employment and/or residency after the Grant Date to Colorado and earns an amount of compensation equal to or greater than 60% of the threshold amount for “highly compensated workers” under Colorado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Georgia</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Section 6 of Attachment I shall only apply to any Employee who primarily resides or works in, or transfers employment and/or residency after the Grant Date to Georgia and (i) customarily and regularly solicits customers or prospective customers for the Company Group, (ii) customarily and regularly engages in making sales or obtaining orders or contracts for products or services to be performed by others, (iii) has the authority to hire or fire other employees or particular weight is given to Employee’s suggestions and recommendations as to the hiring, firing, advancement, promotion, or any other change of status of other employees, or (iv) performs the duties of a “key employee” or professional under Georgia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Idaho</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Section 6 of Attachment I shall only apply to any Employee who primarily resides or works in, or transfers employment and/or residency after the Grant Date to Idaho and performs the duties of a “key employee” under Idaho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938530</wp:posOffset>
            </wp:positionV>
            <wp:extent cx="7165975" cy="412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9"/>
          <w:szCs w:val="19"/>
          <w:b w:val="1"/>
          <w:bCs w:val="1"/>
          <w:color w:val="auto"/>
        </w:rPr>
        <w:t>Illinois</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Sections 6 and 7 of Attachment I shall only apply to any Employee who primarily resides or works in, or transfers employment and/or residency after the Grant Date to Illinois and: (i) whose actual or expected annualized rate of earnings exceeds the statutory amount set in the Illinois Freedom to Work Act 820 ILCS 90/10, as adjusted in accordance with the Illinois Freedom to Work Act and (ii) who was not laid off or furloughed due to COVID-19 or similar circumstances without appropriate compensation.</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Employee acknowledges that: (i) the Company has advised Employee that Employee has the right to consult with an attorney before executing this Agreement, and (ii) Employee was provided with a separate notice of Sections 6 and 7(b) of Attachment I at least 14 days before the earlier of (1) the effective date of this Agreement or (2) the Grant Date or Employee was provided with at least 14 days to review this Agreement. Employee further acknowledges that the Company is in compliance with this provision even if Employee voluntarily elects to sign this Agreement before the expiration of the 14-day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Louisiana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Employees who primarily reside or work in, or transfer employment and/or residency after the Grant Date to Louisiana, the Restricted Territory shall be as described below.</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Within the State of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Massachusetts</w:t>
      </w:r>
    </w:p>
    <w:p>
      <w:pPr>
        <w:spacing w:after="0" w:line="2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Section 6 of Attachment I shall only apply to any Employee who primarily resides or works in, or transfers employment and/or residency after the Grant Date to Massachusetts and (i) is classified as exempt under the Fair Labor Standards Act, (ii) was not terminated without cause or laid off, (iii) who the Company Group pays on a pro-rata basis during the entirety of the restricted period following the date in which Employee ceases to be employed by the Company Group (but in no event longer than a one (1) year period) an amount equal to fifty percent (50%) of Employee’s highest annualized base salary paid by the Company Group within the two years preceding the date in which Employee ceases to be employed by the Company Group.</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Employee acknowledges that Employee was provided with this notice at least 10 days before the effective date of this Agreement. Employee acknowledges that Employee the Company has advised and hereby does advise Employee that Employee has the right to consult with an attorney of his or her choosing before executing this Agreement.</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restriction in Section 6(b) of Attachment I shall be limited to the period of one (1) year following the date on which Employee ceases to be employed by the Company Group, unless Employee has breached his or her fiduciary duty to the Company Group or Employee has unlawfully taken, physically or electronically, property belonging to the Company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Nevada</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Section 6 of Attachment I shall not apply to any Employee who primarily resides or works in, or transfers employment and/or residency after the Grant Date to Nevada and: (i) is paid solely on an hourly wage basis, exclusive of any tips or gratuities, or (ii) their termination was part of a reduction of force,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817880</wp:posOffset>
            </wp:positionV>
            <wp:extent cx="7165975" cy="412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15" w:name="page116"/>
    <w:bookmarkEnd w:id="115"/>
    <w:p>
      <w:pPr>
        <w:jc w:val="both"/>
        <w:spacing w:after="0" w:line="262" w:lineRule="auto"/>
        <w:rPr>
          <w:sz w:val="20"/>
          <w:szCs w:val="20"/>
          <w:color w:val="auto"/>
        </w:rPr>
      </w:pPr>
      <w:r>
        <w:rPr>
          <w:rFonts w:ascii="Times New Roman" w:cs="Times New Roman" w:eastAsia="Times New Roman" w:hAnsi="Times New Roman"/>
          <w:sz w:val="19"/>
          <w:szCs w:val="19"/>
          <w:color w:val="auto"/>
        </w:rPr>
        <w:t>or similar restructuring of the Company Group (unless the Company Group pays Employee’s salary, benefits, or equivalent compensation, including severance pay, if any, during the restricted period).</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Section 6 of Attachment I shall not restrict Employee from providing a service to a former customer or client if (i) Employee did not solicit the former customer or client; (ii) the customer or client voluntarily chose to leave and sought Employee’s services; and (iii) Employee has otherwise complied with Section 6 of Attachment I regarding time, geographic area, and scope of the restrained activity, other than any limitation on providing services to a former customer or client of the Company Group who seeks the services of Employee without any contact instigated by Employee.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North Dakota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Sections 6 and 7(b) of Attachment I shall not apply to any Employee who primarily resides or works in, or transfers employment and/or residency after the Grant Date to North Dakota.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Oklahoma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Section 6 of Attachment I shall not apply to any Employee who primarily resides or works in, or transfers employment and/or residency after the Grant Date to Oklahoma.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C.2 - United Arab Emirates</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Notwithstanding anything herein to the contrary, if Employee primarily resides or works in the United Arab Emirates, or transfers employment and/or residency after the Grant Date to the United Arab Emirates, then the following terms shall apply to the noncompete and nonsolicit restrictions in Sections 6 and 7 of Attachment I after the date on which Employee ceases to be employed by the Company Group for as long as Employee continues to work or reside in such state.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Restricted Territory shall be as described below.</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Emirate of Dubai (including but not limited to the Dubai International Financial Centre) and the Emirate of Abu Dhabi (including but not limited to the Abu Dhabi Global Market).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clause in Section 6(b) of Attachment I is hereby rescinded and shall be deemed null and void: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event of breach by Employee, the specified period will be extended by the period of time of the breach.</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restriction in Section 7 of Attachment I shall be limited to the period of twelve (12) months following the date on which Employee ceases to be employed by the Company Group.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clause in Section 7(a) of Attachment I is hereby rescinded and shall be deemed null and void: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event of breach by Employee, the specified period will be extended by the period of time of the breach.</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C.3 - Saudia Arabia</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Notwithstanding anything herein to the contrary, if Employee primarily resides or works in Saudi Arabia, or transfers employment and/or residency after the Grant Date to Saudi Arabia, then the following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809625</wp:posOffset>
            </wp:positionV>
            <wp:extent cx="7165975" cy="412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16" w:name="page117"/>
    <w:bookmarkEnd w:id="116"/>
    <w:p>
      <w:pPr>
        <w:spacing w:after="0" w:line="262" w:lineRule="auto"/>
        <w:rPr>
          <w:sz w:val="20"/>
          <w:szCs w:val="20"/>
          <w:color w:val="auto"/>
        </w:rPr>
      </w:pPr>
      <w:r>
        <w:rPr>
          <w:rFonts w:ascii="Times New Roman" w:cs="Times New Roman" w:eastAsia="Times New Roman" w:hAnsi="Times New Roman"/>
          <w:sz w:val="19"/>
          <w:szCs w:val="19"/>
          <w:color w:val="auto"/>
        </w:rPr>
        <w:t>shall apply to the confidential information, noncompete and nonsolicit restrictions in Sections 3, 6 and 7 of Attachment I after the date on which Employee ceases to be employed by the Company Group for as long as Employee continues to work or reside in such state.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restriction in Section 3(c) of Attachment I shall only apply for 50 years following the termination of the Employee's employment.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Restricted Territory shall be as described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Dhahran, Khobar, Dammam, Udhailiyahh, Khafji, or King Salman Energy Park (SPARK).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restriction in Section 7(a) of Attachment I shall be limited to employees, consultants, or contractors: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17" w:lineRule="exact"/>
        <w:rPr>
          <w:sz w:val="20"/>
          <w:szCs w:val="20"/>
          <w:color w:val="auto"/>
        </w:rPr>
      </w:pPr>
    </w:p>
    <w:p>
      <w:pPr>
        <w:ind w:left="1000" w:hanging="249"/>
        <w:spacing w:after="0"/>
        <w:tabs>
          <w:tab w:leader="none" w:pos="100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whom Employee had contact or business dealings while employed by the Company and its Affiliates;</w:t>
      </w:r>
    </w:p>
    <w:p>
      <w:pPr>
        <w:spacing w:after="0" w:line="193" w:lineRule="exact"/>
        <w:rPr>
          <w:rFonts w:ascii="Times New Roman" w:cs="Times New Roman" w:eastAsia="Times New Roman" w:hAnsi="Times New Roman"/>
          <w:sz w:val="19"/>
          <w:szCs w:val="19"/>
          <w:color w:val="auto"/>
        </w:rPr>
      </w:pPr>
    </w:p>
    <w:p>
      <w:pPr>
        <w:ind w:left="1060" w:hanging="309"/>
        <w:spacing w:after="0"/>
        <w:tabs>
          <w:tab w:leader="none" w:pos="106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who worked in Employee’s business unit (Group); or</w:t>
      </w:r>
    </w:p>
    <w:p>
      <w:pPr>
        <w:spacing w:after="0" w:line="213" w:lineRule="exact"/>
        <w:rPr>
          <w:rFonts w:ascii="Times New Roman" w:cs="Times New Roman" w:eastAsia="Times New Roman" w:hAnsi="Times New Roman"/>
          <w:sz w:val="19"/>
          <w:szCs w:val="19"/>
          <w:color w:val="auto"/>
        </w:rPr>
      </w:pPr>
    </w:p>
    <w:p>
      <w:pPr>
        <w:ind w:left="1060" w:hanging="309"/>
        <w:spacing w:after="0"/>
        <w:tabs>
          <w:tab w:leader="none" w:pos="106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about whom Employee had access to confidential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w:t>
      </w:r>
    </w:p>
    <w:p>
      <w:pPr>
        <w:spacing w:after="0" w:line="213" w:lineRule="exact"/>
        <w:rPr>
          <w:sz w:val="20"/>
          <w:szCs w:val="20"/>
          <w:color w:val="auto"/>
        </w:rPr>
      </w:pPr>
    </w:p>
    <w:p>
      <w:pPr>
        <w:jc w:val="both"/>
        <w:ind w:firstLine="2"/>
        <w:spacing w:after="0" w:line="249" w:lineRule="auto"/>
        <w:tabs>
          <w:tab w:leader="none" w:pos="277"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who were engaged or employed by the Company or its Affiliates in Saudi Arabia on the date in which Employee ceases to be employed by the Company Group or was engaged or employed by the Company or its Affiliates in Saudi Arabia during the twelve (12)-month period immediately preceding the date on which Employee ceases to be employed by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817880</wp:posOffset>
            </wp:positionV>
            <wp:extent cx="7165975" cy="412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17" w:name="page118"/>
    <w:bookmarkEnd w:id="117"/>
    <w:p>
      <w:pPr>
        <w:jc w:val="both"/>
        <w:spacing w:after="0" w:line="252" w:lineRule="auto"/>
        <w:rPr>
          <w:sz w:val="20"/>
          <w:szCs w:val="20"/>
          <w:color w:val="auto"/>
        </w:rPr>
      </w:pPr>
      <w:r>
        <w:rPr>
          <w:rFonts w:ascii="Times New Roman" w:cs="Times New Roman" w:eastAsia="Times New Roman" w:hAnsi="Times New Roman"/>
          <w:sz w:val="19"/>
          <w:szCs w:val="19"/>
          <w:b w:val="1"/>
          <w:bCs w:val="1"/>
          <w:color w:val="auto"/>
        </w:rPr>
        <w:t>By selecting accept your award you certify that you have read, understand and agree to the terms of the RSU agreement, including the terms of Attachment I (including, without limitation, terms related to intellectual property, confidential information, solicitation or competition) are incorporated by reference herein and shall apply to the Employee as if fully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1605280</wp:posOffset>
            </wp:positionV>
            <wp:extent cx="7165975" cy="412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9"/>
          <w:szCs w:val="19"/>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854075" cy="5080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3">
                      <a:extLst>
                        <a:ext uri="{28A0092B-C50C-407E-A947-70E740481C1C}"/>
                      </a:extLst>
                    </a:blip>
                    <a:srcRect/>
                    <a:stretch>
                      <a:fillRect/>
                    </a:stretch>
                  </pic:blipFill>
                  <pic:spPr bwMode="auto">
                    <a:xfrm>
                      <a:off x="0" y="0"/>
                      <a:ext cx="854075" cy="5080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600"/>
        <w:spacing w:after="0"/>
        <w:rPr>
          <w:sz w:val="20"/>
          <w:szCs w:val="20"/>
          <w:color w:val="auto"/>
        </w:rPr>
      </w:pPr>
      <w:r>
        <w:rPr>
          <w:rFonts w:ascii="Arial" w:cs="Arial" w:eastAsia="Arial" w:hAnsi="Arial"/>
          <w:sz w:val="24"/>
          <w:szCs w:val="24"/>
          <w:color w:val="auto"/>
        </w:rPr>
        <w:t>Securities Transactions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Employees and directors of SLB may not trade SLB stock, or stock of another company, if you have material, non-public information (often referred to as insider information) related to SLB or that other company.</w:t>
      </w:r>
    </w:p>
    <w:p>
      <w:pPr>
        <w:spacing w:after="0" w:line="136" w:lineRule="exact"/>
        <w:rPr>
          <w:sz w:val="20"/>
          <w:szCs w:val="20"/>
          <w:color w:val="auto"/>
        </w:rPr>
      </w:pPr>
    </w:p>
    <w:p>
      <w:pPr>
        <w:ind w:left="760" w:hanging="384"/>
        <w:spacing w:after="0"/>
        <w:tabs>
          <w:tab w:leader="none" w:pos="760" w:val="left"/>
        </w:tabs>
        <w:numPr>
          <w:ilvl w:val="0"/>
          <w:numId w:val="14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Who must follow this policy</w:t>
      </w:r>
      <w:r>
        <w:rPr>
          <w:rFonts w:ascii="Arial" w:cs="Arial" w:eastAsia="Arial" w:hAnsi="Arial"/>
          <w:sz w:val="17"/>
          <w:szCs w:val="17"/>
          <w:color w:val="auto"/>
        </w:rPr>
        <w:t>: All SLB employees and directors. Also, family members who live at your residence must follow this policy.</w:t>
      </w:r>
    </w:p>
    <w:p>
      <w:pPr>
        <w:spacing w:after="0" w:line="22" w:lineRule="exact"/>
        <w:rPr>
          <w:rFonts w:ascii="Times New Roman" w:cs="Times New Roman" w:eastAsia="Times New Roman" w:hAnsi="Times New Roman"/>
          <w:sz w:val="17"/>
          <w:szCs w:val="17"/>
          <w:color w:val="auto"/>
        </w:rPr>
      </w:pPr>
    </w:p>
    <w:p>
      <w:pPr>
        <w:ind w:left="760" w:hanging="384"/>
        <w:spacing w:after="0"/>
        <w:tabs>
          <w:tab w:leader="none" w:pos="760" w:val="left"/>
        </w:tabs>
        <w:numPr>
          <w:ilvl w:val="0"/>
          <w:numId w:val="14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What is a trade</w:t>
      </w:r>
      <w:r>
        <w:rPr>
          <w:rFonts w:ascii="Arial" w:cs="Arial" w:eastAsia="Arial" w:hAnsi="Arial"/>
          <w:sz w:val="17"/>
          <w:szCs w:val="17"/>
          <w:color w:val="auto"/>
        </w:rPr>
        <w:t>:</w:t>
      </w:r>
    </w:p>
    <w:p>
      <w:pPr>
        <w:spacing w:after="0" w:line="7" w:lineRule="exact"/>
        <w:rPr>
          <w:sz w:val="20"/>
          <w:szCs w:val="20"/>
          <w:color w:val="auto"/>
        </w:rPr>
      </w:pPr>
    </w:p>
    <w:p>
      <w:pPr>
        <w:ind w:left="1500" w:hanging="374"/>
        <w:spacing w:after="0"/>
        <w:tabs>
          <w:tab w:leader="none" w:pos="1500" w:val="left"/>
        </w:tabs>
        <w:numPr>
          <w:ilvl w:val="1"/>
          <w:numId w:val="148"/>
        </w:numPr>
        <w:rPr>
          <w:rFonts w:ascii="Times New Roman" w:cs="Times New Roman" w:eastAsia="Times New Roman" w:hAnsi="Times New Roman"/>
          <w:sz w:val="17"/>
          <w:szCs w:val="17"/>
          <w:color w:val="auto"/>
        </w:rPr>
      </w:pPr>
      <w:r>
        <w:rPr>
          <w:rFonts w:ascii="Arial" w:cs="Arial" w:eastAsia="Arial" w:hAnsi="Arial"/>
          <w:sz w:val="17"/>
          <w:szCs w:val="17"/>
          <w:color w:val="auto"/>
        </w:rPr>
        <w:t>Buying SLB shares (including stock, options, puts, calls or similar instruments).</w:t>
      </w:r>
    </w:p>
    <w:p>
      <w:pPr>
        <w:spacing w:after="0" w:line="6" w:lineRule="exact"/>
        <w:rPr>
          <w:rFonts w:ascii="Times New Roman" w:cs="Times New Roman" w:eastAsia="Times New Roman" w:hAnsi="Times New Roman"/>
          <w:sz w:val="17"/>
          <w:szCs w:val="17"/>
          <w:color w:val="auto"/>
        </w:rPr>
      </w:pPr>
    </w:p>
    <w:p>
      <w:pPr>
        <w:ind w:left="1500" w:hanging="374"/>
        <w:spacing w:after="0"/>
        <w:tabs>
          <w:tab w:leader="none" w:pos="1500" w:val="left"/>
        </w:tabs>
        <w:numPr>
          <w:ilvl w:val="1"/>
          <w:numId w:val="148"/>
        </w:numPr>
        <w:rPr>
          <w:rFonts w:ascii="Times New Roman" w:cs="Times New Roman" w:eastAsia="Times New Roman" w:hAnsi="Times New Roman"/>
          <w:sz w:val="17"/>
          <w:szCs w:val="17"/>
          <w:color w:val="auto"/>
        </w:rPr>
      </w:pPr>
      <w:r>
        <w:rPr>
          <w:rFonts w:ascii="Arial" w:cs="Arial" w:eastAsia="Arial" w:hAnsi="Arial"/>
          <w:sz w:val="17"/>
          <w:szCs w:val="17"/>
          <w:color w:val="auto"/>
        </w:rPr>
        <w:t>Selling SLB shares (including stock, options, puts, calls or similar instruments).</w:t>
      </w:r>
    </w:p>
    <w:p>
      <w:pPr>
        <w:spacing w:after="0" w:line="6" w:lineRule="exact"/>
        <w:rPr>
          <w:rFonts w:ascii="Times New Roman" w:cs="Times New Roman" w:eastAsia="Times New Roman" w:hAnsi="Times New Roman"/>
          <w:sz w:val="17"/>
          <w:szCs w:val="17"/>
          <w:color w:val="auto"/>
        </w:rPr>
      </w:pPr>
    </w:p>
    <w:p>
      <w:pPr>
        <w:ind w:left="1500" w:hanging="374"/>
        <w:spacing w:after="0"/>
        <w:tabs>
          <w:tab w:leader="none" w:pos="1500" w:val="left"/>
        </w:tabs>
        <w:numPr>
          <w:ilvl w:val="1"/>
          <w:numId w:val="148"/>
        </w:numPr>
        <w:rPr>
          <w:rFonts w:ascii="Times New Roman" w:cs="Times New Roman" w:eastAsia="Times New Roman" w:hAnsi="Times New Roman"/>
          <w:sz w:val="17"/>
          <w:szCs w:val="17"/>
          <w:color w:val="auto"/>
        </w:rPr>
      </w:pPr>
      <w:r>
        <w:rPr>
          <w:rFonts w:ascii="Arial" w:cs="Arial" w:eastAsia="Arial" w:hAnsi="Arial"/>
          <w:sz w:val="17"/>
          <w:szCs w:val="17"/>
          <w:color w:val="auto"/>
        </w:rPr>
        <w:t>Tipping – passing along insider information to others so that they can trade or take advantage of the insider information.</w:t>
      </w:r>
    </w:p>
    <w:p>
      <w:pPr>
        <w:spacing w:after="0" w:line="6" w:lineRule="exact"/>
        <w:rPr>
          <w:rFonts w:ascii="Times New Roman" w:cs="Times New Roman" w:eastAsia="Times New Roman" w:hAnsi="Times New Roman"/>
          <w:sz w:val="17"/>
          <w:szCs w:val="17"/>
          <w:color w:val="auto"/>
        </w:rPr>
      </w:pPr>
    </w:p>
    <w:p>
      <w:pPr>
        <w:ind w:left="1500" w:hanging="374"/>
        <w:spacing w:after="0"/>
        <w:tabs>
          <w:tab w:leader="none" w:pos="1500" w:val="left"/>
        </w:tabs>
        <w:numPr>
          <w:ilvl w:val="1"/>
          <w:numId w:val="148"/>
        </w:numPr>
        <w:rPr>
          <w:rFonts w:ascii="Times New Roman" w:cs="Times New Roman" w:eastAsia="Times New Roman" w:hAnsi="Times New Roman"/>
          <w:sz w:val="17"/>
          <w:szCs w:val="17"/>
          <w:color w:val="auto"/>
        </w:rPr>
      </w:pPr>
      <w:r>
        <w:rPr>
          <w:rFonts w:ascii="Arial" w:cs="Arial" w:eastAsia="Arial" w:hAnsi="Arial"/>
          <w:sz w:val="17"/>
          <w:szCs w:val="17"/>
          <w:color w:val="auto"/>
        </w:rPr>
        <w:t>Trading shares of another company if you have insider information regarding that company.</w:t>
      </w:r>
    </w:p>
    <w:p>
      <w:pPr>
        <w:spacing w:after="0" w:line="6" w:lineRule="exact"/>
        <w:rPr>
          <w:rFonts w:ascii="Times New Roman" w:cs="Times New Roman" w:eastAsia="Times New Roman" w:hAnsi="Times New Roman"/>
          <w:sz w:val="17"/>
          <w:szCs w:val="17"/>
          <w:color w:val="auto"/>
        </w:rPr>
      </w:pPr>
    </w:p>
    <w:p>
      <w:pPr>
        <w:ind w:left="2260" w:right="40" w:hanging="384"/>
        <w:spacing w:after="0" w:line="233" w:lineRule="auto"/>
        <w:tabs>
          <w:tab w:leader="none" w:pos="2260" w:val="left"/>
        </w:tabs>
        <w:numPr>
          <w:ilvl w:val="2"/>
          <w:numId w:val="14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Because of the close relationship between SLB and its customers, it is </w:t>
      </w:r>
      <w:r>
        <w:rPr>
          <w:rFonts w:ascii="Arial" w:cs="Arial" w:eastAsia="Arial" w:hAnsi="Arial"/>
          <w:sz w:val="17"/>
          <w:szCs w:val="17"/>
          <w:u w:val="single" w:color="auto"/>
          <w:color w:val="auto"/>
        </w:rPr>
        <w:t>strongly recommended</w:t>
      </w:r>
      <w:r>
        <w:rPr>
          <w:rFonts w:ascii="Arial" w:cs="Arial" w:eastAsia="Arial" w:hAnsi="Arial"/>
          <w:sz w:val="17"/>
          <w:szCs w:val="17"/>
          <w:color w:val="auto"/>
        </w:rPr>
        <w:t xml:space="preserve"> that you only own shares in our customers via mutual funds or ETFs to eliminate the risk of violating this policy.</w:t>
      </w:r>
    </w:p>
    <w:p>
      <w:pPr>
        <w:ind w:left="1500" w:hanging="374"/>
        <w:spacing w:after="0"/>
        <w:tabs>
          <w:tab w:leader="none" w:pos="1500" w:val="left"/>
        </w:tabs>
        <w:numPr>
          <w:ilvl w:val="1"/>
          <w:numId w:val="148"/>
        </w:numPr>
        <w:rPr>
          <w:rFonts w:ascii="Times New Roman" w:cs="Times New Roman" w:eastAsia="Times New Roman" w:hAnsi="Times New Roman"/>
          <w:sz w:val="17"/>
          <w:szCs w:val="17"/>
          <w:color w:val="auto"/>
        </w:rPr>
      </w:pPr>
      <w:r>
        <w:rPr>
          <w:rFonts w:ascii="Arial" w:cs="Arial" w:eastAsia="Arial" w:hAnsi="Arial"/>
          <w:sz w:val="17"/>
          <w:szCs w:val="17"/>
          <w:b w:val="1"/>
          <w:bCs w:val="1"/>
          <w:u w:val="single" w:color="auto"/>
          <w:color w:val="auto"/>
        </w:rPr>
        <w:t>No exceptions</w:t>
      </w:r>
      <w:r>
        <w:rPr>
          <w:rFonts w:ascii="Arial" w:cs="Arial" w:eastAsia="Arial" w:hAnsi="Arial"/>
          <w:sz w:val="17"/>
          <w:szCs w:val="17"/>
          <w:b w:val="1"/>
          <w:bCs w:val="1"/>
          <w:color w:val="auto"/>
        </w:rPr>
        <w:t xml:space="preserve"> </w:t>
      </w:r>
      <w:r>
        <w:rPr>
          <w:rFonts w:ascii="Arial" w:cs="Arial" w:eastAsia="Arial" w:hAnsi="Arial"/>
          <w:sz w:val="17"/>
          <w:szCs w:val="17"/>
          <w:color w:val="auto"/>
        </w:rPr>
        <w:t>– even in the event of a financial necessity or emergency, there is no exception to this policy.</w:t>
      </w:r>
    </w:p>
    <w:p>
      <w:pPr>
        <w:spacing w:after="0" w:line="6" w:lineRule="exact"/>
        <w:rPr>
          <w:rFonts w:ascii="Times New Roman" w:cs="Times New Roman" w:eastAsia="Times New Roman" w:hAnsi="Times New Roman"/>
          <w:sz w:val="17"/>
          <w:szCs w:val="17"/>
          <w:color w:val="auto"/>
        </w:rPr>
      </w:pPr>
    </w:p>
    <w:p>
      <w:pPr>
        <w:ind w:left="760" w:right="240" w:hanging="384"/>
        <w:spacing w:after="0" w:line="233" w:lineRule="auto"/>
        <w:tabs>
          <w:tab w:leader="none" w:pos="760" w:val="left"/>
        </w:tabs>
        <w:numPr>
          <w:ilvl w:val="0"/>
          <w:numId w:val="14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Additional requirements for the Blackout Group </w:t>
      </w:r>
      <w:r>
        <w:rPr>
          <w:rFonts w:ascii="Arial" w:cs="Arial" w:eastAsia="Arial" w:hAnsi="Arial"/>
          <w:sz w:val="17"/>
          <w:szCs w:val="17"/>
          <w:color w:val="auto"/>
        </w:rPr>
        <w:t>– The legal team will identify officers, directors, and other employees that may have</w:t>
      </w:r>
      <w:r>
        <w:rPr>
          <w:rFonts w:ascii="Arial" w:cs="Arial" w:eastAsia="Arial" w:hAnsi="Arial"/>
          <w:sz w:val="17"/>
          <w:szCs w:val="17"/>
          <w:b w:val="1"/>
          <w:bCs w:val="1"/>
          <w:color w:val="auto"/>
        </w:rPr>
        <w:t xml:space="preserve"> </w:t>
      </w:r>
      <w:r>
        <w:rPr>
          <w:rFonts w:ascii="Arial" w:cs="Arial" w:eastAsia="Arial" w:hAnsi="Arial"/>
          <w:sz w:val="17"/>
          <w:szCs w:val="17"/>
          <w:color w:val="auto"/>
        </w:rPr>
        <w:t>more routine access to SLB insider information (referred to as the Blackout Group). These individuals will receive a “blackout notice“ that will advise periods when the Blackout Group is prohibited from trading SLB shares.</w:t>
      </w:r>
    </w:p>
    <w:p>
      <w:pPr>
        <w:spacing w:after="0" w:line="1" w:lineRule="exact"/>
        <w:rPr>
          <w:rFonts w:ascii="Times New Roman" w:cs="Times New Roman" w:eastAsia="Times New Roman" w:hAnsi="Times New Roman"/>
          <w:sz w:val="17"/>
          <w:szCs w:val="17"/>
          <w:color w:val="auto"/>
        </w:rPr>
      </w:pPr>
    </w:p>
    <w:p>
      <w:pPr>
        <w:ind w:left="760" w:right="240" w:hanging="384"/>
        <w:spacing w:after="0" w:line="233" w:lineRule="auto"/>
        <w:tabs>
          <w:tab w:leader="none" w:pos="760" w:val="left"/>
        </w:tabs>
        <w:numPr>
          <w:ilvl w:val="0"/>
          <w:numId w:val="14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Pre-clearance for Senior Officers and directors </w:t>
      </w:r>
      <w:r>
        <w:rPr>
          <w:rFonts w:ascii="Arial" w:cs="Arial" w:eastAsia="Arial" w:hAnsi="Arial"/>
          <w:sz w:val="17"/>
          <w:szCs w:val="17"/>
          <w:color w:val="auto"/>
        </w:rPr>
        <w:t>– SLB Senior Officers and directors must obtain pre-clearance before buying or selling</w:t>
      </w:r>
      <w:r>
        <w:rPr>
          <w:rFonts w:ascii="Arial" w:cs="Arial" w:eastAsia="Arial" w:hAnsi="Arial"/>
          <w:sz w:val="17"/>
          <w:szCs w:val="17"/>
          <w:b w:val="1"/>
          <w:bCs w:val="1"/>
          <w:color w:val="auto"/>
        </w:rPr>
        <w:t xml:space="preserve"> </w:t>
      </w:r>
      <w:r>
        <w:rPr>
          <w:rFonts w:ascii="Arial" w:cs="Arial" w:eastAsia="Arial" w:hAnsi="Arial"/>
          <w:sz w:val="17"/>
          <w:szCs w:val="17"/>
          <w:color w:val="auto"/>
        </w:rPr>
        <w:t>SLB shares. Senior Officers and directors may not:</w:t>
      </w:r>
    </w:p>
    <w:p>
      <w:pPr>
        <w:ind w:left="1500" w:hanging="374"/>
        <w:spacing w:after="0"/>
        <w:tabs>
          <w:tab w:leader="none" w:pos="1500" w:val="left"/>
        </w:tabs>
        <w:numPr>
          <w:ilvl w:val="1"/>
          <w:numId w:val="148"/>
        </w:numPr>
        <w:rPr>
          <w:rFonts w:ascii="Times New Roman" w:cs="Times New Roman" w:eastAsia="Times New Roman" w:hAnsi="Times New Roman"/>
          <w:sz w:val="17"/>
          <w:szCs w:val="17"/>
          <w:color w:val="auto"/>
        </w:rPr>
      </w:pPr>
      <w:r>
        <w:rPr>
          <w:rFonts w:ascii="Arial" w:cs="Arial" w:eastAsia="Arial" w:hAnsi="Arial"/>
          <w:sz w:val="17"/>
          <w:szCs w:val="17"/>
          <w:color w:val="auto"/>
        </w:rPr>
        <w:t>engage in speculative trading, such as short sales or hedging transactions,</w:t>
      </w:r>
    </w:p>
    <w:p>
      <w:pPr>
        <w:spacing w:after="0" w:line="6" w:lineRule="exact"/>
        <w:rPr>
          <w:rFonts w:ascii="Times New Roman" w:cs="Times New Roman" w:eastAsia="Times New Roman" w:hAnsi="Times New Roman"/>
          <w:sz w:val="17"/>
          <w:szCs w:val="17"/>
          <w:color w:val="auto"/>
        </w:rPr>
      </w:pPr>
    </w:p>
    <w:p>
      <w:pPr>
        <w:ind w:left="1500" w:hanging="374"/>
        <w:spacing w:after="0"/>
        <w:tabs>
          <w:tab w:leader="none" w:pos="1500" w:val="left"/>
        </w:tabs>
        <w:numPr>
          <w:ilvl w:val="1"/>
          <w:numId w:val="148"/>
        </w:numPr>
        <w:rPr>
          <w:rFonts w:ascii="Times New Roman" w:cs="Times New Roman" w:eastAsia="Times New Roman" w:hAnsi="Times New Roman"/>
          <w:sz w:val="17"/>
          <w:szCs w:val="17"/>
          <w:color w:val="auto"/>
        </w:rPr>
      </w:pPr>
      <w:r>
        <w:rPr>
          <w:rFonts w:ascii="Arial" w:cs="Arial" w:eastAsia="Arial" w:hAnsi="Arial"/>
          <w:sz w:val="17"/>
          <w:szCs w:val="17"/>
          <w:color w:val="auto"/>
        </w:rPr>
        <w:t>utilize margin accounts for shares of SLB, or</w:t>
      </w:r>
    </w:p>
    <w:p>
      <w:pPr>
        <w:spacing w:after="0" w:line="6" w:lineRule="exact"/>
        <w:rPr>
          <w:rFonts w:ascii="Times New Roman" w:cs="Times New Roman" w:eastAsia="Times New Roman" w:hAnsi="Times New Roman"/>
          <w:sz w:val="17"/>
          <w:szCs w:val="17"/>
          <w:color w:val="auto"/>
        </w:rPr>
      </w:pPr>
    </w:p>
    <w:p>
      <w:pPr>
        <w:ind w:left="1500" w:hanging="374"/>
        <w:spacing w:after="0"/>
        <w:tabs>
          <w:tab w:leader="none" w:pos="1500" w:val="left"/>
        </w:tabs>
        <w:numPr>
          <w:ilvl w:val="1"/>
          <w:numId w:val="148"/>
        </w:numPr>
        <w:rPr>
          <w:rFonts w:ascii="Times New Roman" w:cs="Times New Roman" w:eastAsia="Times New Roman" w:hAnsi="Times New Roman"/>
          <w:sz w:val="17"/>
          <w:szCs w:val="17"/>
          <w:color w:val="auto"/>
        </w:rPr>
      </w:pPr>
      <w:r>
        <w:rPr>
          <w:rFonts w:ascii="Arial" w:cs="Arial" w:eastAsia="Arial" w:hAnsi="Arial"/>
          <w:sz w:val="17"/>
          <w:szCs w:val="17"/>
          <w:color w:val="auto"/>
        </w:rPr>
        <w:t>pledge SLB securities as collateral for a loan.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SLB Executive and Corporate Officers may enter into a 10b5-1 trading plan in accordance with SLB’s 10b5-1 Trading Plan Standard.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Any violation of this Policy may subject the employee to disciplinary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128270</wp:posOffset>
            </wp:positionV>
            <wp:extent cx="846455" cy="6610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4">
                      <a:extLst>
                        <a:ext uri="{28A0092B-C50C-407E-A947-70E740481C1C}"/>
                      </a:extLst>
                    </a:blip>
                    <a:srcRect/>
                    <a:stretch>
                      <a:fillRect/>
                    </a:stretch>
                  </pic:blipFill>
                  <pic:spPr bwMode="auto">
                    <a:xfrm>
                      <a:off x="0" y="0"/>
                      <a:ext cx="846455" cy="66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Olivier Le Peuch</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SLB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165975" cy="412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5685155</wp:posOffset>
            </wp:positionV>
            <wp:extent cx="7165975" cy="412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725805</wp:posOffset>
            </wp:positionV>
            <wp:extent cx="7199630" cy="40620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7">
                      <a:clrChange>
                        <a:clrFrom>
                          <a:srgbClr val="FFFFFF"/>
                        </a:clrFrom>
                        <a:clrTo>
                          <a:srgbClr val="FFFFFF">
                            <a:alpha val="0"/>
                          </a:srgbClr>
                        </a:clrTo>
                      </a:clrChange>
                      <a:extLst>
                        <a:ext uri="{28A0092B-C50C-407E-A947-70E740481C1C}"/>
                      </a:extLst>
                    </a:blip>
                    <a:srcRect/>
                    <a:stretch>
                      <a:fillRect/>
                    </a:stretch>
                  </pic:blipFill>
                  <pic:spPr bwMode="auto">
                    <a:xfrm>
                      <a:off x="0" y="0"/>
                      <a:ext cx="719963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725805</wp:posOffset>
            </wp:positionV>
            <wp:extent cx="854075" cy="5080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8">
                      <a:clrChange>
                        <a:clrFrom>
                          <a:srgbClr val="FFFFFF"/>
                        </a:clrFrom>
                        <a:clrTo>
                          <a:srgbClr val="FFFFFF">
                            <a:alpha val="0"/>
                          </a:srgbClr>
                        </a:clrTo>
                      </a:clrChange>
                      <a:extLst>
                        <a:ext uri="{28A0092B-C50C-407E-A947-70E740481C1C}"/>
                      </a:extLst>
                    </a:blip>
                    <a:srcRect/>
                    <a:stretch>
                      <a:fillRect/>
                    </a:stretch>
                  </pic:blipFill>
                  <pic:spPr bwMode="auto">
                    <a:xfrm>
                      <a:off x="0" y="0"/>
                      <a:ext cx="854075" cy="50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10b5-1 Trading Plans Standard</w:t>
      </w:r>
    </w:p>
    <w:p>
      <w:pPr>
        <w:spacing w:after="0" w:line="200" w:lineRule="exact"/>
        <w:rPr>
          <w:sz w:val="20"/>
          <w:szCs w:val="20"/>
          <w:color w:val="auto"/>
        </w:rPr>
      </w:pPr>
    </w:p>
    <w:p>
      <w:pPr>
        <w:spacing w:after="0" w:line="215" w:lineRule="exact"/>
        <w:rPr>
          <w:sz w:val="20"/>
          <w:szCs w:val="20"/>
          <w:color w:val="auto"/>
        </w:rPr>
      </w:pPr>
    </w:p>
    <w:p>
      <w:pPr>
        <w:ind w:right="120" w:firstLine="904"/>
        <w:spacing w:after="0" w:line="267" w:lineRule="auto"/>
        <w:rPr>
          <w:sz w:val="20"/>
          <w:szCs w:val="20"/>
          <w:color w:val="auto"/>
        </w:rPr>
      </w:pPr>
      <w:r>
        <w:rPr>
          <w:rFonts w:ascii="Arial" w:cs="Arial" w:eastAsia="Arial" w:hAnsi="Arial"/>
          <w:sz w:val="17"/>
          <w:szCs w:val="17"/>
          <w:color w:val="auto"/>
        </w:rPr>
        <w:t>An SLB Executive or Corporate Officer may enter into a 10b5-1 trading plan with his or her broker with respect to SLB stock, as long as such trading plan meets the following requirements:</w:t>
      </w:r>
    </w:p>
    <w:p>
      <w:pPr>
        <w:spacing w:after="0" w:line="174" w:lineRule="exact"/>
        <w:rPr>
          <w:sz w:val="20"/>
          <w:szCs w:val="20"/>
          <w:color w:val="auto"/>
        </w:rPr>
      </w:pPr>
    </w:p>
    <w:p>
      <w:pPr>
        <w:ind w:left="1260" w:right="780" w:hanging="354"/>
        <w:spacing w:after="0" w:line="267" w:lineRule="auto"/>
        <w:tabs>
          <w:tab w:leader="none" w:pos="12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plan must include instructions for the broker to execute multiple trades over a 12-month period. No single-trade plans are permitted.</w:t>
      </w:r>
    </w:p>
    <w:p>
      <w:pPr>
        <w:spacing w:after="0" w:line="47" w:lineRule="exact"/>
        <w:rPr>
          <w:rFonts w:ascii="Arial" w:cs="Arial" w:eastAsia="Arial" w:hAnsi="Arial"/>
          <w:sz w:val="17"/>
          <w:szCs w:val="17"/>
          <w:color w:val="auto"/>
        </w:rPr>
      </w:pPr>
    </w:p>
    <w:p>
      <w:pPr>
        <w:ind w:left="1240" w:right="1400" w:hanging="334"/>
        <w:spacing w:after="0" w:line="267" w:lineRule="auto"/>
        <w:tabs>
          <w:tab w:leader="none" w:pos="12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first trade under the plan may occur no earlier than 90 days following the date that the officer entered into the plan (which period may be extended up to 120 days if required by SEC rules).</w:t>
      </w:r>
    </w:p>
    <w:p>
      <w:pPr>
        <w:spacing w:after="0" w:line="47" w:lineRule="exact"/>
        <w:rPr>
          <w:rFonts w:ascii="Arial" w:cs="Arial" w:eastAsia="Arial" w:hAnsi="Arial"/>
          <w:sz w:val="17"/>
          <w:szCs w:val="17"/>
          <w:color w:val="auto"/>
        </w:rPr>
      </w:pPr>
    </w:p>
    <w:p>
      <w:pPr>
        <w:ind w:left="1260" w:right="1160" w:hanging="354"/>
        <w:spacing w:after="0" w:line="267" w:lineRule="auto"/>
        <w:tabs>
          <w:tab w:leader="none" w:pos="12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Aggregate sales under the plan may not result in the officer’s selling more than one-half of his or her total holdings of SLB securities over a 12-month period.</w:t>
      </w:r>
    </w:p>
    <w:p>
      <w:pPr>
        <w:spacing w:after="0" w:line="47" w:lineRule="exact"/>
        <w:rPr>
          <w:rFonts w:ascii="Arial" w:cs="Arial" w:eastAsia="Arial" w:hAnsi="Arial"/>
          <w:sz w:val="17"/>
          <w:szCs w:val="17"/>
          <w:color w:val="auto"/>
        </w:rPr>
      </w:pPr>
    </w:p>
    <w:p>
      <w:pPr>
        <w:ind w:left="1240" w:right="960" w:hanging="334"/>
        <w:spacing w:after="0" w:line="267" w:lineRule="auto"/>
        <w:tabs>
          <w:tab w:leader="none" w:pos="12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Aggregate sales under the plan may not result in the officer’s failure to comply with his or her minimum stock ownership requirement under SLB’s Executive Stock Ownership Guidelines.</w:t>
      </w:r>
    </w:p>
    <w:p>
      <w:pPr>
        <w:spacing w:after="0" w:line="47" w:lineRule="exact"/>
        <w:rPr>
          <w:rFonts w:ascii="Arial" w:cs="Arial" w:eastAsia="Arial" w:hAnsi="Arial"/>
          <w:sz w:val="17"/>
          <w:szCs w:val="17"/>
          <w:color w:val="auto"/>
        </w:rPr>
      </w:pPr>
    </w:p>
    <w:p>
      <w:pPr>
        <w:ind w:left="1240" w:right="1360" w:hanging="334"/>
        <w:spacing w:after="0" w:line="299" w:lineRule="auto"/>
        <w:tabs>
          <w:tab w:leader="none" w:pos="12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Concurrently with entering into the plan, the officer must deliver to the Chief Legal Officer an executed certification confirming that he or she is not in possession or aware of any material nonpublic information with respect to SLB.</w:t>
      </w:r>
    </w:p>
    <w:p>
      <w:pPr>
        <w:spacing w:after="0" w:line="36" w:lineRule="exact"/>
        <w:rPr>
          <w:rFonts w:ascii="Arial" w:cs="Arial" w:eastAsia="Arial" w:hAnsi="Arial"/>
          <w:sz w:val="16"/>
          <w:szCs w:val="16"/>
          <w:color w:val="auto"/>
        </w:rPr>
      </w:pPr>
    </w:p>
    <w:p>
      <w:pPr>
        <w:ind w:left="1280" w:hanging="374"/>
        <w:spacing w:after="0"/>
        <w:tabs>
          <w:tab w:leader="none" w:pos="12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plan must be approved by the Chief Legal Officer or their designee.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Trades pursuant to an approved 10b5-1 Plan will not require pre-clearance and may occur during quarterly and special blackout periods.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Please contact the Chief Legal Officer if you have questions regarding 10b5-1 Plans.</w:t>
      </w:r>
    </w:p>
    <w:p>
      <w:pPr>
        <w:spacing w:after="0" w:line="195" w:lineRule="exact"/>
        <w:rPr>
          <w:sz w:val="20"/>
          <w:szCs w:val="20"/>
          <w:color w:val="auto"/>
        </w:rPr>
      </w:pPr>
    </w:p>
    <w:p>
      <w:pPr>
        <w:ind w:left="140" w:right="560" w:firstLine="780"/>
        <w:spacing w:after="0" w:line="250" w:lineRule="auto"/>
        <w:rPr>
          <w:sz w:val="20"/>
          <w:szCs w:val="20"/>
          <w:color w:val="auto"/>
        </w:rPr>
      </w:pPr>
      <w:r>
        <w:rPr>
          <w:rFonts w:ascii="Arial" w:cs="Arial" w:eastAsia="Arial" w:hAnsi="Arial"/>
          <w:sz w:val="17"/>
          <w:szCs w:val="17"/>
          <w:color w:val="auto"/>
        </w:rPr>
        <w:t>An Executive or Corporate Officer who enters into a 10b5-1 Plan is prohibited, for the duration of that Plan, from executing trades outside of that 10b5-1 Plan. No modifications or amendments to approved 10b5-1 plans are permitted, except with the express written authorization of the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553085</wp:posOffset>
            </wp:positionV>
            <wp:extent cx="7165975" cy="412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20"/>
          </w:cols>
          <w:pgMar w:left="420" w:top="1440" w:right="359" w:bottom="1440" w:gutter="0" w:footer="0" w:header="0"/>
        </w:sectPr>
      </w:pPr>
    </w:p>
    <w:bookmarkStart w:id="121" w:name="page122"/>
    <w:bookmarkEnd w:id="121"/>
    <w:p>
      <w:pPr>
        <w:ind w:left="10480"/>
        <w:spacing w:after="0"/>
        <w:rPr>
          <w:sz w:val="20"/>
          <w:szCs w:val="20"/>
          <w:color w:val="auto"/>
        </w:rPr>
      </w:pPr>
      <w:r>
        <w:rPr>
          <w:rFonts w:ascii="Arial" w:cs="Arial" w:eastAsia="Arial" w:hAnsi="Arial"/>
          <w:sz w:val="15"/>
          <w:szCs w:val="15"/>
          <w:b w:val="1"/>
          <w:bCs w:val="1"/>
          <w:u w:val="single" w:color="auto"/>
          <w:color w:val="auto"/>
        </w:rPr>
        <w:t>Exhibit 21</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Significant Subsidiaries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Listed below are the significant subsidiaries of SLB Limited (SLB N.V.) as of December 31, 2025,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2025.</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Schlumberger B.V., Netherlands</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Schlumberger Canada Limited, Canada</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Schlumberger Holdings Corporation, Delaware</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Cameron International Corporation, Delaware</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ChampionX Corporation, Delaware</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Schlumberger Technology Corporation, Texas</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Schlumberger Norge AS, Norway</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Schlumberger SA, France</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Services Petroliers Schlumberger, France</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Schlumberger UK Limited, UK</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SLB UK II Limited, UK</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Schlumberger Oilfield UK Limited, UK</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Schlumberger Oilfield Holdings Limited, BVI</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Schlumberger Holdings II Limited, BVI</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Dowell Schlumberger Corporation, BVI</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Schlumberger Logelco, Inc., Panama</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Schlumberger Middle East SA., Panama</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Schlumberger Offshore Services Limited, BVI</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Schlumberger Oilfield Eastern Ltd., BVI</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Schlumberger Overseas, SA, Panama</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Schlumberger Seaco, Inc., 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1174115</wp:posOffset>
            </wp:positionV>
            <wp:extent cx="7165975" cy="412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5"/>
          <w:szCs w:val="15"/>
          <w:b w:val="1"/>
          <w:bCs w:val="1"/>
          <w:u w:val="single" w:color="auto"/>
          <w:color w:val="auto"/>
        </w:rPr>
        <w:t>Exhibit 22</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Issuers of Registered Guaranteed Debt Securities</w:t>
      </w:r>
    </w:p>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Schlumberger Investment S.A., a société anonyme incorporated under the laws of the Grand Duchy of Luxembourg (“SISA”) is an indirect wholly-owned subsidiary of SLB Limited (the “Guarantor”).</w:t>
      </w:r>
    </w:p>
    <w:p>
      <w:pPr>
        <w:spacing w:after="0" w:line="123"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As of December 31, 2025, SISA was the issuer of its 4.500% Senior Notes due 2028, 2.650% Senior Notes due 2030, 4.850% Senior Notes due 2033, and 5.000% Senior Notes due 2034 (together, the “SISA Notes”). The Guarantor fully and unconditionally guarantees the SISA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1410970</wp:posOffset>
            </wp:positionV>
            <wp:extent cx="7165975" cy="412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3" w:name="page124"/>
    <w:bookmarkEnd w:id="123"/>
    <w:p>
      <w:pPr>
        <w:ind w:left="10480"/>
        <w:spacing w:after="0"/>
        <w:rPr>
          <w:sz w:val="20"/>
          <w:szCs w:val="20"/>
          <w:color w:val="auto"/>
        </w:rPr>
      </w:pPr>
      <w:r>
        <w:rPr>
          <w:rFonts w:ascii="Arial" w:cs="Arial" w:eastAsia="Arial" w:hAnsi="Arial"/>
          <w:sz w:val="15"/>
          <w:szCs w:val="15"/>
          <w:b w:val="1"/>
          <w:bCs w:val="1"/>
          <w:u w:val="single" w:color="auto"/>
          <w:color w:val="auto"/>
        </w:rPr>
        <w:t>Exhibit 23</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83" w:lineRule="exact"/>
        <w:rPr>
          <w:sz w:val="20"/>
          <w:szCs w:val="20"/>
          <w:color w:val="auto"/>
        </w:rPr>
      </w:pPr>
    </w:p>
    <w:p>
      <w:pPr>
        <w:jc w:val="both"/>
        <w:ind w:firstLine="1088"/>
        <w:spacing w:after="0" w:line="265" w:lineRule="auto"/>
        <w:rPr>
          <w:sz w:val="20"/>
          <w:szCs w:val="20"/>
          <w:color w:val="auto"/>
        </w:rPr>
      </w:pPr>
      <w:r>
        <w:rPr>
          <w:rFonts w:ascii="Arial" w:cs="Arial" w:eastAsia="Arial" w:hAnsi="Arial"/>
          <w:sz w:val="15"/>
          <w:szCs w:val="15"/>
          <w:color w:val="auto"/>
        </w:rPr>
        <w:t>We hereby consent to the incorporation by reference in the Registration Statements on Form S-8 (Nos. 333-151920; 333-173055, 333-188590; 333-261482; 333-288443; and 333-288956); on Form S-3 (Nos. 333-271711 and 333-273974); and on Form S-4 (Nos. 333-97899 and 333-278976); of SLB Limited of our report dated January 23, 2026 relating to the consolidated financial statements and the effectiveness of internal control over financial reporting, which appears in this Form 10-K.</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178117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January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1061085</wp:posOffset>
            </wp:positionV>
            <wp:extent cx="7165975" cy="412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5"/>
          <w:szCs w:val="15"/>
          <w:b w:val="1"/>
          <w:bCs w:val="1"/>
          <w:u w:val="single" w:color="auto"/>
          <w:color w:val="auto"/>
        </w:rPr>
        <w:t>Exhibit 24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Powers of Attorney</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SLB Limited, a Curaçao company, hereby appoints Howard Guild and Dianne B. Ralston,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ended December 31, 2025, and any amendment or amendments to any such Annual Report on Form 10-K, and any agreements, consents or waivers related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240"/>
          </w:cols>
          <w:pgMar w:left="320" w:top="13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1756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4">
                      <a:extLst>
                        <a:ext uri="{28A0092B-C50C-407E-A947-70E740481C1C}"/>
                      </a:extLst>
                    </a:blip>
                    <a:srcRect/>
                    <a:stretch>
                      <a:fillRect/>
                    </a:stretch>
                  </pic:blipFill>
                  <pic:spPr bwMode="auto">
                    <a:xfrm>
                      <a:off x="0" y="0"/>
                      <a:ext cx="3175635" cy="8255"/>
                    </a:xfrm>
                    <a:prstGeom prst="rect">
                      <a:avLst/>
                    </a:prstGeom>
                    <a:noFill/>
                  </pic:spPr>
                </pic:pic>
              </a:graphicData>
            </a:graphic>
          </wp:anchor>
        </w:drawing>
      </w:r>
    </w:p>
    <w:p>
      <w:pPr>
        <w:spacing w:after="0" w:line="7"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Peter Coleman</w:t>
      </w:r>
    </w:p>
    <w:p>
      <w:pPr>
        <w:spacing w:after="0" w:line="10"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350"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1756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5">
                      <a:extLst>
                        <a:ext uri="{28A0092B-C50C-407E-A947-70E740481C1C}"/>
                      </a:extLst>
                    </a:blip>
                    <a:srcRect/>
                    <a:stretch>
                      <a:fillRect/>
                    </a:stretch>
                  </pic:blipFill>
                  <pic:spPr bwMode="auto">
                    <a:xfrm>
                      <a:off x="0" y="0"/>
                      <a:ext cx="3175635" cy="8255"/>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Patrick de La Chevardière</w:t>
      </w:r>
    </w:p>
    <w:p>
      <w:pPr>
        <w:spacing w:after="0" w:line="10"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1756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6">
                      <a:extLst>
                        <a:ext uri="{28A0092B-C50C-407E-A947-70E740481C1C}"/>
                      </a:extLst>
                    </a:blip>
                    <a:srcRect/>
                    <a:stretch>
                      <a:fillRect/>
                    </a:stretch>
                  </pic:blipFill>
                  <pic:spPr bwMode="auto">
                    <a:xfrm>
                      <a:off x="0" y="0"/>
                      <a:ext cx="3175635" cy="8255"/>
                    </a:xfrm>
                    <a:prstGeom prst="rect">
                      <a:avLst/>
                    </a:prstGeom>
                    <a:noFill/>
                  </pic:spPr>
                </pic:pic>
              </a:graphicData>
            </a:graphic>
          </wp:anchor>
        </w:drawing>
      </w:r>
    </w:p>
    <w:p>
      <w:pPr>
        <w:spacing w:after="0" w:line="7" w:lineRule="exact"/>
        <w:rPr>
          <w:sz w:val="20"/>
          <w:szCs w:val="20"/>
          <w:color w:val="auto"/>
        </w:rPr>
      </w:pPr>
    </w:p>
    <w:p>
      <w:pPr>
        <w:ind w:left="1860"/>
        <w:spacing w:after="0"/>
        <w:rPr>
          <w:sz w:val="20"/>
          <w:szCs w:val="20"/>
          <w:color w:val="auto"/>
        </w:rPr>
      </w:pPr>
      <w:r>
        <w:rPr>
          <w:rFonts w:ascii="Arial" w:cs="Arial" w:eastAsia="Arial" w:hAnsi="Arial"/>
          <w:sz w:val="15"/>
          <w:szCs w:val="15"/>
          <w:color w:val="auto"/>
        </w:rPr>
        <w:t>Miguel M. Galuccio</w:t>
      </w:r>
    </w:p>
    <w:p>
      <w:pPr>
        <w:spacing w:after="0" w:line="10"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337"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/s/ James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1756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7">
                      <a:extLst>
                        <a:ext uri="{28A0092B-C50C-407E-A947-70E740481C1C}"/>
                      </a:extLst>
                    </a:blip>
                    <a:srcRect/>
                    <a:stretch>
                      <a:fillRect/>
                    </a:stretch>
                  </pic:blipFill>
                  <pic:spPr bwMode="auto">
                    <a:xfrm>
                      <a:off x="0" y="0"/>
                      <a:ext cx="3175635" cy="8255"/>
                    </a:xfrm>
                    <a:prstGeom prst="rect">
                      <a:avLst/>
                    </a:prstGeom>
                    <a:noFill/>
                  </pic:spPr>
                </pic:pic>
              </a:graphicData>
            </a:graphic>
          </wp:anchor>
        </w:drawing>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James Hackett</w:t>
      </w:r>
    </w:p>
    <w:p>
      <w:pPr>
        <w:spacing w:after="0" w:line="1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Chairman of the Board</w:t>
      </w:r>
    </w:p>
    <w:p>
      <w:pPr>
        <w:spacing w:after="0" w:line="200" w:lineRule="exact"/>
        <w:rPr>
          <w:sz w:val="20"/>
          <w:szCs w:val="20"/>
          <w:color w:val="auto"/>
        </w:rPr>
      </w:pPr>
    </w:p>
    <w:p>
      <w:pPr>
        <w:spacing w:after="0" w:line="337"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17563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8">
                      <a:extLst>
                        <a:ext uri="{28A0092B-C50C-407E-A947-70E740481C1C}"/>
                      </a:extLst>
                    </a:blip>
                    <a:srcRect/>
                    <a:stretch>
                      <a:fillRect/>
                    </a:stretch>
                  </pic:blipFill>
                  <pic:spPr bwMode="auto">
                    <a:xfrm>
                      <a:off x="0" y="0"/>
                      <a:ext cx="3175635" cy="8255"/>
                    </a:xfrm>
                    <a:prstGeom prst="rect">
                      <a:avLst/>
                    </a:prstGeom>
                    <a:noFill/>
                  </pic:spPr>
                </pic:pic>
              </a:graphicData>
            </a:graphic>
          </wp:anchor>
        </w:drawing>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Olivier Le Peuch</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Chief Executive Officer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10795</wp:posOffset>
            </wp:positionV>
            <wp:extent cx="31673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9">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Samuel Leupold</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10795</wp:posOffset>
            </wp:positionV>
            <wp:extent cx="31673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0">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Maria Moræus Hanssen</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10795</wp:posOffset>
            </wp:positionV>
            <wp:extent cx="31673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1">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Vanitha Narayanan</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10795</wp:posOffset>
            </wp:positionV>
            <wp:extent cx="31673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2">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Jeff W. Sheets</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Director</w:t>
      </w:r>
    </w:p>
    <w:p>
      <w:pPr>
        <w:spacing w:after="0" w:line="1291" w:lineRule="exact"/>
        <w:rPr>
          <w:sz w:val="20"/>
          <w:szCs w:val="20"/>
          <w:color w:val="auto"/>
        </w:rPr>
      </w:pPr>
    </w:p>
    <w:p>
      <w:pPr>
        <w:sectPr>
          <w:pgSz w:w="11900" w:h="16838" w:orient="portrait"/>
          <w:cols w:equalWidth="0" w:num="2">
            <w:col w:w="7100" w:space="720"/>
            <w:col w:w="3420"/>
          </w:cols>
          <w:pgMar w:left="320" w:top="1346" w:right="339" w:bottom="1440" w:gutter="0" w:footer="0" w:header="0"/>
          <w:type w:val="continuous"/>
        </w:sect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Date: 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836295</wp:posOffset>
            </wp:positionV>
            <wp:extent cx="7165975" cy="412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125" w:name="page126"/>
    <w:bookmarkEnd w:id="125"/>
    <w:p>
      <w:pPr>
        <w:ind w:left="10360"/>
        <w:spacing w:after="0"/>
        <w:rPr>
          <w:sz w:val="20"/>
          <w:szCs w:val="20"/>
          <w:color w:val="auto"/>
        </w:rPr>
      </w:pPr>
      <w:r>
        <w:rPr>
          <w:rFonts w:ascii="Arial" w:cs="Arial" w:eastAsia="Arial" w:hAnsi="Arial"/>
          <w:sz w:val="15"/>
          <w:szCs w:val="15"/>
          <w:b w:val="1"/>
          <w:bCs w:val="1"/>
          <w:u w:val="single" w:color="auto"/>
          <w:color w:val="auto"/>
        </w:rPr>
        <w:t>Exhibit 31.1</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u w:val="single" w:color="auto"/>
          <w:color w:val="auto"/>
        </w:rPr>
        <w:t>CERTIFICATION OF 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I, Olivier Le Peuch, certify that:</w:t>
      </w:r>
    </w:p>
    <w:p>
      <w:pPr>
        <w:spacing w:after="0" w:line="107" w:lineRule="exact"/>
        <w:rPr>
          <w:sz w:val="20"/>
          <w:szCs w:val="20"/>
          <w:color w:val="auto"/>
        </w:rPr>
      </w:pPr>
    </w:p>
    <w:p>
      <w:pPr>
        <w:ind w:left="540" w:hanging="164"/>
        <w:spacing w:after="0"/>
        <w:tabs>
          <w:tab w:leader="none" w:pos="54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SLB N.V. (SLB Limited);</w:t>
      </w:r>
    </w:p>
    <w:p>
      <w:pPr>
        <w:spacing w:after="0" w:line="106" w:lineRule="exact"/>
        <w:rPr>
          <w:rFonts w:ascii="Arial" w:cs="Arial" w:eastAsia="Arial" w:hAnsi="Arial"/>
          <w:sz w:val="15"/>
          <w:szCs w:val="15"/>
          <w:color w:val="auto"/>
        </w:rPr>
      </w:pPr>
    </w:p>
    <w:p>
      <w:pPr>
        <w:ind w:firstLine="376"/>
        <w:spacing w:after="0" w:line="285" w:lineRule="auto"/>
        <w:tabs>
          <w:tab w:leader="none" w:pos="546"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5"/>
          <w:szCs w:val="15"/>
          <w:color w:val="auto"/>
        </w:rPr>
      </w:pPr>
    </w:p>
    <w:p>
      <w:pPr>
        <w:ind w:firstLine="376"/>
        <w:spacing w:after="0" w:line="285" w:lineRule="auto"/>
        <w:tabs>
          <w:tab w:leader="none" w:pos="5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5"/>
          <w:szCs w:val="15"/>
          <w:color w:val="auto"/>
        </w:rPr>
      </w:pPr>
    </w:p>
    <w:p>
      <w:pPr>
        <w:ind w:firstLine="376"/>
        <w:spacing w:after="0" w:line="285" w:lineRule="auto"/>
        <w:tabs>
          <w:tab w:leader="none" w:pos="55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5"/>
          <w:szCs w:val="15"/>
          <w:color w:val="auto"/>
        </w:rPr>
      </w:pPr>
    </w:p>
    <w:p>
      <w:pPr>
        <w:ind w:left="1020" w:hanging="485"/>
        <w:spacing w:after="0" w:line="275" w:lineRule="auto"/>
        <w:tabs>
          <w:tab w:leader="none" w:pos="873" w:val="left"/>
        </w:tabs>
        <w:numPr>
          <w:ilvl w:val="1"/>
          <w:numId w:val="15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5"/>
          <w:szCs w:val="15"/>
          <w:color w:val="auto"/>
        </w:rPr>
      </w:pPr>
    </w:p>
    <w:p>
      <w:pPr>
        <w:ind w:left="1020" w:hanging="485"/>
        <w:spacing w:after="0" w:line="275" w:lineRule="auto"/>
        <w:tabs>
          <w:tab w:leader="none" w:pos="873" w:val="left"/>
        </w:tabs>
        <w:numPr>
          <w:ilvl w:val="1"/>
          <w:numId w:val="15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5"/>
          <w:szCs w:val="15"/>
          <w:color w:val="auto"/>
        </w:rPr>
      </w:pPr>
    </w:p>
    <w:p>
      <w:pPr>
        <w:ind w:left="1020" w:hanging="485"/>
        <w:spacing w:after="0" w:line="302" w:lineRule="auto"/>
        <w:tabs>
          <w:tab w:leader="none" w:pos="873" w:val="left"/>
        </w:tabs>
        <w:numPr>
          <w:ilvl w:val="1"/>
          <w:numId w:val="1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020" w:hanging="485"/>
        <w:spacing w:after="0" w:line="275" w:lineRule="auto"/>
        <w:tabs>
          <w:tab w:leader="none" w:pos="885" w:val="left"/>
        </w:tabs>
        <w:numPr>
          <w:ilvl w:val="1"/>
          <w:numId w:val="15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5"/>
          <w:szCs w:val="15"/>
          <w:color w:val="auto"/>
        </w:rPr>
      </w:pPr>
    </w:p>
    <w:p>
      <w:pPr>
        <w:ind w:firstLine="376"/>
        <w:spacing w:after="0" w:line="285" w:lineRule="auto"/>
        <w:tabs>
          <w:tab w:leader="none" w:pos="549"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5"/>
          <w:szCs w:val="15"/>
          <w:color w:val="auto"/>
        </w:rPr>
      </w:pPr>
    </w:p>
    <w:p>
      <w:pPr>
        <w:ind w:left="1020" w:hanging="485"/>
        <w:spacing w:after="0" w:line="302" w:lineRule="auto"/>
        <w:tabs>
          <w:tab w:leader="none" w:pos="885" w:val="left"/>
        </w:tabs>
        <w:numPr>
          <w:ilvl w:val="1"/>
          <w:numId w:val="15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5"/>
          <w:szCs w:val="15"/>
          <w:color w:val="auto"/>
        </w:rPr>
      </w:pPr>
    </w:p>
    <w:p>
      <w:pPr>
        <w:ind w:left="1020" w:hanging="485"/>
        <w:spacing w:after="0" w:line="302" w:lineRule="auto"/>
        <w:tabs>
          <w:tab w:leader="none" w:pos="885" w:val="left"/>
        </w:tabs>
        <w:numPr>
          <w:ilvl w:val="1"/>
          <w:numId w:val="15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spacing w:after="0"/>
        <w:tabs>
          <w:tab w:leader="none" w:pos="6740" w:val="left"/>
        </w:tabs>
        <w:rPr>
          <w:sz w:val="20"/>
          <w:szCs w:val="20"/>
          <w:color w:val="auto"/>
        </w:rPr>
      </w:pPr>
      <w:r>
        <w:rPr>
          <w:rFonts w:ascii="Arial" w:cs="Arial" w:eastAsia="Arial" w:hAnsi="Arial"/>
          <w:sz w:val="15"/>
          <w:szCs w:val="15"/>
          <w:color w:val="auto"/>
        </w:rPr>
        <w:t>Date: January 23, 2026</w:t>
      </w:r>
      <w:r>
        <w:rPr>
          <w:sz w:val="20"/>
          <w:szCs w:val="20"/>
          <w:color w:val="auto"/>
        </w:rPr>
        <w:tab/>
      </w:r>
      <w:r>
        <w:rPr>
          <w:rFonts w:ascii="Arial" w:cs="Arial" w:eastAsia="Arial" w:hAnsi="Arial"/>
          <w:sz w:val="15"/>
          <w:szCs w:val="15"/>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10795</wp:posOffset>
            </wp:positionV>
            <wp:extent cx="28530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4">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Olivier Le Peuch</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715010</wp:posOffset>
            </wp:positionV>
            <wp:extent cx="7165975" cy="412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126" w:name="page127"/>
    <w:bookmarkEnd w:id="126"/>
    <w:p>
      <w:pPr>
        <w:ind w:left="10360"/>
        <w:spacing w:after="0"/>
        <w:rPr>
          <w:sz w:val="20"/>
          <w:szCs w:val="20"/>
          <w:color w:val="auto"/>
        </w:rPr>
      </w:pPr>
      <w:r>
        <w:rPr>
          <w:rFonts w:ascii="Arial" w:cs="Arial" w:eastAsia="Arial" w:hAnsi="Arial"/>
          <w:sz w:val="15"/>
          <w:szCs w:val="15"/>
          <w:b w:val="1"/>
          <w:bCs w:val="1"/>
          <w:u w:val="single" w:color="auto"/>
          <w:color w:val="auto"/>
        </w:rPr>
        <w:t>Exhibit 31.2</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u w:val="single" w:color="auto"/>
          <w:color w:val="auto"/>
        </w:rPr>
        <w:t>CERTIFICATION OF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I, Stephane Biguet, certify that:</w:t>
      </w:r>
    </w:p>
    <w:p>
      <w:pPr>
        <w:spacing w:after="0" w:line="107" w:lineRule="exact"/>
        <w:rPr>
          <w:sz w:val="20"/>
          <w:szCs w:val="20"/>
          <w:color w:val="auto"/>
        </w:rPr>
      </w:pPr>
    </w:p>
    <w:p>
      <w:pPr>
        <w:ind w:left="540" w:hanging="164"/>
        <w:spacing w:after="0"/>
        <w:tabs>
          <w:tab w:leader="none" w:pos="5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SLB N.V. (SLB Limited);</w:t>
      </w:r>
    </w:p>
    <w:p>
      <w:pPr>
        <w:spacing w:after="0" w:line="106" w:lineRule="exact"/>
        <w:rPr>
          <w:rFonts w:ascii="Arial" w:cs="Arial" w:eastAsia="Arial" w:hAnsi="Arial"/>
          <w:sz w:val="15"/>
          <w:szCs w:val="15"/>
          <w:color w:val="auto"/>
        </w:rPr>
      </w:pPr>
    </w:p>
    <w:p>
      <w:pPr>
        <w:ind w:firstLine="376"/>
        <w:spacing w:after="0" w:line="285" w:lineRule="auto"/>
        <w:tabs>
          <w:tab w:leader="none" w:pos="546"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5"/>
          <w:szCs w:val="15"/>
          <w:color w:val="auto"/>
        </w:rPr>
      </w:pPr>
    </w:p>
    <w:p>
      <w:pPr>
        <w:ind w:firstLine="376"/>
        <w:spacing w:after="0" w:line="285" w:lineRule="auto"/>
        <w:tabs>
          <w:tab w:leader="none" w:pos="56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5"/>
          <w:szCs w:val="15"/>
          <w:color w:val="auto"/>
        </w:rPr>
      </w:pPr>
    </w:p>
    <w:p>
      <w:pPr>
        <w:ind w:firstLine="376"/>
        <w:spacing w:after="0" w:line="285" w:lineRule="auto"/>
        <w:tabs>
          <w:tab w:leader="none" w:pos="55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5"/>
          <w:szCs w:val="15"/>
          <w:color w:val="auto"/>
        </w:rPr>
      </w:pPr>
    </w:p>
    <w:p>
      <w:pPr>
        <w:ind w:left="1020" w:hanging="485"/>
        <w:spacing w:after="0" w:line="275" w:lineRule="auto"/>
        <w:tabs>
          <w:tab w:leader="none" w:pos="873" w:val="left"/>
        </w:tabs>
        <w:numPr>
          <w:ilvl w:val="1"/>
          <w:numId w:val="15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5"/>
          <w:szCs w:val="15"/>
          <w:color w:val="auto"/>
        </w:rPr>
      </w:pPr>
    </w:p>
    <w:p>
      <w:pPr>
        <w:ind w:left="1020" w:hanging="485"/>
        <w:spacing w:after="0" w:line="275" w:lineRule="auto"/>
        <w:tabs>
          <w:tab w:leader="none" w:pos="873" w:val="left"/>
        </w:tabs>
        <w:numPr>
          <w:ilvl w:val="1"/>
          <w:numId w:val="15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5"/>
          <w:szCs w:val="15"/>
          <w:color w:val="auto"/>
        </w:rPr>
      </w:pPr>
    </w:p>
    <w:p>
      <w:pPr>
        <w:ind w:left="1020" w:hanging="485"/>
        <w:spacing w:after="0" w:line="302" w:lineRule="auto"/>
        <w:tabs>
          <w:tab w:leader="none" w:pos="873" w:val="left"/>
        </w:tabs>
        <w:numPr>
          <w:ilvl w:val="1"/>
          <w:numId w:val="1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020" w:hanging="485"/>
        <w:spacing w:after="0" w:line="275" w:lineRule="auto"/>
        <w:tabs>
          <w:tab w:leader="none" w:pos="885" w:val="left"/>
        </w:tabs>
        <w:numPr>
          <w:ilvl w:val="1"/>
          <w:numId w:val="15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5"/>
          <w:szCs w:val="15"/>
          <w:color w:val="auto"/>
        </w:rPr>
      </w:pPr>
    </w:p>
    <w:p>
      <w:pPr>
        <w:ind w:firstLine="376"/>
        <w:spacing w:after="0" w:line="285" w:lineRule="auto"/>
        <w:tabs>
          <w:tab w:leader="none" w:pos="54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5"/>
          <w:szCs w:val="15"/>
          <w:color w:val="auto"/>
        </w:rPr>
      </w:pPr>
    </w:p>
    <w:p>
      <w:pPr>
        <w:ind w:left="1020" w:hanging="485"/>
        <w:spacing w:after="0" w:line="302" w:lineRule="auto"/>
        <w:tabs>
          <w:tab w:leader="none" w:pos="885" w:val="left"/>
        </w:tabs>
        <w:numPr>
          <w:ilvl w:val="1"/>
          <w:numId w:val="15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5"/>
          <w:szCs w:val="15"/>
          <w:color w:val="auto"/>
        </w:rPr>
      </w:pPr>
    </w:p>
    <w:p>
      <w:pPr>
        <w:ind w:left="1020" w:hanging="485"/>
        <w:spacing w:after="0" w:line="302" w:lineRule="auto"/>
        <w:tabs>
          <w:tab w:leader="none" w:pos="885" w:val="left"/>
        </w:tabs>
        <w:numPr>
          <w:ilvl w:val="1"/>
          <w:numId w:val="15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spacing w:after="0"/>
        <w:tabs>
          <w:tab w:leader="none" w:pos="6740" w:val="left"/>
        </w:tabs>
        <w:rPr>
          <w:sz w:val="20"/>
          <w:szCs w:val="20"/>
          <w:color w:val="auto"/>
        </w:rPr>
      </w:pPr>
      <w:r>
        <w:rPr>
          <w:rFonts w:ascii="Arial" w:cs="Arial" w:eastAsia="Arial" w:hAnsi="Arial"/>
          <w:sz w:val="15"/>
          <w:szCs w:val="15"/>
          <w:color w:val="auto"/>
        </w:rPr>
        <w:t>Date: January 23, 2026</w:t>
      </w:r>
      <w:r>
        <w:rPr>
          <w:sz w:val="20"/>
          <w:szCs w:val="20"/>
          <w:color w:val="auto"/>
        </w:rPr>
        <w:tab/>
      </w:r>
      <w:r>
        <w:rPr>
          <w:rFonts w:ascii="Arial" w:cs="Arial" w:eastAsia="Arial" w:hAnsi="Arial"/>
          <w:sz w:val="15"/>
          <w:szCs w:val="15"/>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10795</wp:posOffset>
            </wp:positionV>
            <wp:extent cx="28530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6">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Stephane Biguet</w:t>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715010</wp:posOffset>
            </wp:positionV>
            <wp:extent cx="7165975" cy="412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7" w:name="page128"/>
    <w:bookmarkEnd w:id="127"/>
    <w:p>
      <w:pPr>
        <w:ind w:left="10360"/>
        <w:spacing w:after="0"/>
        <w:rPr>
          <w:sz w:val="20"/>
          <w:szCs w:val="20"/>
          <w:color w:val="auto"/>
        </w:rPr>
      </w:pPr>
      <w:r>
        <w:rPr>
          <w:rFonts w:ascii="Arial" w:cs="Arial" w:eastAsia="Arial" w:hAnsi="Arial"/>
          <w:sz w:val="15"/>
          <w:szCs w:val="15"/>
          <w:b w:val="1"/>
          <w:bCs w:val="1"/>
          <w:u w:val="single" w:color="auto"/>
          <w:color w:val="auto"/>
        </w:rPr>
        <w:t>Exhibit 32.1</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CERTIFICATION OF CHIEF EXECUTIVE OFFICER</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SECTION 906 OF THE SARBANES-OXLEY ACT OF 2002</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connection with the Annual Report on Form 10-K of SLB N.V. (SLB Limited) (the “Company”) for the year ended December 31, 2025 as filed with the Securities and Exchange Commission on the date hereof (the “Report”), I, Olivier Le Peuch, Chief Executive Officer of the Company, certify, pursuant to 18 U.S.C. § 1350, as adopted pursuant to § 906 of the Sarbanes-Oxley Act of 2002, that:</w:t>
      </w:r>
    </w:p>
    <w:p>
      <w:pPr>
        <w:spacing w:after="0" w:line="74" w:lineRule="exact"/>
        <w:rPr>
          <w:sz w:val="20"/>
          <w:szCs w:val="20"/>
          <w:color w:val="auto"/>
        </w:rPr>
      </w:pPr>
    </w:p>
    <w:p>
      <w:pPr>
        <w:ind w:left="880" w:hanging="345"/>
        <w:spacing w:after="0"/>
        <w:tabs>
          <w:tab w:leader="none" w:pos="88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(the “Exchange Act”), and</w:t>
      </w:r>
    </w:p>
    <w:p>
      <w:pPr>
        <w:spacing w:after="0" w:line="132" w:lineRule="exact"/>
        <w:rPr>
          <w:rFonts w:ascii="Arial" w:cs="Arial" w:eastAsia="Arial" w:hAnsi="Arial"/>
          <w:sz w:val="15"/>
          <w:szCs w:val="15"/>
          <w:color w:val="auto"/>
        </w:rPr>
      </w:pPr>
    </w:p>
    <w:p>
      <w:pPr>
        <w:ind w:left="880" w:hanging="345"/>
        <w:spacing w:after="0"/>
        <w:tabs>
          <w:tab w:leader="none" w:pos="88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tabs>
          <w:tab w:leader="none" w:pos="6600" w:val="left"/>
        </w:tabs>
        <w:rPr>
          <w:sz w:val="20"/>
          <w:szCs w:val="20"/>
          <w:color w:val="auto"/>
        </w:rPr>
      </w:pPr>
      <w:r>
        <w:rPr>
          <w:rFonts w:ascii="Arial" w:cs="Arial" w:eastAsia="Arial" w:hAnsi="Arial"/>
          <w:sz w:val="15"/>
          <w:szCs w:val="15"/>
          <w:color w:val="auto"/>
        </w:rPr>
        <w:t>Date: January 23, 2026</w:t>
      </w:r>
      <w:r>
        <w:rPr>
          <w:sz w:val="20"/>
          <w:szCs w:val="20"/>
          <w:color w:val="auto"/>
        </w:rPr>
        <w:tab/>
      </w:r>
      <w:r>
        <w:rPr>
          <w:rFonts w:ascii="Arial" w:cs="Arial" w:eastAsia="Arial" w:hAnsi="Arial"/>
          <w:sz w:val="15"/>
          <w:szCs w:val="15"/>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4208145</wp:posOffset>
            </wp:positionH>
            <wp:positionV relativeFrom="paragraph">
              <wp:posOffset>10795</wp:posOffset>
            </wp:positionV>
            <wp:extent cx="29337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8">
                      <a:extLst>
                        <a:ext uri="{28A0092B-C50C-407E-A947-70E740481C1C}"/>
                      </a:extLst>
                    </a:blip>
                    <a:srcRect/>
                    <a:stretch>
                      <a:fillRect/>
                    </a:stretch>
                  </pic:blipFill>
                  <pic:spPr bwMode="auto">
                    <a:xfrm>
                      <a:off x="0" y="0"/>
                      <a:ext cx="293370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Arial" w:cs="Arial" w:eastAsia="Arial" w:hAnsi="Arial"/>
          <w:sz w:val="15"/>
          <w:szCs w:val="15"/>
          <w:color w:val="auto"/>
        </w:rPr>
        <w:t>Olivier Le Peuch</w:t>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5"/>
          <w:szCs w:val="15"/>
          <w:color w:val="auto"/>
        </w:rPr>
        <w:t>Chief Executive Officer</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 signed original of this written statement required by Section 906 has been provided to SLB Limited and will be retained by SLB Limited and furnished to the Securities and Exchange Commission or its staff upon request.</w:t>
      </w:r>
    </w:p>
    <w:p>
      <w:pPr>
        <w:spacing w:after="0" w:line="149"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685800</wp:posOffset>
            </wp:positionV>
            <wp:extent cx="7165975" cy="412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8" w:name="page129"/>
    <w:bookmarkEnd w:id="128"/>
    <w:p>
      <w:pPr>
        <w:ind w:left="10360"/>
        <w:spacing w:after="0"/>
        <w:rPr>
          <w:sz w:val="20"/>
          <w:szCs w:val="20"/>
          <w:color w:val="auto"/>
        </w:rPr>
      </w:pPr>
      <w:r>
        <w:rPr>
          <w:rFonts w:ascii="Arial" w:cs="Arial" w:eastAsia="Arial" w:hAnsi="Arial"/>
          <w:sz w:val="15"/>
          <w:szCs w:val="15"/>
          <w:b w:val="1"/>
          <w:bCs w:val="1"/>
          <w:u w:val="single" w:color="auto"/>
          <w:color w:val="auto"/>
        </w:rPr>
        <w:t>Exhibit 32.2</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CERTIFICATION OF CHIEF FINANCIAL OFFICER</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SECTION 906 OF THE SARBANES-OXLEY ACT OF 2002</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connection with the Annual Report on Form 10-K of SLB N.V. (SLB Limited) (the “Company”) for the year ended December 31, 2025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74" w:lineRule="exact"/>
        <w:rPr>
          <w:sz w:val="20"/>
          <w:szCs w:val="20"/>
          <w:color w:val="auto"/>
        </w:rPr>
      </w:pPr>
    </w:p>
    <w:p>
      <w:pPr>
        <w:ind w:left="880" w:hanging="345"/>
        <w:spacing w:after="0"/>
        <w:tabs>
          <w:tab w:leader="none" w:pos="88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(the “Exchange Act”), and</w:t>
      </w:r>
    </w:p>
    <w:p>
      <w:pPr>
        <w:spacing w:after="0" w:line="132" w:lineRule="exact"/>
        <w:rPr>
          <w:rFonts w:ascii="Arial" w:cs="Arial" w:eastAsia="Arial" w:hAnsi="Arial"/>
          <w:sz w:val="15"/>
          <w:szCs w:val="15"/>
          <w:color w:val="auto"/>
        </w:rPr>
      </w:pPr>
    </w:p>
    <w:p>
      <w:pPr>
        <w:ind w:left="880" w:hanging="345"/>
        <w:spacing w:after="0"/>
        <w:tabs>
          <w:tab w:leader="none" w:pos="88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tabs>
          <w:tab w:leader="none" w:pos="6600" w:val="left"/>
        </w:tabs>
        <w:rPr>
          <w:sz w:val="20"/>
          <w:szCs w:val="20"/>
          <w:color w:val="auto"/>
        </w:rPr>
      </w:pPr>
      <w:r>
        <w:rPr>
          <w:rFonts w:ascii="Arial" w:cs="Arial" w:eastAsia="Arial" w:hAnsi="Arial"/>
          <w:sz w:val="15"/>
          <w:szCs w:val="15"/>
          <w:color w:val="auto"/>
        </w:rPr>
        <w:t>Date: January 23, 2026</w:t>
      </w:r>
      <w:r>
        <w:rPr>
          <w:sz w:val="20"/>
          <w:szCs w:val="20"/>
          <w:color w:val="auto"/>
        </w:rPr>
        <w:tab/>
      </w:r>
      <w:r>
        <w:rPr>
          <w:rFonts w:ascii="Arial" w:cs="Arial" w:eastAsia="Arial" w:hAnsi="Arial"/>
          <w:sz w:val="15"/>
          <w:szCs w:val="15"/>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4208145</wp:posOffset>
            </wp:positionH>
            <wp:positionV relativeFrom="paragraph">
              <wp:posOffset>10795</wp:posOffset>
            </wp:positionV>
            <wp:extent cx="29337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0">
                      <a:extLst>
                        <a:ext uri="{28A0092B-C50C-407E-A947-70E740481C1C}"/>
                      </a:extLst>
                    </a:blip>
                    <a:srcRect/>
                    <a:stretch>
                      <a:fillRect/>
                    </a:stretch>
                  </pic:blipFill>
                  <pic:spPr bwMode="auto">
                    <a:xfrm>
                      <a:off x="0" y="0"/>
                      <a:ext cx="293370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Arial" w:cs="Arial" w:eastAsia="Arial" w:hAnsi="Arial"/>
          <w:sz w:val="15"/>
          <w:szCs w:val="15"/>
          <w:color w:val="auto"/>
        </w:rPr>
        <w:t>Stephane Biguet</w:t>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5"/>
          <w:szCs w:val="15"/>
          <w:color w:val="auto"/>
        </w:rPr>
        <w:t>Executive Vice President and Chief Financial Officer</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 signed original of this written statement required by Section 906 has been provided to SLB Limited and will be retained by SLB Limited and furnished to the Securities and Exchange Commission or its staff upon request.</w:t>
      </w:r>
    </w:p>
    <w:p>
      <w:pPr>
        <w:spacing w:after="0" w:line="149"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685800</wp:posOffset>
            </wp:positionV>
            <wp:extent cx="7165975" cy="412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29" w:name="page130"/>
    <w:bookmarkEnd w:id="129"/>
    <w:p>
      <w:pPr>
        <w:ind w:left="10480"/>
        <w:spacing w:after="0"/>
        <w:rPr>
          <w:sz w:val="20"/>
          <w:szCs w:val="20"/>
          <w:color w:val="auto"/>
        </w:rPr>
      </w:pPr>
      <w:r>
        <w:rPr>
          <w:rFonts w:ascii="Arial" w:cs="Arial" w:eastAsia="Arial" w:hAnsi="Arial"/>
          <w:sz w:val="15"/>
          <w:szCs w:val="15"/>
          <w:b w:val="1"/>
          <w:bCs w:val="1"/>
          <w:u w:val="single" w:color="auto"/>
          <w:color w:val="auto"/>
        </w:rPr>
        <w:t>Exhibit 95</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Mine Safety Disclosure</w:t>
      </w:r>
    </w:p>
    <w:p>
      <w:pPr>
        <w:spacing w:after="0" w:line="19" w:lineRule="exact"/>
        <w:rPr>
          <w:sz w:val="20"/>
          <w:szCs w:val="20"/>
          <w:color w:val="auto"/>
        </w:rPr>
      </w:pPr>
    </w:p>
    <w:p>
      <w:pPr>
        <w:jc w:val="both"/>
        <w:ind w:firstLine="750"/>
        <w:spacing w:after="0" w:line="256" w:lineRule="auto"/>
        <w:rPr>
          <w:sz w:val="20"/>
          <w:szCs w:val="20"/>
          <w:color w:val="auto"/>
        </w:rPr>
      </w:pPr>
      <w:r>
        <w:rPr>
          <w:rFonts w:ascii="Arial" w:cs="Arial" w:eastAsia="Arial" w:hAnsi="Arial"/>
          <w:sz w:val="15"/>
          <w:szCs w:val="15"/>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5" w:lineRule="exact"/>
        <w:rPr>
          <w:sz w:val="20"/>
          <w:szCs w:val="20"/>
          <w:color w:val="auto"/>
        </w:rPr>
      </w:pPr>
    </w:p>
    <w:p>
      <w:pPr>
        <w:jc w:val="both"/>
        <w:ind w:firstLine="750"/>
        <w:spacing w:after="0" w:line="266" w:lineRule="auto"/>
        <w:rPr>
          <w:sz w:val="20"/>
          <w:szCs w:val="20"/>
          <w:color w:val="auto"/>
        </w:rPr>
      </w:pPr>
      <w:r>
        <w:rPr>
          <w:rFonts w:ascii="Arial" w:cs="Arial" w:eastAsia="Arial" w:hAnsi="Arial"/>
          <w:sz w:val="15"/>
          <w:szCs w:val="15"/>
          <w:color w:val="auto"/>
        </w:rPr>
        <w:t>The table that follows reflects citations, orders, violations and proposed assessments issued by the Mine Safety and Health Administration (the “MSHA”) to indirect subsidiaries of SLB. The disclosure is with respect to the full year ended December 31, 2025. Due to timing and other factors, the data may not agree with the mine data retrieval system maintained by the MSHA at www.MSHA.gov.</w:t>
      </w:r>
    </w:p>
    <w:p>
      <w:pPr>
        <w:spacing w:after="0" w:line="340" w:lineRule="exact"/>
        <w:rPr>
          <w:sz w:val="20"/>
          <w:szCs w:val="20"/>
          <w:color w:val="auto"/>
        </w:rPr>
      </w:pPr>
    </w:p>
    <w:p>
      <w:pPr>
        <w:ind w:left="5100"/>
        <w:spacing w:after="0"/>
        <w:rPr>
          <w:sz w:val="20"/>
          <w:szCs w:val="20"/>
          <w:color w:val="auto"/>
        </w:rPr>
      </w:pPr>
      <w:r>
        <w:rPr>
          <w:rFonts w:ascii="Arial" w:cs="Arial" w:eastAsia="Arial" w:hAnsi="Arial"/>
          <w:sz w:val="15"/>
          <w:szCs w:val="15"/>
          <w:b w:val="1"/>
          <w:bCs w:val="1"/>
          <w:u w:val="single" w:color="auto"/>
          <w:color w:val="auto"/>
        </w:rPr>
        <w:t>Full Year 2025</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5"/>
          <w:szCs w:val="15"/>
          <w:i w:val="1"/>
          <w:iCs w:val="1"/>
          <w:color w:val="auto"/>
        </w:rPr>
        <w:t>(whole dollars)</w:t>
      </w:r>
    </w:p>
    <w:p>
      <w:pPr>
        <w:spacing w:after="0" w:line="154"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Received</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27"/>
        </w:trPr>
        <w:tc>
          <w:tcPr>
            <w:tcW w:w="2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jc w:val="center"/>
              <w:spacing w:after="0" w:line="127" w:lineRule="exact"/>
              <w:rPr>
                <w:sz w:val="20"/>
                <w:szCs w:val="20"/>
                <w:color w:val="auto"/>
              </w:rPr>
            </w:pPr>
            <w:r>
              <w:rPr>
                <w:rFonts w:ascii="Arial" w:cs="Arial" w:eastAsia="Arial" w:hAnsi="Arial"/>
                <w:sz w:val="12"/>
                <w:szCs w:val="12"/>
                <w:color w:val="auto"/>
                <w:w w:val="97"/>
              </w:rPr>
              <w:t>Notice 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7"/>
        </w:trPr>
        <w:tc>
          <w:tcPr>
            <w:tcW w:w="2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Arial" w:cs="Arial" w:eastAsia="Arial" w:hAnsi="Arial"/>
                <w:sz w:val="12"/>
                <w:szCs w:val="12"/>
                <w:color w:val="auto"/>
                <w:w w:val="99"/>
              </w:rPr>
              <w:t>Received</w:t>
            </w:r>
          </w:p>
        </w:tc>
        <w:tc>
          <w:tcPr>
            <w:tcW w:w="780" w:type="dxa"/>
            <w:vAlign w:val="bottom"/>
          </w:tcPr>
          <w:p>
            <w:pPr>
              <w:jc w:val="center"/>
              <w:spacing w:after="0" w:line="127" w:lineRule="exact"/>
              <w:rPr>
                <w:sz w:val="20"/>
                <w:szCs w:val="20"/>
                <w:color w:val="auto"/>
              </w:rPr>
            </w:pPr>
            <w:r>
              <w:rPr>
                <w:rFonts w:ascii="Arial" w:cs="Arial" w:eastAsia="Arial" w:hAnsi="Arial"/>
                <w:sz w:val="12"/>
                <w:szCs w:val="12"/>
                <w:color w:val="auto"/>
                <w:w w:val="99"/>
              </w:rPr>
              <w:t>Potential to</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7"/>
        </w:trPr>
        <w:tc>
          <w:tcPr>
            <w:tcW w:w="2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Arial" w:cs="Arial" w:eastAsia="Arial" w:hAnsi="Arial"/>
                <w:sz w:val="12"/>
                <w:szCs w:val="12"/>
                <w:color w:val="auto"/>
                <w:w w:val="97"/>
              </w:rPr>
              <w:t>Notice of</w:t>
            </w:r>
          </w:p>
        </w:tc>
        <w:tc>
          <w:tcPr>
            <w:tcW w:w="780" w:type="dxa"/>
            <w:vAlign w:val="bottom"/>
          </w:tcPr>
          <w:p>
            <w:pPr>
              <w:jc w:val="center"/>
              <w:spacing w:after="0" w:line="127" w:lineRule="exact"/>
              <w:rPr>
                <w:sz w:val="20"/>
                <w:szCs w:val="20"/>
                <w:color w:val="auto"/>
              </w:rPr>
            </w:pPr>
            <w:r>
              <w:rPr>
                <w:rFonts w:ascii="Arial" w:cs="Arial" w:eastAsia="Arial" w:hAnsi="Arial"/>
                <w:sz w:val="12"/>
                <w:szCs w:val="12"/>
                <w:color w:val="auto"/>
                <w:w w:val="99"/>
              </w:rPr>
              <w:t>Have Pattern</w:t>
            </w:r>
          </w:p>
        </w:tc>
        <w:tc>
          <w:tcPr>
            <w:tcW w:w="600" w:type="dxa"/>
            <w:vAlign w:val="bottom"/>
          </w:tcPr>
          <w:p>
            <w:pPr>
              <w:jc w:val="center"/>
              <w:ind w:right="21"/>
              <w:spacing w:after="0" w:line="127" w:lineRule="exact"/>
              <w:rPr>
                <w:sz w:val="20"/>
                <w:szCs w:val="20"/>
                <w:color w:val="auto"/>
              </w:rPr>
            </w:pPr>
            <w:r>
              <w:rPr>
                <w:rFonts w:ascii="Arial" w:cs="Arial" w:eastAsia="Arial" w:hAnsi="Arial"/>
                <w:sz w:val="12"/>
                <w:szCs w:val="12"/>
                <w:color w:val="auto"/>
                <w:w w:val="95"/>
              </w:rPr>
              <w:t>Legal</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7"/>
        </w:trPr>
        <w:tc>
          <w:tcPr>
            <w:tcW w:w="2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Arial" w:cs="Arial" w:eastAsia="Arial" w:hAnsi="Arial"/>
                <w:sz w:val="12"/>
                <w:szCs w:val="12"/>
                <w:color w:val="auto"/>
                <w:w w:val="95"/>
              </w:rPr>
              <w:t>Pattern of</w:t>
            </w:r>
          </w:p>
        </w:tc>
        <w:tc>
          <w:tcPr>
            <w:tcW w:w="780" w:type="dxa"/>
            <w:vAlign w:val="bottom"/>
          </w:tcPr>
          <w:p>
            <w:pPr>
              <w:jc w:val="center"/>
              <w:spacing w:after="0" w:line="127" w:lineRule="exact"/>
              <w:rPr>
                <w:sz w:val="20"/>
                <w:szCs w:val="20"/>
                <w:color w:val="auto"/>
              </w:rPr>
            </w:pPr>
            <w:r>
              <w:rPr>
                <w:rFonts w:ascii="Arial" w:cs="Arial" w:eastAsia="Arial" w:hAnsi="Arial"/>
                <w:sz w:val="12"/>
                <w:szCs w:val="12"/>
                <w:color w:val="auto"/>
                <w:w w:val="97"/>
              </w:rPr>
              <w:t>Under</w:t>
            </w:r>
          </w:p>
        </w:tc>
        <w:tc>
          <w:tcPr>
            <w:tcW w:w="600" w:type="dxa"/>
            <w:vAlign w:val="bottom"/>
          </w:tcPr>
          <w:p>
            <w:pPr>
              <w:jc w:val="center"/>
              <w:ind w:right="21"/>
              <w:spacing w:after="0" w:line="127" w:lineRule="exact"/>
              <w:rPr>
                <w:sz w:val="20"/>
                <w:szCs w:val="20"/>
                <w:color w:val="auto"/>
              </w:rPr>
            </w:pPr>
            <w:r>
              <w:rPr>
                <w:rFonts w:ascii="Arial" w:cs="Arial" w:eastAsia="Arial" w:hAnsi="Arial"/>
                <w:sz w:val="12"/>
                <w:szCs w:val="12"/>
                <w:color w:val="auto"/>
              </w:rPr>
              <w:t>Actions</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7"/>
        </w:trPr>
        <w:tc>
          <w:tcPr>
            <w:tcW w:w="2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Arial" w:cs="Arial" w:eastAsia="Arial" w:hAnsi="Arial"/>
                <w:sz w:val="12"/>
                <w:szCs w:val="12"/>
                <w:color w:val="auto"/>
                <w:w w:val="94"/>
              </w:rPr>
              <w:t>Section</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27" w:lineRule="exact"/>
              <w:rPr>
                <w:sz w:val="20"/>
                <w:szCs w:val="20"/>
                <w:color w:val="auto"/>
              </w:rPr>
            </w:pPr>
            <w:r>
              <w:rPr>
                <w:rFonts w:ascii="Arial" w:cs="Arial" w:eastAsia="Arial" w:hAnsi="Arial"/>
                <w:sz w:val="12"/>
                <w:szCs w:val="12"/>
                <w:color w:val="auto"/>
                <w:w w:val="97"/>
              </w:rPr>
              <w:t>Total Dollar</w:t>
            </w:r>
          </w:p>
        </w:tc>
        <w:tc>
          <w:tcPr>
            <w:tcW w:w="720" w:type="dxa"/>
            <w:vAlign w:val="bottom"/>
          </w:tcPr>
          <w:p>
            <w:pPr>
              <w:jc w:val="center"/>
              <w:spacing w:after="0" w:line="127" w:lineRule="exact"/>
              <w:rPr>
                <w:sz w:val="20"/>
                <w:szCs w:val="20"/>
                <w:color w:val="auto"/>
              </w:rPr>
            </w:pPr>
            <w:r>
              <w:rPr>
                <w:rFonts w:ascii="Arial" w:cs="Arial" w:eastAsia="Arial" w:hAnsi="Arial"/>
                <w:sz w:val="12"/>
                <w:szCs w:val="12"/>
                <w:color w:val="auto"/>
                <w:w w:val="97"/>
              </w:rPr>
              <w:t>Total</w:t>
            </w:r>
          </w:p>
        </w:tc>
        <w:tc>
          <w:tcPr>
            <w:tcW w:w="660" w:type="dxa"/>
            <w:vAlign w:val="bottom"/>
          </w:tcPr>
          <w:p>
            <w:pPr>
              <w:jc w:val="center"/>
              <w:spacing w:after="0" w:line="127" w:lineRule="exact"/>
              <w:rPr>
                <w:sz w:val="20"/>
                <w:szCs w:val="20"/>
                <w:color w:val="auto"/>
              </w:rPr>
            </w:pPr>
            <w:r>
              <w:rPr>
                <w:rFonts w:ascii="Arial" w:cs="Arial" w:eastAsia="Arial" w:hAnsi="Arial"/>
                <w:sz w:val="12"/>
                <w:szCs w:val="12"/>
                <w:color w:val="auto"/>
                <w:w w:val="96"/>
              </w:rPr>
              <w:t>Violations</w:t>
            </w:r>
          </w:p>
        </w:tc>
        <w:tc>
          <w:tcPr>
            <w:tcW w:w="780" w:type="dxa"/>
            <w:vAlign w:val="bottom"/>
          </w:tcPr>
          <w:p>
            <w:pPr>
              <w:jc w:val="center"/>
              <w:spacing w:after="0" w:line="127" w:lineRule="exact"/>
              <w:rPr>
                <w:sz w:val="20"/>
                <w:szCs w:val="20"/>
                <w:color w:val="auto"/>
              </w:rPr>
            </w:pPr>
            <w:r>
              <w:rPr>
                <w:rFonts w:ascii="Arial" w:cs="Arial" w:eastAsia="Arial" w:hAnsi="Arial"/>
                <w:sz w:val="12"/>
                <w:szCs w:val="12"/>
                <w:color w:val="auto"/>
                <w:w w:val="99"/>
              </w:rPr>
              <w:t>Section</w:t>
            </w:r>
          </w:p>
        </w:tc>
        <w:tc>
          <w:tcPr>
            <w:tcW w:w="600" w:type="dxa"/>
            <w:vAlign w:val="bottom"/>
          </w:tcPr>
          <w:p>
            <w:pPr>
              <w:jc w:val="center"/>
              <w:ind w:right="61"/>
              <w:spacing w:after="0" w:line="127" w:lineRule="exact"/>
              <w:rPr>
                <w:sz w:val="20"/>
                <w:szCs w:val="20"/>
                <w:color w:val="auto"/>
              </w:rPr>
            </w:pPr>
            <w:r>
              <w:rPr>
                <w:rFonts w:ascii="Arial" w:cs="Arial" w:eastAsia="Arial" w:hAnsi="Arial"/>
                <w:sz w:val="12"/>
                <w:szCs w:val="12"/>
                <w:color w:val="auto"/>
                <w:w w:val="99"/>
              </w:rPr>
              <w:t>Pending</w:t>
            </w:r>
          </w:p>
        </w:tc>
        <w:tc>
          <w:tcPr>
            <w:tcW w:w="620" w:type="dxa"/>
            <w:vAlign w:val="bottom"/>
          </w:tcPr>
          <w:p>
            <w:pPr>
              <w:jc w:val="center"/>
              <w:spacing w:after="0" w:line="127" w:lineRule="exact"/>
              <w:rPr>
                <w:sz w:val="20"/>
                <w:szCs w:val="20"/>
                <w:color w:val="auto"/>
              </w:rPr>
            </w:pPr>
            <w:r>
              <w:rPr>
                <w:rFonts w:ascii="Arial" w:cs="Arial" w:eastAsia="Arial" w:hAnsi="Arial"/>
                <w:sz w:val="12"/>
                <w:szCs w:val="12"/>
                <w:color w:val="auto"/>
              </w:rPr>
              <w:t>Legal</w:t>
            </w: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5"/>
              </w:rPr>
              <w:t>Legal</w:t>
            </w:r>
          </w:p>
        </w:tc>
      </w:tr>
      <w:tr>
        <w:trPr>
          <w:trHeight w:val="127"/>
        </w:trPr>
        <w:tc>
          <w:tcPr>
            <w:tcW w:w="2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Arial" w:cs="Arial" w:eastAsia="Arial" w:hAnsi="Arial"/>
                <w:sz w:val="12"/>
                <w:szCs w:val="12"/>
                <w:color w:val="auto"/>
                <w:w w:val="97"/>
              </w:rPr>
              <w:t>104(d)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27" w:lineRule="exact"/>
              <w:rPr>
                <w:sz w:val="20"/>
                <w:szCs w:val="20"/>
                <w:color w:val="auto"/>
              </w:rPr>
            </w:pPr>
            <w:r>
              <w:rPr>
                <w:rFonts w:ascii="Arial" w:cs="Arial" w:eastAsia="Arial" w:hAnsi="Arial"/>
                <w:sz w:val="12"/>
                <w:szCs w:val="12"/>
                <w:color w:val="auto"/>
                <w:w w:val="99"/>
              </w:rPr>
              <w:t>Value of</w:t>
            </w:r>
          </w:p>
        </w:tc>
        <w:tc>
          <w:tcPr>
            <w:tcW w:w="720" w:type="dxa"/>
            <w:vAlign w:val="bottom"/>
          </w:tcPr>
          <w:p>
            <w:pPr>
              <w:jc w:val="center"/>
              <w:spacing w:after="0" w:line="127" w:lineRule="exact"/>
              <w:rPr>
                <w:sz w:val="20"/>
                <w:szCs w:val="20"/>
                <w:color w:val="auto"/>
              </w:rPr>
            </w:pPr>
            <w:r>
              <w:rPr>
                <w:rFonts w:ascii="Arial" w:cs="Arial" w:eastAsia="Arial" w:hAnsi="Arial"/>
                <w:sz w:val="12"/>
                <w:szCs w:val="12"/>
                <w:color w:val="auto"/>
                <w:w w:val="99"/>
              </w:rPr>
              <w:t>Number of</w:t>
            </w:r>
          </w:p>
        </w:tc>
        <w:tc>
          <w:tcPr>
            <w:tcW w:w="660" w:type="dxa"/>
            <w:vAlign w:val="bottom"/>
          </w:tcPr>
          <w:p>
            <w:pPr>
              <w:jc w:val="center"/>
              <w:spacing w:after="0" w:line="127" w:lineRule="exact"/>
              <w:rPr>
                <w:sz w:val="20"/>
                <w:szCs w:val="20"/>
                <w:color w:val="auto"/>
              </w:rPr>
            </w:pPr>
            <w:r>
              <w:rPr>
                <w:rFonts w:ascii="Arial" w:cs="Arial" w:eastAsia="Arial" w:hAnsi="Arial"/>
                <w:sz w:val="12"/>
                <w:szCs w:val="12"/>
                <w:color w:val="auto"/>
              </w:rPr>
              <w:t>Under</w:t>
            </w:r>
          </w:p>
        </w:tc>
        <w:tc>
          <w:tcPr>
            <w:tcW w:w="780" w:type="dxa"/>
            <w:vAlign w:val="bottom"/>
          </w:tcPr>
          <w:p>
            <w:pPr>
              <w:jc w:val="center"/>
              <w:spacing w:after="0" w:line="127" w:lineRule="exact"/>
              <w:rPr>
                <w:sz w:val="20"/>
                <w:szCs w:val="20"/>
                <w:color w:val="auto"/>
              </w:rPr>
            </w:pPr>
            <w:r>
              <w:rPr>
                <w:rFonts w:ascii="Arial" w:cs="Arial" w:eastAsia="Arial" w:hAnsi="Arial"/>
                <w:sz w:val="12"/>
                <w:szCs w:val="12"/>
                <w:color w:val="auto"/>
                <w:w w:val="97"/>
              </w:rPr>
              <w:t>104(e)</w:t>
            </w:r>
          </w:p>
        </w:tc>
        <w:tc>
          <w:tcPr>
            <w:tcW w:w="600" w:type="dxa"/>
            <w:vAlign w:val="bottom"/>
          </w:tcPr>
          <w:p>
            <w:pPr>
              <w:jc w:val="center"/>
              <w:ind w:right="21"/>
              <w:spacing w:after="0" w:line="127" w:lineRule="exact"/>
              <w:rPr>
                <w:sz w:val="20"/>
                <w:szCs w:val="20"/>
                <w:color w:val="auto"/>
              </w:rPr>
            </w:pPr>
            <w:r>
              <w:rPr>
                <w:rFonts w:ascii="Arial" w:cs="Arial" w:eastAsia="Arial" w:hAnsi="Arial"/>
                <w:sz w:val="12"/>
                <w:szCs w:val="12"/>
                <w:color w:val="auto"/>
                <w:w w:val="94"/>
              </w:rPr>
              <w:t>as</w:t>
            </w:r>
          </w:p>
        </w:tc>
        <w:tc>
          <w:tcPr>
            <w:tcW w:w="620" w:type="dxa"/>
            <w:vAlign w:val="bottom"/>
          </w:tcPr>
          <w:p>
            <w:pPr>
              <w:jc w:val="center"/>
              <w:spacing w:after="0" w:line="127" w:lineRule="exact"/>
              <w:rPr>
                <w:sz w:val="20"/>
                <w:szCs w:val="20"/>
                <w:color w:val="auto"/>
              </w:rPr>
            </w:pPr>
            <w:r>
              <w:rPr>
                <w:rFonts w:ascii="Arial" w:cs="Arial" w:eastAsia="Arial" w:hAnsi="Arial"/>
                <w:sz w:val="12"/>
                <w:szCs w:val="12"/>
                <w:color w:val="auto"/>
                <w:w w:val="96"/>
              </w:rPr>
              <w:t>Actions</w:t>
            </w: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6"/>
              </w:rPr>
              <w:t>Actions</w:t>
            </w:r>
          </w:p>
        </w:tc>
      </w:tr>
      <w:tr>
        <w:trPr>
          <w:trHeight w:val="127"/>
        </w:trPr>
        <w:tc>
          <w:tcPr>
            <w:tcW w:w="2140" w:type="dxa"/>
            <w:vAlign w:val="bottom"/>
          </w:tcPr>
          <w:p>
            <w:pPr>
              <w:spacing w:after="0"/>
              <w:rPr>
                <w:sz w:val="11"/>
                <w:szCs w:val="11"/>
                <w:color w:val="auto"/>
              </w:rPr>
            </w:pPr>
          </w:p>
        </w:tc>
        <w:tc>
          <w:tcPr>
            <w:tcW w:w="620" w:type="dxa"/>
            <w:vAlign w:val="bottom"/>
          </w:tcPr>
          <w:p>
            <w:pPr>
              <w:jc w:val="center"/>
              <w:ind w:right="1"/>
              <w:spacing w:after="0" w:line="127" w:lineRule="exact"/>
              <w:rPr>
                <w:sz w:val="20"/>
                <w:szCs w:val="20"/>
                <w:color w:val="auto"/>
              </w:rPr>
            </w:pPr>
            <w:r>
              <w:rPr>
                <w:rFonts w:ascii="Arial" w:cs="Arial" w:eastAsia="Arial" w:hAnsi="Arial"/>
                <w:sz w:val="12"/>
                <w:szCs w:val="12"/>
                <w:color w:val="auto"/>
                <w:w w:val="99"/>
              </w:rPr>
              <w:t>Section</w:t>
            </w:r>
          </w:p>
        </w:tc>
        <w:tc>
          <w:tcPr>
            <w:tcW w:w="560" w:type="dxa"/>
            <w:vAlign w:val="bottom"/>
          </w:tcPr>
          <w:p>
            <w:pPr>
              <w:ind w:left="100"/>
              <w:spacing w:after="0" w:line="127" w:lineRule="exact"/>
              <w:rPr>
                <w:sz w:val="20"/>
                <w:szCs w:val="20"/>
                <w:color w:val="auto"/>
              </w:rPr>
            </w:pPr>
            <w:r>
              <w:rPr>
                <w:rFonts w:ascii="Arial" w:cs="Arial" w:eastAsia="Arial" w:hAnsi="Arial"/>
                <w:sz w:val="12"/>
                <w:szCs w:val="12"/>
                <w:color w:val="auto"/>
              </w:rPr>
              <w:t>Section</w:t>
            </w:r>
          </w:p>
        </w:tc>
        <w:tc>
          <w:tcPr>
            <w:tcW w:w="820" w:type="dxa"/>
            <w:vAlign w:val="bottom"/>
          </w:tcPr>
          <w:p>
            <w:pPr>
              <w:jc w:val="center"/>
              <w:spacing w:after="0" w:line="127" w:lineRule="exact"/>
              <w:rPr>
                <w:sz w:val="20"/>
                <w:szCs w:val="20"/>
                <w:color w:val="auto"/>
              </w:rPr>
            </w:pPr>
            <w:r>
              <w:rPr>
                <w:rFonts w:ascii="Arial" w:cs="Arial" w:eastAsia="Arial" w:hAnsi="Arial"/>
                <w:sz w:val="12"/>
                <w:szCs w:val="12"/>
                <w:color w:val="auto"/>
                <w:w w:val="99"/>
              </w:rPr>
              <w:t>Citations and</w:t>
            </w:r>
          </w:p>
        </w:tc>
        <w:tc>
          <w:tcPr>
            <w:tcW w:w="680" w:type="dxa"/>
            <w:vAlign w:val="bottom"/>
          </w:tcPr>
          <w:p>
            <w:pPr>
              <w:jc w:val="center"/>
              <w:ind w:right="1"/>
              <w:spacing w:after="0" w:line="127" w:lineRule="exact"/>
              <w:rPr>
                <w:sz w:val="20"/>
                <w:szCs w:val="20"/>
                <w:color w:val="auto"/>
              </w:rPr>
            </w:pPr>
            <w:r>
              <w:rPr>
                <w:rFonts w:ascii="Arial" w:cs="Arial" w:eastAsia="Arial" w:hAnsi="Arial"/>
                <w:sz w:val="12"/>
                <w:szCs w:val="12"/>
                <w:color w:val="auto"/>
                <w:w w:val="94"/>
              </w:rPr>
              <w:t>Section</w:t>
            </w:r>
          </w:p>
        </w:tc>
        <w:tc>
          <w:tcPr>
            <w:tcW w:w="660" w:type="dxa"/>
            <w:vAlign w:val="bottom"/>
          </w:tcPr>
          <w:p>
            <w:pPr>
              <w:ind w:left="140"/>
              <w:spacing w:after="0" w:line="127" w:lineRule="exact"/>
              <w:rPr>
                <w:sz w:val="20"/>
                <w:szCs w:val="20"/>
                <w:color w:val="auto"/>
              </w:rPr>
            </w:pPr>
            <w:r>
              <w:rPr>
                <w:rFonts w:ascii="Arial" w:cs="Arial" w:eastAsia="Arial" w:hAnsi="Arial"/>
                <w:sz w:val="12"/>
                <w:szCs w:val="12"/>
                <w:color w:val="auto"/>
              </w:rPr>
              <w:t>Section</w:t>
            </w:r>
          </w:p>
        </w:tc>
        <w:tc>
          <w:tcPr>
            <w:tcW w:w="920" w:type="dxa"/>
            <w:vAlign w:val="bottom"/>
          </w:tcPr>
          <w:p>
            <w:pPr>
              <w:jc w:val="center"/>
              <w:spacing w:after="0" w:line="127" w:lineRule="exact"/>
              <w:rPr>
                <w:sz w:val="20"/>
                <w:szCs w:val="20"/>
                <w:color w:val="auto"/>
              </w:rPr>
            </w:pPr>
            <w:r>
              <w:rPr>
                <w:rFonts w:ascii="Arial" w:cs="Arial" w:eastAsia="Arial" w:hAnsi="Arial"/>
                <w:sz w:val="12"/>
                <w:szCs w:val="12"/>
                <w:color w:val="auto"/>
              </w:rPr>
              <w:t>MSHA</w:t>
            </w:r>
          </w:p>
        </w:tc>
        <w:tc>
          <w:tcPr>
            <w:tcW w:w="720" w:type="dxa"/>
            <w:vAlign w:val="bottom"/>
          </w:tcPr>
          <w:p>
            <w:pPr>
              <w:jc w:val="center"/>
              <w:spacing w:after="0" w:line="127" w:lineRule="exact"/>
              <w:rPr>
                <w:sz w:val="20"/>
                <w:szCs w:val="20"/>
                <w:color w:val="auto"/>
              </w:rPr>
            </w:pPr>
            <w:r>
              <w:rPr>
                <w:rFonts w:ascii="Arial" w:cs="Arial" w:eastAsia="Arial" w:hAnsi="Arial"/>
                <w:sz w:val="12"/>
                <w:szCs w:val="12"/>
                <w:color w:val="auto"/>
                <w:w w:val="96"/>
              </w:rPr>
              <w:t>Mining</w:t>
            </w:r>
          </w:p>
        </w:tc>
        <w:tc>
          <w:tcPr>
            <w:tcW w:w="660" w:type="dxa"/>
            <w:vAlign w:val="bottom"/>
          </w:tcPr>
          <w:p>
            <w:pPr>
              <w:jc w:val="center"/>
              <w:spacing w:after="0" w:line="127" w:lineRule="exact"/>
              <w:rPr>
                <w:sz w:val="20"/>
                <w:szCs w:val="20"/>
                <w:color w:val="auto"/>
              </w:rPr>
            </w:pPr>
            <w:r>
              <w:rPr>
                <w:rFonts w:ascii="Arial" w:cs="Arial" w:eastAsia="Arial" w:hAnsi="Arial"/>
                <w:sz w:val="12"/>
                <w:szCs w:val="12"/>
                <w:color w:val="auto"/>
                <w:w w:val="94"/>
              </w:rPr>
              <w:t>Section</w:t>
            </w:r>
          </w:p>
        </w:tc>
        <w:tc>
          <w:tcPr>
            <w:tcW w:w="780" w:type="dxa"/>
            <w:vAlign w:val="bottom"/>
          </w:tcPr>
          <w:p>
            <w:pPr>
              <w:jc w:val="center"/>
              <w:spacing w:after="0" w:line="127" w:lineRule="exact"/>
              <w:rPr>
                <w:sz w:val="20"/>
                <w:szCs w:val="20"/>
                <w:color w:val="auto"/>
              </w:rPr>
            </w:pPr>
            <w:r>
              <w:rPr>
                <w:rFonts w:ascii="Arial" w:cs="Arial" w:eastAsia="Arial" w:hAnsi="Arial"/>
                <w:sz w:val="12"/>
                <w:szCs w:val="12"/>
                <w:color w:val="auto"/>
                <w:w w:val="96"/>
              </w:rPr>
              <w:t>(yes/no)</w:t>
            </w:r>
          </w:p>
        </w:tc>
        <w:tc>
          <w:tcPr>
            <w:tcW w:w="600" w:type="dxa"/>
            <w:vAlign w:val="bottom"/>
          </w:tcPr>
          <w:p>
            <w:pPr>
              <w:jc w:val="center"/>
              <w:ind w:right="61"/>
              <w:spacing w:after="0" w:line="127" w:lineRule="exact"/>
              <w:rPr>
                <w:sz w:val="20"/>
                <w:szCs w:val="20"/>
                <w:color w:val="auto"/>
              </w:rPr>
            </w:pPr>
            <w:r>
              <w:rPr>
                <w:rFonts w:ascii="Arial" w:cs="Arial" w:eastAsia="Arial" w:hAnsi="Arial"/>
                <w:sz w:val="12"/>
                <w:szCs w:val="12"/>
                <w:color w:val="auto"/>
                <w:w w:val="99"/>
              </w:rPr>
              <w:t>of Last</w:t>
            </w:r>
          </w:p>
        </w:tc>
        <w:tc>
          <w:tcPr>
            <w:tcW w:w="620" w:type="dxa"/>
            <w:vAlign w:val="bottom"/>
          </w:tcPr>
          <w:p>
            <w:pPr>
              <w:jc w:val="center"/>
              <w:spacing w:after="0" w:line="127" w:lineRule="exact"/>
              <w:rPr>
                <w:sz w:val="20"/>
                <w:szCs w:val="20"/>
                <w:color w:val="auto"/>
              </w:rPr>
            </w:pPr>
            <w:r>
              <w:rPr>
                <w:rFonts w:ascii="Arial" w:cs="Arial" w:eastAsia="Arial" w:hAnsi="Arial"/>
                <w:sz w:val="12"/>
                <w:szCs w:val="12"/>
                <w:color w:val="auto"/>
                <w:w w:val="99"/>
              </w:rPr>
              <w:t>Initiated</w:t>
            </w: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w w:val="99"/>
              </w:rPr>
              <w:t>Resolved</w:t>
            </w:r>
          </w:p>
        </w:tc>
      </w:tr>
      <w:tr>
        <w:trPr>
          <w:trHeight w:val="117"/>
        </w:trPr>
        <w:tc>
          <w:tcPr>
            <w:tcW w:w="2140" w:type="dxa"/>
            <w:vAlign w:val="bottom"/>
          </w:tcPr>
          <w:p>
            <w:pPr>
              <w:spacing w:after="0" w:line="117" w:lineRule="exact"/>
              <w:rPr>
                <w:sz w:val="20"/>
                <w:szCs w:val="20"/>
                <w:color w:val="auto"/>
              </w:rPr>
            </w:pPr>
            <w:r>
              <w:rPr>
                <w:rFonts w:ascii="Arial" w:cs="Arial" w:eastAsia="Arial" w:hAnsi="Arial"/>
                <w:sz w:val="12"/>
                <w:szCs w:val="12"/>
                <w:color w:val="auto"/>
              </w:rPr>
              <w:t>Mine or Operating Name/MSHA</w:t>
            </w:r>
          </w:p>
        </w:tc>
        <w:tc>
          <w:tcPr>
            <w:tcW w:w="620" w:type="dxa"/>
            <w:vAlign w:val="bottom"/>
          </w:tcPr>
          <w:p>
            <w:pPr>
              <w:jc w:val="center"/>
              <w:ind w:right="21"/>
              <w:spacing w:after="0" w:line="117" w:lineRule="exact"/>
              <w:rPr>
                <w:sz w:val="20"/>
                <w:szCs w:val="20"/>
                <w:color w:val="auto"/>
              </w:rPr>
            </w:pPr>
            <w:r>
              <w:rPr>
                <w:rFonts w:ascii="Arial" w:cs="Arial" w:eastAsia="Arial" w:hAnsi="Arial"/>
                <w:sz w:val="12"/>
                <w:szCs w:val="12"/>
                <w:color w:val="auto"/>
                <w:w w:val="97"/>
              </w:rPr>
              <w:t>104 S&amp;S</w:t>
            </w:r>
          </w:p>
        </w:tc>
        <w:tc>
          <w:tcPr>
            <w:tcW w:w="560" w:type="dxa"/>
            <w:vAlign w:val="bottom"/>
          </w:tcPr>
          <w:p>
            <w:pPr>
              <w:jc w:val="center"/>
              <w:spacing w:after="0" w:line="117" w:lineRule="exact"/>
              <w:rPr>
                <w:sz w:val="20"/>
                <w:szCs w:val="20"/>
                <w:color w:val="auto"/>
              </w:rPr>
            </w:pPr>
            <w:r>
              <w:rPr>
                <w:rFonts w:ascii="Arial" w:cs="Arial" w:eastAsia="Arial" w:hAnsi="Arial"/>
                <w:sz w:val="12"/>
                <w:szCs w:val="12"/>
                <w:color w:val="auto"/>
                <w:w w:val="97"/>
              </w:rPr>
              <w:t>104(b)</w:t>
            </w:r>
          </w:p>
        </w:tc>
        <w:tc>
          <w:tcPr>
            <w:tcW w:w="820" w:type="dxa"/>
            <w:vAlign w:val="bottom"/>
          </w:tcPr>
          <w:p>
            <w:pPr>
              <w:jc w:val="center"/>
              <w:ind w:left="1"/>
              <w:spacing w:after="0" w:line="117" w:lineRule="exact"/>
              <w:rPr>
                <w:sz w:val="20"/>
                <w:szCs w:val="20"/>
                <w:color w:val="auto"/>
              </w:rPr>
            </w:pPr>
            <w:r>
              <w:rPr>
                <w:rFonts w:ascii="Arial" w:cs="Arial" w:eastAsia="Arial" w:hAnsi="Arial"/>
                <w:sz w:val="12"/>
                <w:szCs w:val="12"/>
                <w:color w:val="auto"/>
                <w:w w:val="98"/>
              </w:rPr>
              <w:t>Orders</w:t>
            </w:r>
          </w:p>
        </w:tc>
        <w:tc>
          <w:tcPr>
            <w:tcW w:w="680" w:type="dxa"/>
            <w:vAlign w:val="bottom"/>
          </w:tcPr>
          <w:p>
            <w:pPr>
              <w:jc w:val="center"/>
              <w:ind w:right="1"/>
              <w:spacing w:after="0" w:line="117" w:lineRule="exact"/>
              <w:rPr>
                <w:sz w:val="20"/>
                <w:szCs w:val="20"/>
                <w:color w:val="auto"/>
              </w:rPr>
            </w:pPr>
            <w:r>
              <w:rPr>
                <w:rFonts w:ascii="Arial" w:cs="Arial" w:eastAsia="Arial" w:hAnsi="Arial"/>
                <w:sz w:val="12"/>
                <w:szCs w:val="12"/>
                <w:color w:val="auto"/>
              </w:rPr>
              <w:t>110(b)(2)</w:t>
            </w:r>
          </w:p>
        </w:tc>
        <w:tc>
          <w:tcPr>
            <w:tcW w:w="660" w:type="dxa"/>
            <w:vAlign w:val="bottom"/>
          </w:tcPr>
          <w:p>
            <w:pPr>
              <w:jc w:val="center"/>
              <w:spacing w:after="0" w:line="117" w:lineRule="exact"/>
              <w:rPr>
                <w:sz w:val="20"/>
                <w:szCs w:val="20"/>
                <w:color w:val="auto"/>
              </w:rPr>
            </w:pPr>
            <w:r>
              <w:rPr>
                <w:rFonts w:ascii="Arial" w:cs="Arial" w:eastAsia="Arial" w:hAnsi="Arial"/>
                <w:sz w:val="12"/>
                <w:szCs w:val="12"/>
                <w:color w:val="auto"/>
                <w:w w:val="97"/>
              </w:rPr>
              <w:t>107(a)</w:t>
            </w: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rPr>
              <w:t>Assessments</w:t>
            </w:r>
          </w:p>
        </w:tc>
        <w:tc>
          <w:tcPr>
            <w:tcW w:w="720" w:type="dxa"/>
            <w:vAlign w:val="bottom"/>
          </w:tcPr>
          <w:p>
            <w:pPr>
              <w:jc w:val="center"/>
              <w:spacing w:after="0" w:line="117" w:lineRule="exact"/>
              <w:rPr>
                <w:sz w:val="20"/>
                <w:szCs w:val="20"/>
                <w:color w:val="auto"/>
              </w:rPr>
            </w:pPr>
            <w:r>
              <w:rPr>
                <w:rFonts w:ascii="Arial" w:cs="Arial" w:eastAsia="Arial" w:hAnsi="Arial"/>
                <w:sz w:val="12"/>
                <w:szCs w:val="12"/>
                <w:color w:val="auto"/>
              </w:rPr>
              <w:t>Related</w:t>
            </w:r>
          </w:p>
        </w:tc>
        <w:tc>
          <w:tcPr>
            <w:tcW w:w="660" w:type="dxa"/>
            <w:vAlign w:val="bottom"/>
          </w:tcPr>
          <w:p>
            <w:pPr>
              <w:jc w:val="center"/>
              <w:spacing w:after="0" w:line="117" w:lineRule="exact"/>
              <w:rPr>
                <w:sz w:val="20"/>
                <w:szCs w:val="20"/>
                <w:color w:val="auto"/>
              </w:rPr>
            </w:pPr>
            <w:r>
              <w:rPr>
                <w:rFonts w:ascii="Arial" w:cs="Arial" w:eastAsia="Arial" w:hAnsi="Arial"/>
                <w:sz w:val="12"/>
                <w:szCs w:val="12"/>
                <w:color w:val="auto"/>
                <w:w w:val="97"/>
              </w:rPr>
              <w:t>104(e)</w:t>
            </w:r>
          </w:p>
        </w:tc>
        <w:tc>
          <w:tcPr>
            <w:tcW w:w="780" w:type="dxa"/>
            <w:vAlign w:val="bottom"/>
          </w:tcPr>
          <w:p>
            <w:pPr>
              <w:spacing w:after="0"/>
              <w:rPr>
                <w:sz w:val="10"/>
                <w:szCs w:val="10"/>
                <w:color w:val="auto"/>
              </w:rPr>
            </w:pPr>
          </w:p>
        </w:tc>
        <w:tc>
          <w:tcPr>
            <w:tcW w:w="600" w:type="dxa"/>
            <w:vAlign w:val="bottom"/>
          </w:tcPr>
          <w:p>
            <w:pPr>
              <w:jc w:val="center"/>
              <w:ind w:right="21"/>
              <w:spacing w:after="0" w:line="117" w:lineRule="exact"/>
              <w:rPr>
                <w:sz w:val="20"/>
                <w:szCs w:val="20"/>
                <w:color w:val="auto"/>
              </w:rPr>
            </w:pPr>
            <w:r>
              <w:rPr>
                <w:rFonts w:ascii="Arial" w:cs="Arial" w:eastAsia="Arial" w:hAnsi="Arial"/>
                <w:sz w:val="12"/>
                <w:szCs w:val="12"/>
                <w:color w:val="auto"/>
                <w:w w:val="93"/>
              </w:rPr>
              <w:t>Day</w:t>
            </w: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96"/>
              </w:rPr>
              <w:t>During</w:t>
            </w:r>
          </w:p>
        </w:tc>
        <w:tc>
          <w:tcPr>
            <w:tcW w:w="680" w:type="dxa"/>
            <w:vAlign w:val="bottom"/>
          </w:tcPr>
          <w:p>
            <w:pPr>
              <w:jc w:val="center"/>
              <w:spacing w:after="0" w:line="117" w:lineRule="exact"/>
              <w:rPr>
                <w:sz w:val="20"/>
                <w:szCs w:val="20"/>
                <w:color w:val="auto"/>
              </w:rPr>
            </w:pPr>
            <w:r>
              <w:rPr>
                <w:rFonts w:ascii="Arial" w:cs="Arial" w:eastAsia="Arial" w:hAnsi="Arial"/>
                <w:sz w:val="12"/>
                <w:szCs w:val="12"/>
                <w:color w:val="auto"/>
              </w:rPr>
              <w:t>During</w:t>
            </w:r>
          </w:p>
        </w:tc>
      </w:tr>
      <w:tr>
        <w:trPr>
          <w:trHeight w:val="152"/>
        </w:trPr>
        <w:tc>
          <w:tcPr>
            <w:tcW w:w="2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2"/>
                <w:szCs w:val="12"/>
                <w:color w:val="auto"/>
                <w:w w:val="98"/>
              </w:rPr>
              <w:t>Citations</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Orders</w:t>
            </w:r>
          </w:p>
        </w:tc>
        <w:tc>
          <w:tcPr>
            <w:tcW w:w="8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color w:val="auto"/>
                <w:w w:val="96"/>
              </w:rPr>
              <w:t>Violations</w:t>
            </w: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Orders</w:t>
            </w:r>
          </w:p>
        </w:tc>
        <w:tc>
          <w:tcPr>
            <w:tcW w:w="9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2"/>
                <w:szCs w:val="12"/>
                <w:color w:val="auto"/>
                <w:w w:val="94"/>
              </w:rPr>
              <w:t>Proposed</w:t>
            </w:r>
            <w:r>
              <w:rPr>
                <w:rFonts w:ascii="Arial" w:cs="Arial" w:eastAsia="Arial" w:hAnsi="Arial"/>
                <w:sz w:val="15"/>
                <w:szCs w:val="15"/>
                <w:color w:val="auto"/>
                <w:w w:val="94"/>
                <w:vertAlign w:val="superscript"/>
              </w:rPr>
              <w:t>(1)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Fatalities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(yes/no)</w:t>
            </w: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2"/>
                <w:szCs w:val="12"/>
                <w:color w:val="auto"/>
                <w:w w:val="99"/>
              </w:rPr>
              <w:t>of Period</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Period</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Period</w:t>
            </w:r>
          </w:p>
        </w:tc>
      </w:tr>
      <w:tr>
        <w:trPr>
          <w:trHeight w:val="285"/>
        </w:trPr>
        <w:tc>
          <w:tcPr>
            <w:tcW w:w="214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620" w:type="dxa"/>
            <w:vAlign w:val="bottom"/>
          </w:tcPr>
          <w:p>
            <w:pPr>
              <w:jc w:val="center"/>
              <w:ind w:right="1"/>
              <w:spacing w:after="0"/>
              <w:rPr>
                <w:sz w:val="20"/>
                <w:szCs w:val="20"/>
                <w:color w:val="auto"/>
              </w:rPr>
            </w:pPr>
            <w:r>
              <w:rPr>
                <w:rFonts w:ascii="Arial" w:cs="Arial" w:eastAsia="Arial" w:hAnsi="Arial"/>
                <w:sz w:val="12"/>
                <w:szCs w:val="12"/>
                <w:color w:val="auto"/>
                <w:w w:val="93"/>
              </w:rPr>
              <w:t>─</w:t>
            </w:r>
          </w:p>
        </w:tc>
        <w:tc>
          <w:tcPr>
            <w:tcW w:w="56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820" w:type="dxa"/>
            <w:vAlign w:val="bottom"/>
          </w:tcPr>
          <w:p>
            <w:pPr>
              <w:jc w:val="center"/>
              <w:ind w:left="1"/>
              <w:spacing w:after="0"/>
              <w:rPr>
                <w:sz w:val="20"/>
                <w:szCs w:val="20"/>
                <w:color w:val="auto"/>
              </w:rPr>
            </w:pPr>
            <w:r>
              <w:rPr>
                <w:rFonts w:ascii="Arial" w:cs="Arial" w:eastAsia="Arial" w:hAnsi="Arial"/>
                <w:sz w:val="12"/>
                <w:szCs w:val="12"/>
                <w:color w:val="auto"/>
                <w:w w:val="93"/>
              </w:rPr>
              <w:t>─</w:t>
            </w:r>
          </w:p>
        </w:tc>
        <w:tc>
          <w:tcPr>
            <w:tcW w:w="680" w:type="dxa"/>
            <w:vAlign w:val="bottom"/>
          </w:tcPr>
          <w:p>
            <w:pPr>
              <w:jc w:val="center"/>
              <w:ind w:right="1"/>
              <w:spacing w:after="0"/>
              <w:rPr>
                <w:sz w:val="20"/>
                <w:szCs w:val="20"/>
                <w:color w:val="auto"/>
              </w:rPr>
            </w:pPr>
            <w:r>
              <w:rPr>
                <w:rFonts w:ascii="Arial" w:cs="Arial" w:eastAsia="Arial" w:hAnsi="Arial"/>
                <w:sz w:val="12"/>
                <w:szCs w:val="12"/>
                <w:color w:val="auto"/>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920" w:type="dxa"/>
            <w:vAlign w:val="bottom"/>
          </w:tcPr>
          <w:p>
            <w:pPr>
              <w:jc w:val="center"/>
              <w:spacing w:after="0"/>
              <w:rPr>
                <w:sz w:val="20"/>
                <w:szCs w:val="20"/>
                <w:color w:val="auto"/>
              </w:rPr>
            </w:pPr>
            <w:r>
              <w:rPr>
                <w:rFonts w:ascii="Arial" w:cs="Arial" w:eastAsia="Arial" w:hAnsi="Arial"/>
                <w:sz w:val="12"/>
                <w:szCs w:val="12"/>
                <w:color w:val="auto"/>
              </w:rPr>
              <w:t>$755</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78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600" w:type="dxa"/>
            <w:vAlign w:val="bottom"/>
          </w:tcPr>
          <w:p>
            <w:pPr>
              <w:jc w:val="center"/>
              <w:ind w:right="21"/>
              <w:spacing w:after="0"/>
              <w:rPr>
                <w:sz w:val="20"/>
                <w:szCs w:val="20"/>
                <w:color w:val="auto"/>
              </w:rPr>
            </w:pPr>
            <w:r>
              <w:rPr>
                <w:rFonts w:ascii="Arial" w:cs="Arial" w:eastAsia="Arial" w:hAnsi="Arial"/>
                <w:sz w:val="12"/>
                <w:szCs w:val="12"/>
                <w:color w:val="auto"/>
                <w:w w:val="93"/>
              </w:rPr>
              <w:t>─</w:t>
            </w:r>
          </w:p>
        </w:tc>
        <w:tc>
          <w:tcPr>
            <w:tcW w:w="620" w:type="dxa"/>
            <w:vAlign w:val="bottom"/>
          </w:tcPr>
          <w:p>
            <w:pPr>
              <w:jc w:val="center"/>
              <w:spacing w:after="0"/>
              <w:rPr>
                <w:sz w:val="20"/>
                <w:szCs w:val="20"/>
                <w:color w:val="auto"/>
              </w:rPr>
            </w:pPr>
            <w:r>
              <w:rPr>
                <w:rFonts w:ascii="Arial" w:cs="Arial" w:eastAsia="Arial" w:hAnsi="Arial"/>
                <w:sz w:val="12"/>
                <w:szCs w:val="12"/>
                <w:color w:val="auto"/>
              </w:rPr>
              <w:t>─</w:t>
            </w: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p>
        </w:tc>
      </w:tr>
      <w:tr>
        <w:trPr>
          <w:trHeight w:val="348"/>
        </w:trPr>
        <w:tc>
          <w:tcPr>
            <w:tcW w:w="2140" w:type="dxa"/>
            <w:vAlign w:val="bottom"/>
          </w:tcPr>
          <w:p>
            <w:pPr>
              <w:spacing w:after="0"/>
              <w:rPr>
                <w:sz w:val="20"/>
                <w:szCs w:val="20"/>
                <w:color w:val="auto"/>
              </w:rPr>
            </w:pPr>
            <w:r>
              <w:rPr>
                <w:rFonts w:ascii="Arial" w:cs="Arial" w:eastAsia="Arial" w:hAnsi="Arial"/>
                <w:sz w:val="12"/>
                <w:szCs w:val="12"/>
                <w:color w:val="auto"/>
                <w:w w:val="99"/>
              </w:rPr>
              <w:t>Battle Mountain Grinding Plant/2600828</w:t>
            </w:r>
          </w:p>
        </w:tc>
        <w:tc>
          <w:tcPr>
            <w:tcW w:w="620" w:type="dxa"/>
            <w:vAlign w:val="bottom"/>
          </w:tcPr>
          <w:p>
            <w:pPr>
              <w:jc w:val="center"/>
              <w:ind w:right="21"/>
              <w:spacing w:after="0"/>
              <w:rPr>
                <w:sz w:val="20"/>
                <w:szCs w:val="20"/>
                <w:color w:val="auto"/>
              </w:rPr>
            </w:pPr>
            <w:r>
              <w:rPr>
                <w:rFonts w:ascii="Arial" w:cs="Arial" w:eastAsia="Arial" w:hAnsi="Arial"/>
                <w:sz w:val="12"/>
                <w:szCs w:val="12"/>
                <w:color w:val="auto"/>
                <w:w w:val="89"/>
              </w:rPr>
              <w:t>3</w:t>
            </w:r>
          </w:p>
        </w:tc>
        <w:tc>
          <w:tcPr>
            <w:tcW w:w="56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820" w:type="dxa"/>
            <w:vAlign w:val="bottom"/>
          </w:tcPr>
          <w:p>
            <w:pPr>
              <w:jc w:val="center"/>
              <w:ind w:left="1"/>
              <w:spacing w:after="0"/>
              <w:rPr>
                <w:sz w:val="20"/>
                <w:szCs w:val="20"/>
                <w:color w:val="auto"/>
              </w:rPr>
            </w:pPr>
            <w:r>
              <w:rPr>
                <w:rFonts w:ascii="Arial" w:cs="Arial" w:eastAsia="Arial" w:hAnsi="Arial"/>
                <w:sz w:val="12"/>
                <w:szCs w:val="12"/>
                <w:color w:val="auto"/>
                <w:w w:val="93"/>
              </w:rPr>
              <w:t>─</w:t>
            </w:r>
          </w:p>
        </w:tc>
        <w:tc>
          <w:tcPr>
            <w:tcW w:w="680" w:type="dxa"/>
            <w:vAlign w:val="bottom"/>
          </w:tcPr>
          <w:p>
            <w:pPr>
              <w:jc w:val="center"/>
              <w:ind w:right="1"/>
              <w:spacing w:after="0"/>
              <w:rPr>
                <w:sz w:val="20"/>
                <w:szCs w:val="20"/>
                <w:color w:val="auto"/>
              </w:rPr>
            </w:pPr>
            <w:r>
              <w:rPr>
                <w:rFonts w:ascii="Arial" w:cs="Arial" w:eastAsia="Arial" w:hAnsi="Arial"/>
                <w:sz w:val="12"/>
                <w:szCs w:val="12"/>
                <w:color w:val="auto"/>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920" w:type="dxa"/>
            <w:vAlign w:val="bottom"/>
          </w:tcPr>
          <w:p>
            <w:pPr>
              <w:jc w:val="center"/>
              <w:spacing w:after="0"/>
              <w:rPr>
                <w:sz w:val="20"/>
                <w:szCs w:val="20"/>
                <w:color w:val="auto"/>
              </w:rPr>
            </w:pPr>
            <w:r>
              <w:rPr>
                <w:rFonts w:ascii="Arial" w:cs="Arial" w:eastAsia="Arial" w:hAnsi="Arial"/>
                <w:sz w:val="12"/>
                <w:szCs w:val="12"/>
                <w:color w:val="auto"/>
                <w:w w:val="91"/>
              </w:rPr>
              <w:t xml:space="preserve">$5,147 </w:t>
            </w:r>
            <w:r>
              <w:rPr>
                <w:rFonts w:ascii="Arial" w:cs="Arial" w:eastAsia="Arial" w:hAnsi="Arial"/>
                <w:sz w:val="15"/>
                <w:szCs w:val="15"/>
                <w:color w:val="auto"/>
                <w:w w:val="91"/>
                <w:vertAlign w:val="superscript"/>
              </w:rPr>
              <w:t>(2)</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78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600" w:type="dxa"/>
            <w:vAlign w:val="bottom"/>
          </w:tcPr>
          <w:p>
            <w:pPr>
              <w:jc w:val="center"/>
              <w:ind w:right="21"/>
              <w:spacing w:after="0"/>
              <w:rPr>
                <w:sz w:val="20"/>
                <w:szCs w:val="20"/>
                <w:color w:val="auto"/>
              </w:rPr>
            </w:pPr>
            <w:r>
              <w:rPr>
                <w:rFonts w:ascii="Arial" w:cs="Arial" w:eastAsia="Arial" w:hAnsi="Arial"/>
                <w:sz w:val="12"/>
                <w:szCs w:val="12"/>
                <w:color w:val="auto"/>
                <w:w w:val="93"/>
              </w:rPr>
              <w:t>─</w:t>
            </w:r>
          </w:p>
        </w:tc>
        <w:tc>
          <w:tcPr>
            <w:tcW w:w="620" w:type="dxa"/>
            <w:vAlign w:val="bottom"/>
          </w:tcPr>
          <w:p>
            <w:pPr>
              <w:jc w:val="center"/>
              <w:spacing w:after="0"/>
              <w:rPr>
                <w:sz w:val="20"/>
                <w:szCs w:val="20"/>
                <w:color w:val="auto"/>
              </w:rPr>
            </w:pPr>
            <w:r>
              <w:rPr>
                <w:rFonts w:ascii="Arial" w:cs="Arial" w:eastAsia="Arial" w:hAnsi="Arial"/>
                <w:sz w:val="12"/>
                <w:szCs w:val="12"/>
                <w:color w:val="auto"/>
              </w:rPr>
              <w:t>─</w:t>
            </w: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p>
        </w:tc>
      </w:tr>
      <w:tr>
        <w:trPr>
          <w:trHeight w:val="389"/>
        </w:trPr>
        <w:tc>
          <w:tcPr>
            <w:tcW w:w="2140" w:type="dxa"/>
            <w:vAlign w:val="bottom"/>
          </w:tcPr>
          <w:p>
            <w:pPr>
              <w:spacing w:after="0"/>
              <w:rPr>
                <w:sz w:val="20"/>
                <w:szCs w:val="20"/>
                <w:color w:val="auto"/>
              </w:rPr>
            </w:pPr>
            <w:r>
              <w:rPr>
                <w:rFonts w:ascii="Arial" w:cs="Arial" w:eastAsia="Arial" w:hAnsi="Arial"/>
                <w:sz w:val="12"/>
                <w:szCs w:val="12"/>
                <w:color w:val="auto"/>
              </w:rPr>
              <w:t>Greystone Mine/2600411</w:t>
            </w:r>
          </w:p>
        </w:tc>
        <w:tc>
          <w:tcPr>
            <w:tcW w:w="620" w:type="dxa"/>
            <w:vAlign w:val="bottom"/>
          </w:tcPr>
          <w:p>
            <w:pPr>
              <w:jc w:val="center"/>
              <w:ind w:right="21"/>
              <w:spacing w:after="0"/>
              <w:rPr>
                <w:sz w:val="20"/>
                <w:szCs w:val="20"/>
                <w:color w:val="auto"/>
              </w:rPr>
            </w:pPr>
            <w:r>
              <w:rPr>
                <w:rFonts w:ascii="Arial" w:cs="Arial" w:eastAsia="Arial" w:hAnsi="Arial"/>
                <w:sz w:val="12"/>
                <w:szCs w:val="12"/>
                <w:color w:val="auto"/>
                <w:w w:val="89"/>
              </w:rPr>
              <w:t>1</w:t>
            </w:r>
          </w:p>
        </w:tc>
        <w:tc>
          <w:tcPr>
            <w:tcW w:w="56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820" w:type="dxa"/>
            <w:vAlign w:val="bottom"/>
          </w:tcPr>
          <w:p>
            <w:pPr>
              <w:jc w:val="center"/>
              <w:ind w:left="1"/>
              <w:spacing w:after="0"/>
              <w:rPr>
                <w:sz w:val="20"/>
                <w:szCs w:val="20"/>
                <w:color w:val="auto"/>
              </w:rPr>
            </w:pPr>
            <w:r>
              <w:rPr>
                <w:rFonts w:ascii="Arial" w:cs="Arial" w:eastAsia="Arial" w:hAnsi="Arial"/>
                <w:sz w:val="12"/>
                <w:szCs w:val="12"/>
                <w:color w:val="auto"/>
                <w:w w:val="93"/>
              </w:rPr>
              <w:t>─</w:t>
            </w:r>
          </w:p>
        </w:tc>
        <w:tc>
          <w:tcPr>
            <w:tcW w:w="680" w:type="dxa"/>
            <w:vAlign w:val="bottom"/>
          </w:tcPr>
          <w:p>
            <w:pPr>
              <w:jc w:val="center"/>
              <w:ind w:right="1"/>
              <w:spacing w:after="0"/>
              <w:rPr>
                <w:sz w:val="20"/>
                <w:szCs w:val="20"/>
                <w:color w:val="auto"/>
              </w:rPr>
            </w:pPr>
            <w:r>
              <w:rPr>
                <w:rFonts w:ascii="Arial" w:cs="Arial" w:eastAsia="Arial" w:hAnsi="Arial"/>
                <w:sz w:val="12"/>
                <w:szCs w:val="12"/>
                <w:color w:val="auto"/>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920" w:type="dxa"/>
            <w:vAlign w:val="bottom"/>
          </w:tcPr>
          <w:p>
            <w:pPr>
              <w:jc w:val="center"/>
              <w:spacing w:after="0"/>
              <w:rPr>
                <w:sz w:val="20"/>
                <w:szCs w:val="20"/>
                <w:color w:val="auto"/>
              </w:rPr>
            </w:pPr>
            <w:r>
              <w:rPr>
                <w:rFonts w:ascii="Arial" w:cs="Arial" w:eastAsia="Arial" w:hAnsi="Arial"/>
                <w:sz w:val="12"/>
                <w:szCs w:val="12"/>
                <w:color w:val="auto"/>
              </w:rPr>
              <w:t>$871</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78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600" w:type="dxa"/>
            <w:vAlign w:val="bottom"/>
          </w:tcPr>
          <w:p>
            <w:pPr>
              <w:jc w:val="center"/>
              <w:ind w:right="21"/>
              <w:spacing w:after="0"/>
              <w:rPr>
                <w:sz w:val="20"/>
                <w:szCs w:val="20"/>
                <w:color w:val="auto"/>
              </w:rPr>
            </w:pPr>
            <w:r>
              <w:rPr>
                <w:rFonts w:ascii="Arial" w:cs="Arial" w:eastAsia="Arial" w:hAnsi="Arial"/>
                <w:sz w:val="12"/>
                <w:szCs w:val="12"/>
                <w:color w:val="auto"/>
                <w:w w:val="93"/>
              </w:rPr>
              <w:t>─</w:t>
            </w:r>
          </w:p>
        </w:tc>
        <w:tc>
          <w:tcPr>
            <w:tcW w:w="620" w:type="dxa"/>
            <w:vAlign w:val="bottom"/>
          </w:tcPr>
          <w:p>
            <w:pPr>
              <w:jc w:val="center"/>
              <w:spacing w:after="0"/>
              <w:rPr>
                <w:sz w:val="20"/>
                <w:szCs w:val="20"/>
                <w:color w:val="auto"/>
              </w:rPr>
            </w:pPr>
            <w:r>
              <w:rPr>
                <w:rFonts w:ascii="Arial" w:cs="Arial" w:eastAsia="Arial" w:hAnsi="Arial"/>
                <w:sz w:val="12"/>
                <w:szCs w:val="12"/>
                <w:color w:val="auto"/>
              </w:rPr>
              <w:t>─</w:t>
            </w: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p>
        </w:tc>
      </w:tr>
      <w:tr>
        <w:trPr>
          <w:trHeight w:val="276"/>
        </w:trPr>
        <w:tc>
          <w:tcPr>
            <w:tcW w:w="214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620" w:type="dxa"/>
            <w:vAlign w:val="bottom"/>
          </w:tcPr>
          <w:p>
            <w:pPr>
              <w:jc w:val="center"/>
              <w:ind w:right="1"/>
              <w:spacing w:after="0"/>
              <w:rPr>
                <w:sz w:val="20"/>
                <w:szCs w:val="20"/>
                <w:color w:val="auto"/>
              </w:rPr>
            </w:pPr>
            <w:r>
              <w:rPr>
                <w:rFonts w:ascii="Arial" w:cs="Arial" w:eastAsia="Arial" w:hAnsi="Arial"/>
                <w:sz w:val="12"/>
                <w:szCs w:val="12"/>
                <w:color w:val="auto"/>
                <w:w w:val="93"/>
              </w:rPr>
              <w:t>─</w:t>
            </w:r>
          </w:p>
        </w:tc>
        <w:tc>
          <w:tcPr>
            <w:tcW w:w="56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820" w:type="dxa"/>
            <w:vAlign w:val="bottom"/>
          </w:tcPr>
          <w:p>
            <w:pPr>
              <w:jc w:val="center"/>
              <w:ind w:left="1"/>
              <w:spacing w:after="0"/>
              <w:rPr>
                <w:sz w:val="20"/>
                <w:szCs w:val="20"/>
                <w:color w:val="auto"/>
              </w:rPr>
            </w:pPr>
            <w:r>
              <w:rPr>
                <w:rFonts w:ascii="Arial" w:cs="Arial" w:eastAsia="Arial" w:hAnsi="Arial"/>
                <w:sz w:val="12"/>
                <w:szCs w:val="12"/>
                <w:color w:val="auto"/>
                <w:w w:val="93"/>
              </w:rPr>
              <w:t>─</w:t>
            </w:r>
          </w:p>
        </w:tc>
        <w:tc>
          <w:tcPr>
            <w:tcW w:w="680" w:type="dxa"/>
            <w:vAlign w:val="bottom"/>
          </w:tcPr>
          <w:p>
            <w:pPr>
              <w:jc w:val="center"/>
              <w:ind w:right="1"/>
              <w:spacing w:after="0"/>
              <w:rPr>
                <w:sz w:val="20"/>
                <w:szCs w:val="20"/>
                <w:color w:val="auto"/>
              </w:rPr>
            </w:pPr>
            <w:r>
              <w:rPr>
                <w:rFonts w:ascii="Arial" w:cs="Arial" w:eastAsia="Arial" w:hAnsi="Arial"/>
                <w:sz w:val="12"/>
                <w:szCs w:val="12"/>
                <w:color w:val="auto"/>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920" w:type="dxa"/>
            <w:vAlign w:val="bottom"/>
          </w:tcPr>
          <w:p>
            <w:pPr>
              <w:jc w:val="center"/>
              <w:spacing w:after="0"/>
              <w:rPr>
                <w:sz w:val="20"/>
                <w:szCs w:val="20"/>
                <w:color w:val="auto"/>
              </w:rPr>
            </w:pPr>
            <w:r>
              <w:rPr>
                <w:rFonts w:ascii="Arial" w:cs="Arial" w:eastAsia="Arial" w:hAnsi="Arial"/>
                <w:sz w:val="12"/>
                <w:szCs w:val="12"/>
                <w:color w:val="auto"/>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78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600" w:type="dxa"/>
            <w:vAlign w:val="bottom"/>
          </w:tcPr>
          <w:p>
            <w:pPr>
              <w:jc w:val="center"/>
              <w:ind w:right="21"/>
              <w:spacing w:after="0"/>
              <w:rPr>
                <w:sz w:val="20"/>
                <w:szCs w:val="20"/>
                <w:color w:val="auto"/>
              </w:rPr>
            </w:pPr>
            <w:r>
              <w:rPr>
                <w:rFonts w:ascii="Arial" w:cs="Arial" w:eastAsia="Arial" w:hAnsi="Arial"/>
                <w:sz w:val="12"/>
                <w:szCs w:val="12"/>
                <w:color w:val="auto"/>
                <w:w w:val="93"/>
              </w:rPr>
              <w:t>─</w:t>
            </w:r>
          </w:p>
        </w:tc>
        <w:tc>
          <w:tcPr>
            <w:tcW w:w="620" w:type="dxa"/>
            <w:vAlign w:val="bottom"/>
          </w:tcPr>
          <w:p>
            <w:pPr>
              <w:jc w:val="center"/>
              <w:spacing w:after="0"/>
              <w:rPr>
                <w:sz w:val="20"/>
                <w:szCs w:val="20"/>
                <w:color w:val="auto"/>
              </w:rPr>
            </w:pPr>
            <w:r>
              <w:rPr>
                <w:rFonts w:ascii="Arial" w:cs="Arial" w:eastAsia="Arial" w:hAnsi="Arial"/>
                <w:sz w:val="12"/>
                <w:szCs w:val="12"/>
                <w:color w:val="auto"/>
              </w:rPr>
              <w:t>─</w:t>
            </w: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p>
        </w:tc>
      </w:tr>
      <w:tr>
        <w:trPr>
          <w:trHeight w:val="155"/>
        </w:trPr>
        <w:tc>
          <w:tcPr>
            <w:tcW w:w="2140" w:type="dxa"/>
            <w:vAlign w:val="bottom"/>
          </w:tcPr>
          <w:p>
            <w:pPr>
              <w:spacing w:after="0"/>
              <w:rPr>
                <w:sz w:val="20"/>
                <w:szCs w:val="20"/>
                <w:color w:val="auto"/>
              </w:rPr>
            </w:pPr>
            <w:r>
              <w:rPr>
                <w:rFonts w:ascii="Arial" w:cs="Arial" w:eastAsia="Arial" w:hAnsi="Arial"/>
                <w:sz w:val="12"/>
                <w:szCs w:val="12"/>
                <w:color w:val="auto"/>
              </w:rPr>
              <w:t>Plant/2601390</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310" w:lineRule="exact"/>
        <w:rPr>
          <w:sz w:val="20"/>
          <w:szCs w:val="20"/>
          <w:color w:val="auto"/>
        </w:rPr>
      </w:pPr>
    </w:p>
    <w:p>
      <w:pPr>
        <w:jc w:val="both"/>
        <w:ind w:left="880" w:hanging="504"/>
        <w:spacing w:after="0" w:line="236" w:lineRule="auto"/>
        <w:tabs>
          <w:tab w:leader="none" w:pos="8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December 31, 2025, regardless of whether the assessment has been challenged or appealed, for citations and orders occurring during the full year 2025.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77" w:lineRule="exact"/>
        <w:rPr>
          <w:rFonts w:ascii="Arial" w:cs="Arial" w:eastAsia="Arial" w:hAnsi="Arial"/>
          <w:sz w:val="14"/>
          <w:szCs w:val="14"/>
          <w:color w:val="auto"/>
        </w:rPr>
      </w:pPr>
    </w:p>
    <w:p>
      <w:pPr>
        <w:ind w:left="880" w:hanging="504"/>
        <w:spacing w:after="0"/>
        <w:tabs>
          <w:tab w:leader="none" w:pos="8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As of December 31, 2025, MSHA had not yet proposed an assessment for one order at Battle Mountain Grinding Plant/2600828.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1106805</wp:posOffset>
            </wp:positionV>
            <wp:extent cx="7165975" cy="412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5"/>
          <w:szCs w:val="15"/>
          <w:b w:val="1"/>
          <w:bCs w:val="1"/>
          <w:color w:val="auto"/>
        </w:rPr>
        <w:t>Exhibit 97</w:t>
      </w:r>
    </w:p>
    <w:p>
      <w:pPr>
        <w:spacing w:after="0" w:line="200" w:lineRule="exact"/>
        <w:rPr>
          <w:sz w:val="20"/>
          <w:szCs w:val="20"/>
          <w:color w:val="auto"/>
        </w:rPr>
      </w:pPr>
    </w:p>
    <w:p>
      <w:pPr>
        <w:spacing w:after="0" w:line="367"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SLB LIMITED</w:t>
      </w:r>
    </w:p>
    <w:p>
      <w:pPr>
        <w:spacing w:after="0" w:line="188" w:lineRule="exact"/>
        <w:rPr>
          <w:sz w:val="20"/>
          <w:szCs w:val="20"/>
          <w:color w:val="auto"/>
        </w:rPr>
      </w:pPr>
    </w:p>
    <w:p>
      <w:pPr>
        <w:ind w:left="2440"/>
        <w:spacing w:after="0"/>
        <w:rPr>
          <w:sz w:val="20"/>
          <w:szCs w:val="20"/>
          <w:color w:val="auto"/>
        </w:rPr>
      </w:pPr>
      <w:r>
        <w:rPr>
          <w:rFonts w:ascii="Arial" w:cs="Arial" w:eastAsia="Arial" w:hAnsi="Arial"/>
          <w:sz w:val="19"/>
          <w:szCs w:val="19"/>
          <w:b w:val="1"/>
          <w:bCs w:val="1"/>
          <w:color w:val="auto"/>
        </w:rPr>
        <w:t>POLICY FOR RECOVERY OF PERFORMANCE-BASED COMPENSATION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FROM SENIOR OFFICERS</w:t>
      </w:r>
    </w:p>
    <w:p>
      <w:pPr>
        <w:spacing w:after="0" w:line="170" w:lineRule="exact"/>
        <w:rPr>
          <w:sz w:val="20"/>
          <w:szCs w:val="20"/>
          <w:color w:val="auto"/>
        </w:rPr>
      </w:pPr>
    </w:p>
    <w:p>
      <w:pPr>
        <w:jc w:val="both"/>
        <w:ind w:firstLine="750"/>
        <w:spacing w:after="0" w:line="238" w:lineRule="auto"/>
        <w:rPr>
          <w:sz w:val="20"/>
          <w:szCs w:val="20"/>
          <w:color w:val="auto"/>
        </w:rPr>
      </w:pPr>
      <w:r>
        <w:rPr>
          <w:rFonts w:ascii="Arial" w:cs="Arial" w:eastAsia="Arial" w:hAnsi="Arial"/>
          <w:sz w:val="19"/>
          <w:szCs w:val="19"/>
          <w:color w:val="auto"/>
        </w:rPr>
        <w:t>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SLB Limited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adopted this Policy for Recovery of Performance-Based Compensation from Senior Officers (the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effective as of October 16, 2025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Capitalized terms used in this Policy but not otherwise defined herein are defined in Section 11.</w:t>
      </w:r>
    </w:p>
    <w:p>
      <w:pPr>
        <w:spacing w:after="0" w:line="162" w:lineRule="exact"/>
        <w:rPr>
          <w:sz w:val="20"/>
          <w:szCs w:val="20"/>
          <w:color w:val="auto"/>
        </w:rPr>
      </w:pPr>
    </w:p>
    <w:p>
      <w:pPr>
        <w:jc w:val="both"/>
        <w:ind w:firstLine="750"/>
        <w:spacing w:after="0" w:line="238" w:lineRule="auto"/>
        <w:rPr>
          <w:sz w:val="20"/>
          <w:szCs w:val="20"/>
          <w:color w:val="auto"/>
        </w:rPr>
      </w:pPr>
      <w:r>
        <w:rPr>
          <w:rFonts w:ascii="Arial" w:cs="Arial" w:eastAsia="Arial" w:hAnsi="Arial"/>
          <w:sz w:val="19"/>
          <w:szCs w:val="19"/>
          <w:color w:val="auto"/>
        </w:rPr>
        <w:t>For the avoidance of doubt, this Policy is the “Clawback Policy” as defined in the Company’s performance share unit award agreements. This policy will be administered by the Company’s Compensation Committee (the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with assistance from the Company’s Nominating and Governance and Audit Committees, as requested.</w:t>
      </w:r>
    </w:p>
    <w:p>
      <w:pPr>
        <w:spacing w:after="0" w:line="162" w:lineRule="exact"/>
        <w:rPr>
          <w:sz w:val="20"/>
          <w:szCs w:val="20"/>
          <w:color w:val="auto"/>
        </w:rPr>
      </w:pPr>
    </w:p>
    <w:p>
      <w:pPr>
        <w:ind w:left="760" w:hanging="758"/>
        <w:spacing w:after="0"/>
        <w:tabs>
          <w:tab w:leader="none" w:pos="760" w:val="left"/>
        </w:tabs>
        <w:numPr>
          <w:ilvl w:val="0"/>
          <w:numId w:val="1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Persons Subject to Policy</w:t>
      </w:r>
    </w:p>
    <w:p>
      <w:pPr>
        <w:spacing w:after="0" w:line="188" w:lineRule="exact"/>
        <w:rPr>
          <w:sz w:val="20"/>
          <w:szCs w:val="20"/>
          <w:color w:val="auto"/>
        </w:rPr>
      </w:pPr>
    </w:p>
    <w:p>
      <w:pPr>
        <w:jc w:val="both"/>
        <w:ind w:firstLine="750"/>
        <w:spacing w:after="0" w:line="213" w:lineRule="exact"/>
        <w:rPr>
          <w:sz w:val="20"/>
          <w:szCs w:val="20"/>
          <w:color w:val="auto"/>
        </w:rPr>
      </w:pPr>
      <w:r>
        <w:rPr>
          <w:rFonts w:ascii="Arial" w:cs="Arial" w:eastAsia="Arial" w:hAnsi="Arial"/>
          <w:sz w:val="19"/>
          <w:szCs w:val="19"/>
          <w:color w:val="auto"/>
        </w:rPr>
        <w:t>This Policy applies to current Senior Officers of the Company and is an amendment and restatement of the Company’s policy on recoupment of performance-based short-term and long-term compensation. It applies to current and former Senior Officers who have departed the Company within the Three-Year Period. For the purposes of this Policy, “</w:t>
      </w:r>
      <w:r>
        <w:rPr>
          <w:rFonts w:ascii="Arial" w:cs="Arial" w:eastAsia="Arial" w:hAnsi="Arial"/>
          <w:sz w:val="19"/>
          <w:szCs w:val="19"/>
          <w:b w:val="1"/>
          <w:bCs w:val="1"/>
          <w:i w:val="1"/>
          <w:iCs w:val="1"/>
          <w:color w:val="auto"/>
        </w:rPr>
        <w:t>Senior Officers</w:t>
      </w:r>
      <w:r>
        <w:rPr>
          <w:rFonts w:ascii="Arial" w:cs="Arial" w:eastAsia="Arial" w:hAnsi="Arial"/>
          <w:sz w:val="19"/>
          <w:szCs w:val="19"/>
          <w:color w:val="auto"/>
        </w:rPr>
        <w:t>” means each person who serves as an “Executive Officer” of the Company as defined in Rule 10D</w:t>
      </w:r>
      <w:r>
        <w:rPr>
          <w:rFonts w:ascii="MS PGothic" w:cs="MS PGothic" w:eastAsia="MS PGothic" w:hAnsi="MS PGothic"/>
          <w:sz w:val="19"/>
          <w:szCs w:val="19"/>
          <w:color w:val="auto"/>
        </w:rPr>
        <w:t>‑</w:t>
      </w:r>
      <w:r>
        <w:rPr>
          <w:rFonts w:ascii="Arial" w:cs="Arial" w:eastAsia="Arial" w:hAnsi="Arial"/>
          <w:sz w:val="19"/>
          <w:szCs w:val="19"/>
          <w:color w:val="auto"/>
        </w:rPr>
        <w:t>1(d) under the Exchange Act, and includes the Company’s Named Executive Officers, other Executive Officers, Corporate Officers, Presidents, and any other recipient of SLB Performance Share Units, including advisors to the Chief Executive Officer.</w:t>
      </w:r>
    </w:p>
    <w:p>
      <w:pPr>
        <w:spacing w:after="0" w:line="161" w:lineRule="exact"/>
        <w:rPr>
          <w:sz w:val="20"/>
          <w:szCs w:val="20"/>
          <w:color w:val="auto"/>
        </w:rPr>
      </w:pPr>
    </w:p>
    <w:p>
      <w:pPr>
        <w:ind w:left="420" w:hanging="418"/>
        <w:spacing w:after="0"/>
        <w:tabs>
          <w:tab w:leader="none" w:pos="420"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Compensation Subject to Policy</w:t>
      </w:r>
    </w:p>
    <w:p>
      <w:pPr>
        <w:spacing w:after="0" w:line="188" w:lineRule="exact"/>
        <w:rPr>
          <w:sz w:val="20"/>
          <w:szCs w:val="20"/>
          <w:color w:val="auto"/>
        </w:rPr>
      </w:pPr>
    </w:p>
    <w:p>
      <w:pPr>
        <w:jc w:val="both"/>
        <w:ind w:firstLine="750"/>
        <w:spacing w:after="0" w:line="232" w:lineRule="auto"/>
        <w:rPr>
          <w:sz w:val="20"/>
          <w:szCs w:val="20"/>
          <w:color w:val="auto"/>
        </w:rPr>
      </w:pPr>
      <w:r>
        <w:rPr>
          <w:rFonts w:ascii="Arial" w:cs="Arial" w:eastAsia="Arial" w:hAnsi="Arial"/>
          <w:sz w:val="19"/>
          <w:szCs w:val="19"/>
          <w:color w:val="auto"/>
        </w:rPr>
        <w:t>This Policy applies to all outstanding Performance-Based Compensation and includes all compensation received on or after the Effective Date. For purposes of this Policy, the date on which Performance-Based Compensation is “received” shall be determined under the Applicable Rules, which generally provide that Performance-Based Compensation is “received” when the relevant Financial Reporting Measure applicable to the compensation is achieved or satisfied, without regard to whether the grant, vesting or payment of the Performance-Based Compensation occurs after such date.</w:t>
      </w:r>
    </w:p>
    <w:p>
      <w:pPr>
        <w:spacing w:after="0" w:line="162" w:lineRule="exact"/>
        <w:rPr>
          <w:sz w:val="20"/>
          <w:szCs w:val="20"/>
          <w:color w:val="auto"/>
        </w:rPr>
      </w:pPr>
    </w:p>
    <w:p>
      <w:pPr>
        <w:ind w:left="420" w:hanging="418"/>
        <w:spacing w:after="0"/>
        <w:tabs>
          <w:tab w:leader="none" w:pos="420" w:val="left"/>
        </w:tabs>
        <w:numPr>
          <w:ilvl w:val="0"/>
          <w:numId w:val="1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Recovery of Compensation</w:t>
      </w:r>
    </w:p>
    <w:p>
      <w:pPr>
        <w:spacing w:after="0" w:line="188" w:lineRule="exact"/>
        <w:rPr>
          <w:sz w:val="20"/>
          <w:szCs w:val="20"/>
          <w:color w:val="auto"/>
        </w:rPr>
      </w:pPr>
    </w:p>
    <w:p>
      <w:pPr>
        <w:ind w:firstLine="750"/>
        <w:spacing w:after="0" w:line="281" w:lineRule="auto"/>
        <w:rPr>
          <w:sz w:val="20"/>
          <w:szCs w:val="20"/>
          <w:color w:val="auto"/>
        </w:rPr>
      </w:pPr>
      <w:r>
        <w:rPr>
          <w:rFonts w:ascii="Arial" w:cs="Arial" w:eastAsia="Arial" w:hAnsi="Arial"/>
          <w:sz w:val="18"/>
          <w:szCs w:val="18"/>
          <w:color w:val="auto"/>
        </w:rPr>
        <w:t>The Committee, in its sole discretion, can determine that the Company should recover any or all Recoverable Compensation, unless the Committee has determined that recovery would be Impracticable, from any or all Senior Officers in the event of the following:</w:t>
      </w:r>
    </w:p>
    <w:p>
      <w:pPr>
        <w:spacing w:after="0" w:line="125" w:lineRule="exact"/>
        <w:rPr>
          <w:sz w:val="20"/>
          <w:szCs w:val="20"/>
          <w:color w:val="auto"/>
        </w:rPr>
      </w:pPr>
    </w:p>
    <w:p>
      <w:pPr>
        <w:ind w:left="1500" w:hanging="374"/>
        <w:spacing w:after="0" w:line="253" w:lineRule="auto"/>
        <w:tabs>
          <w:tab w:leader="none" w:pos="1500" w:val="left"/>
        </w:tabs>
        <w:numPr>
          <w:ilvl w:val="0"/>
          <w:numId w:val="158"/>
        </w:numPr>
        <w:rPr>
          <w:rFonts w:ascii="Arial" w:cs="Arial" w:eastAsia="Arial" w:hAnsi="Arial"/>
          <w:sz w:val="19"/>
          <w:szCs w:val="19"/>
          <w:b w:val="1"/>
          <w:bCs w:val="1"/>
          <w:color w:val="auto"/>
        </w:rPr>
      </w:pPr>
      <w:r>
        <w:rPr>
          <w:rFonts w:ascii="Arial" w:cs="Arial" w:eastAsia="Arial" w:hAnsi="Arial"/>
          <w:sz w:val="19"/>
          <w:szCs w:val="19"/>
          <w:color w:val="auto"/>
        </w:rPr>
        <w:t>From any or all Senior Officers if the Company is required to prepare a Restatement, regardless of whether the Senior Officer engaged in conduct that caused or contributed to the Restatement; and</w:t>
      </w:r>
    </w:p>
    <w:p>
      <w:pPr>
        <w:spacing w:after="0" w:line="351" w:lineRule="exact"/>
        <w:rPr>
          <w:rFonts w:ascii="Arial" w:cs="Arial" w:eastAsia="Arial" w:hAnsi="Arial"/>
          <w:sz w:val="19"/>
          <w:szCs w:val="19"/>
          <w:b w:val="1"/>
          <w:bCs w:val="1"/>
          <w:color w:val="auto"/>
        </w:rPr>
      </w:pPr>
    </w:p>
    <w:p>
      <w:pPr>
        <w:jc w:val="both"/>
        <w:ind w:left="1500" w:hanging="374"/>
        <w:spacing w:after="0" w:line="229" w:lineRule="auto"/>
        <w:tabs>
          <w:tab w:leader="none" w:pos="1500" w:val="left"/>
        </w:tabs>
        <w:numPr>
          <w:ilvl w:val="0"/>
          <w:numId w:val="158"/>
        </w:numPr>
        <w:rPr>
          <w:rFonts w:ascii="Arial" w:cs="Arial" w:eastAsia="Arial" w:hAnsi="Arial"/>
          <w:sz w:val="19"/>
          <w:szCs w:val="19"/>
          <w:b w:val="1"/>
          <w:bCs w:val="1"/>
          <w:color w:val="auto"/>
        </w:rPr>
      </w:pPr>
      <w:r>
        <w:rPr>
          <w:rFonts w:ascii="Arial" w:cs="Arial" w:eastAsia="Arial" w:hAnsi="Arial"/>
          <w:sz w:val="19"/>
          <w:szCs w:val="19"/>
          <w:color w:val="auto"/>
        </w:rPr>
        <w:t>From a Senior Officer who commits an intentional and verified violation of the Company’s Code of Conduct that causes material financial or reputational harm to the Company or would cause material reputational harm to the Company.</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Recoverable Compensation</w:t>
      </w:r>
      <w:r>
        <w:rPr>
          <w:rFonts w:ascii="Arial" w:cs="Arial" w:eastAsia="Arial" w:hAnsi="Arial"/>
          <w:sz w:val="19"/>
          <w:szCs w:val="19"/>
          <w:color w:val="auto"/>
        </w:rPr>
        <w:t>” means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986790</wp:posOffset>
            </wp:positionV>
            <wp:extent cx="7165975" cy="412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131" w:name="page132"/>
    <w:bookmarkEnd w:id="131"/>
    <w:p>
      <w:pPr>
        <w:jc w:val="both"/>
        <w:ind w:left="1120" w:hanging="369"/>
        <w:spacing w:after="0" w:line="234" w:lineRule="auto"/>
        <w:tabs>
          <w:tab w:leader="none" w:pos="112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 the event of a Restatement, the amount of Performance-Based Compensation received by a current or former Senior Officer that exceeds the amount of Performance-Based Compensation that would have been received by such current or former Senior Officer based on a restated Financial Reporting Measure, as determined on a pre-tax basis in accordance with the Applicable Rules; or</w:t>
      </w:r>
    </w:p>
    <w:p>
      <w:pPr>
        <w:spacing w:after="0" w:line="366" w:lineRule="exact"/>
        <w:rPr>
          <w:rFonts w:ascii="Arial" w:cs="Arial" w:eastAsia="Arial" w:hAnsi="Arial"/>
          <w:sz w:val="19"/>
          <w:szCs w:val="19"/>
          <w:color w:val="auto"/>
        </w:rPr>
      </w:pPr>
    </w:p>
    <w:p>
      <w:pPr>
        <w:jc w:val="both"/>
        <w:ind w:left="1120" w:hanging="369"/>
        <w:spacing w:after="0" w:line="245" w:lineRule="auto"/>
        <w:tabs>
          <w:tab w:leader="none" w:pos="11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event of violation of the Code of Conduct, any or all Performance-Based Compensation received by the Senior Officer in the three years immediately preceding the Committee’s determination of a violation; provided that, the Company</w:t>
      </w:r>
    </w:p>
    <w:p>
      <w:pPr>
        <w:ind w:left="1120"/>
        <w:spacing w:after="0" w:line="224" w:lineRule="auto"/>
        <w:rPr>
          <w:sz w:val="20"/>
          <w:szCs w:val="20"/>
          <w:color w:val="auto"/>
        </w:rPr>
      </w:pPr>
      <w:r>
        <w:rPr>
          <w:rFonts w:ascii="Arial" w:cs="Arial" w:eastAsia="Arial" w:hAnsi="Arial"/>
          <w:sz w:val="19"/>
          <w:szCs w:val="19"/>
          <w:color w:val="auto"/>
        </w:rPr>
        <w:t>shall not recover any Performance-Based Compensation received prior to the qualifying violation.</w:t>
      </w:r>
    </w:p>
    <w:p>
      <w:pPr>
        <w:spacing w:after="0" w:line="1" w:lineRule="exact"/>
        <w:rPr>
          <w:sz w:val="20"/>
          <w:szCs w:val="20"/>
          <w:color w:val="auto"/>
        </w:rPr>
      </w:pPr>
    </w:p>
    <w:p>
      <w:pPr>
        <w:ind w:firstLine="750"/>
        <w:spacing w:after="0" w:line="236" w:lineRule="auto"/>
        <w:rPr>
          <w:sz w:val="20"/>
          <w:szCs w:val="20"/>
          <w:color w:val="auto"/>
        </w:rPr>
      </w:pPr>
      <w:r>
        <w:rPr>
          <w:rFonts w:ascii="Arial" w:cs="Arial" w:eastAsia="Arial" w:hAnsi="Arial"/>
          <w:sz w:val="19"/>
          <w:szCs w:val="19"/>
          <w:color w:val="auto"/>
        </w:rPr>
        <w:t>For avoidance of doubt, the Committee’s decision to recoup Recoverable Compensation does not preclude other appropriate disciplinary actions as determined by the Committee and the Board, up to and including termination.</w:t>
      </w:r>
    </w:p>
    <w:p>
      <w:pPr>
        <w:spacing w:after="0" w:line="162" w:lineRule="exact"/>
        <w:rPr>
          <w:sz w:val="20"/>
          <w:szCs w:val="20"/>
          <w:color w:val="auto"/>
        </w:rPr>
      </w:pPr>
    </w:p>
    <w:p>
      <w:pPr>
        <w:ind w:left="420" w:hanging="418"/>
        <w:spacing w:after="0"/>
        <w:tabs>
          <w:tab w:leader="none" w:pos="420" w:val="left"/>
        </w:tabs>
        <w:numPr>
          <w:ilvl w:val="0"/>
          <w:numId w:val="1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Manner of Recovery; Limitation on Duplicative Recovery</w:t>
      </w:r>
    </w:p>
    <w:p>
      <w:pPr>
        <w:spacing w:after="0" w:line="188" w:lineRule="exact"/>
        <w:rPr>
          <w:sz w:val="20"/>
          <w:szCs w:val="20"/>
          <w:color w:val="auto"/>
        </w:rPr>
      </w:pPr>
    </w:p>
    <w:p>
      <w:pPr>
        <w:jc w:val="both"/>
        <w:ind w:firstLine="750"/>
        <w:spacing w:after="0" w:line="228" w:lineRule="auto"/>
        <w:rPr>
          <w:sz w:val="20"/>
          <w:szCs w:val="20"/>
          <w:color w:val="auto"/>
        </w:rPr>
      </w:pPr>
      <w:r>
        <w:rPr>
          <w:rFonts w:ascii="Arial" w:cs="Arial" w:eastAsia="Arial" w:hAnsi="Arial"/>
          <w:sz w:val="19"/>
          <w:szCs w:val="19"/>
          <w:color w:val="auto"/>
        </w:rPr>
        <w:t>The Committee shall, in its sole discretion, determine the manner of recovery of any Recoverable Compensation, which may include, without limitation, reduction or cancellation by the Company or an affiliate of the Company of equity awards or annual performance-based short-term incentive bonus payments, or reimbursement or repayment by any person subject to this Policy of the Recoverable Compensation, and, to the extent permitted by law, an offset of the Recoverable Compensation against other compensation payable by the Company or an affiliate of the Company to such person. Notwithstanding the foregoing, unless otherwise prohibited by the Applicable Rules, to the extent this Policy provides for recovery of Recoverable Compensation already recovered by the Company pursuant to Section 304 of the Sarbanes-Oxley Act of 2002 or Other Recovery Arrangements, the amount of Recoverable Compensation already recovered by the Company from the recipient of such Recoverable Compensation may be credited to the amount of Recoverable Compensation required to be recovered pursuant to this Policy from such person.</w:t>
      </w:r>
    </w:p>
    <w:p>
      <w:pPr>
        <w:spacing w:after="0" w:line="163" w:lineRule="exact"/>
        <w:rPr>
          <w:sz w:val="20"/>
          <w:szCs w:val="20"/>
          <w:color w:val="auto"/>
        </w:rPr>
      </w:pPr>
    </w:p>
    <w:p>
      <w:pPr>
        <w:ind w:left="420" w:hanging="418"/>
        <w:spacing w:after="0"/>
        <w:tabs>
          <w:tab w:leader="none" w:pos="420" w:val="left"/>
        </w:tabs>
        <w:numPr>
          <w:ilvl w:val="0"/>
          <w:numId w:val="1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Administration</w:t>
      </w:r>
    </w:p>
    <w:p>
      <w:pPr>
        <w:spacing w:after="0" w:line="188" w:lineRule="exact"/>
        <w:rPr>
          <w:sz w:val="20"/>
          <w:szCs w:val="20"/>
          <w:color w:val="auto"/>
        </w:rPr>
      </w:pPr>
    </w:p>
    <w:p>
      <w:pPr>
        <w:jc w:val="both"/>
        <w:ind w:firstLine="750"/>
        <w:spacing w:after="0" w:line="229" w:lineRule="auto"/>
        <w:rPr>
          <w:sz w:val="20"/>
          <w:szCs w:val="20"/>
          <w:color w:val="auto"/>
        </w:rPr>
      </w:pPr>
      <w:r>
        <w:rPr>
          <w:rFonts w:ascii="Arial" w:cs="Arial" w:eastAsia="Arial" w:hAnsi="Arial"/>
          <w:sz w:val="19"/>
          <w:szCs w:val="19"/>
          <w:color w:val="auto"/>
        </w:rPr>
        <w:t>The Board has delegated to the Committee the authority to administer, interpret and construe this Policy, and the Committee is authorized to make all determinations necessary, appropriate or advisable for such purpose. The Committee may delegate administrative duties with respect to this Policy to one or more directors or employees of the Company, as permitted under applicable law, including any Applicable Rules. The Board may re-vest in itself the authority to administer, interpret and construe this Policy in accordance with applicable law, and in such event references herein to the “Committee” will be deemed to be references to the Board. Subject to any permitted review by the NYSE pursuant to the Applicable Rules, all determinations and decisions made by the Committee pursuant to the provisions of this Policy will be final, conclusive and binding on all persons, including the Company and its affiliates, shareholders and employees.</w:t>
      </w:r>
    </w:p>
    <w:p>
      <w:pPr>
        <w:spacing w:after="0" w:line="160" w:lineRule="exact"/>
        <w:rPr>
          <w:sz w:val="20"/>
          <w:szCs w:val="20"/>
          <w:color w:val="auto"/>
        </w:rPr>
      </w:pPr>
    </w:p>
    <w:p>
      <w:pPr>
        <w:ind w:left="420" w:hanging="418"/>
        <w:spacing w:after="0"/>
        <w:tabs>
          <w:tab w:leader="none" w:pos="420"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Interpretation</w:t>
      </w:r>
    </w:p>
    <w:p>
      <w:pPr>
        <w:spacing w:after="0" w:line="188" w:lineRule="exact"/>
        <w:rPr>
          <w:sz w:val="20"/>
          <w:szCs w:val="20"/>
          <w:color w:val="auto"/>
        </w:rPr>
      </w:pPr>
    </w:p>
    <w:p>
      <w:pPr>
        <w:jc w:val="both"/>
        <w:ind w:firstLine="750"/>
        <w:spacing w:after="0" w:line="238" w:lineRule="auto"/>
        <w:rPr>
          <w:sz w:val="20"/>
          <w:szCs w:val="20"/>
          <w:color w:val="auto"/>
        </w:rPr>
      </w:pPr>
      <w:r>
        <w:rPr>
          <w:rFonts w:ascii="Arial" w:cs="Arial" w:eastAsia="Arial" w:hAnsi="Arial"/>
          <w:sz w:val="19"/>
          <w:szCs w:val="19"/>
          <w:color w:val="auto"/>
        </w:rPr>
        <w:t>This Policy will be interpreted and applied in a manner that is consistent with the requirements of the Applicable Rules, and to the extent this Policy is inconsistent with such Applicable Rules, it will be deemed amended to the minimum extent necessary to ensure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990600</wp:posOffset>
            </wp:positionV>
            <wp:extent cx="7165975" cy="4127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2" w:name="page133"/>
    <w:bookmarkEnd w:id="132"/>
    <w:p>
      <w:pPr>
        <w:ind w:left="420" w:hanging="418"/>
        <w:spacing w:after="0"/>
        <w:tabs>
          <w:tab w:leader="none" w:pos="420" w:val="left"/>
        </w:tabs>
        <w:numPr>
          <w:ilvl w:val="0"/>
          <w:numId w:val="1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Indemnification; No Liability</w:t>
      </w:r>
    </w:p>
    <w:p>
      <w:pPr>
        <w:spacing w:after="0" w:line="188" w:lineRule="exact"/>
        <w:rPr>
          <w:sz w:val="20"/>
          <w:szCs w:val="20"/>
          <w:color w:val="auto"/>
        </w:rPr>
      </w:pPr>
    </w:p>
    <w:p>
      <w:pPr>
        <w:jc w:val="both"/>
        <w:ind w:firstLine="750"/>
        <w:spacing w:after="0" w:line="232" w:lineRule="auto"/>
        <w:rPr>
          <w:sz w:val="20"/>
          <w:szCs w:val="20"/>
          <w:color w:val="auto"/>
        </w:rPr>
      </w:pPr>
      <w:r>
        <w:rPr>
          <w:rFonts w:ascii="Arial" w:cs="Arial" w:eastAsia="Arial" w:hAnsi="Arial"/>
          <w:sz w:val="19"/>
          <w:szCs w:val="19"/>
          <w:color w:val="auto"/>
        </w:rPr>
        <w:t>The Company shall not indemnify or insure any person against the loss of any Recoverable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will have any liability to any person as a result of actions taken under this Policy.</w:t>
      </w:r>
    </w:p>
    <w:p>
      <w:pPr>
        <w:spacing w:after="0" w:line="162" w:lineRule="exact"/>
        <w:rPr>
          <w:sz w:val="20"/>
          <w:szCs w:val="20"/>
          <w:color w:val="auto"/>
        </w:rPr>
      </w:pPr>
    </w:p>
    <w:p>
      <w:pPr>
        <w:ind w:left="420" w:hanging="418"/>
        <w:spacing w:after="0"/>
        <w:tabs>
          <w:tab w:leader="none" w:pos="420" w:val="left"/>
        </w:tabs>
        <w:numPr>
          <w:ilvl w:val="0"/>
          <w:numId w:val="1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Application; Enforceability</w:t>
      </w:r>
    </w:p>
    <w:p>
      <w:pPr>
        <w:spacing w:after="0" w:line="188" w:lineRule="exact"/>
        <w:rPr>
          <w:sz w:val="20"/>
          <w:szCs w:val="20"/>
          <w:color w:val="auto"/>
        </w:rPr>
      </w:pPr>
    </w:p>
    <w:p>
      <w:pPr>
        <w:jc w:val="both"/>
        <w:ind w:firstLine="750"/>
        <w:spacing w:after="0" w:line="234" w:lineRule="auto"/>
        <w:rPr>
          <w:sz w:val="20"/>
          <w:szCs w:val="20"/>
          <w:color w:val="auto"/>
        </w:rPr>
      </w:pPr>
      <w:r>
        <w:rPr>
          <w:rFonts w:ascii="Arial" w:cs="Arial" w:eastAsia="Arial" w:hAnsi="Arial"/>
          <w:sz w:val="19"/>
          <w:szCs w:val="19"/>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Arial" w:cs="Arial" w:eastAsia="Arial" w:hAnsi="Arial"/>
          <w:sz w:val="19"/>
          <w:szCs w:val="19"/>
          <w:b w:val="1"/>
          <w:bCs w:val="1"/>
          <w:i w:val="1"/>
          <w:iCs w:val="1"/>
          <w:color w:val="auto"/>
        </w:rPr>
        <w:t>Other Recovery Arrangements</w:t>
      </w:r>
      <w:r>
        <w:rPr>
          <w:rFonts w:ascii="Arial" w:cs="Arial" w:eastAsia="Arial" w:hAnsi="Arial"/>
          <w:sz w:val="19"/>
          <w:szCs w:val="19"/>
          <w:color w:val="auto"/>
        </w:rPr>
        <w:t>”).</w:t>
      </w:r>
    </w:p>
    <w:p>
      <w:pPr>
        <w:spacing w:after="0" w:line="153" w:lineRule="exact"/>
        <w:rPr>
          <w:sz w:val="20"/>
          <w:szCs w:val="20"/>
          <w:color w:val="auto"/>
        </w:rPr>
      </w:pPr>
    </w:p>
    <w:p>
      <w:pPr>
        <w:ind w:left="420" w:hanging="418"/>
        <w:spacing w:after="0"/>
        <w:tabs>
          <w:tab w:leader="none" w:pos="420" w:val="left"/>
        </w:tabs>
        <w:numPr>
          <w:ilvl w:val="0"/>
          <w:numId w:val="1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p>
    <w:p>
      <w:pPr>
        <w:spacing w:after="0" w:line="188" w:lineRule="exact"/>
        <w:rPr>
          <w:sz w:val="20"/>
          <w:szCs w:val="20"/>
          <w:color w:val="auto"/>
        </w:rPr>
      </w:pPr>
    </w:p>
    <w:p>
      <w:pPr>
        <w:jc w:val="both"/>
        <w:ind w:firstLine="750"/>
        <w:spacing w:after="0" w:line="234" w:lineRule="auto"/>
        <w:rPr>
          <w:sz w:val="20"/>
          <w:szCs w:val="20"/>
          <w:color w:val="auto"/>
        </w:rPr>
      </w:pPr>
      <w:r>
        <w:rPr>
          <w:rFonts w:ascii="Arial" w:cs="Arial" w:eastAsia="Arial" w:hAnsi="Arial"/>
          <w:sz w:val="19"/>
          <w:szCs w:val="19"/>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will automatically be deemed amended in a manner consistent with its objectives to the extent necessary to conform to any limitations required under applicable law.</w:t>
      </w:r>
    </w:p>
    <w:p>
      <w:pPr>
        <w:spacing w:after="0" w:line="163" w:lineRule="exact"/>
        <w:rPr>
          <w:sz w:val="20"/>
          <w:szCs w:val="20"/>
          <w:color w:val="auto"/>
        </w:rPr>
      </w:pPr>
    </w:p>
    <w:p>
      <w:pPr>
        <w:ind w:left="420" w:hanging="418"/>
        <w:spacing w:after="0"/>
        <w:tabs>
          <w:tab w:leader="none" w:pos="420" w:val="left"/>
        </w:tabs>
        <w:numPr>
          <w:ilvl w:val="0"/>
          <w:numId w:val="1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Termination</w:t>
      </w:r>
    </w:p>
    <w:p>
      <w:pPr>
        <w:spacing w:after="0" w:line="188" w:lineRule="exact"/>
        <w:rPr>
          <w:sz w:val="20"/>
          <w:szCs w:val="20"/>
          <w:color w:val="auto"/>
        </w:rPr>
      </w:pPr>
    </w:p>
    <w:p>
      <w:pPr>
        <w:ind w:firstLine="750"/>
        <w:spacing w:after="0" w:line="281" w:lineRule="auto"/>
        <w:rPr>
          <w:sz w:val="20"/>
          <w:szCs w:val="20"/>
          <w:color w:val="auto"/>
        </w:rPr>
      </w:pPr>
      <w:r>
        <w:rPr>
          <w:rFonts w:ascii="Arial" w:cs="Arial" w:eastAsia="Arial" w:hAnsi="Arial"/>
          <w:sz w:val="18"/>
          <w:szCs w:val="18"/>
          <w:color w:val="auto"/>
        </w:rPr>
        <w:t>The Board or the Committee may amend, modify or terminate this Policy in whole or in part at any time and from time to time in its sole discretion. This Policy will terminate automatically when the Company does not have a class of securities listed on the NYSE.</w:t>
      </w:r>
    </w:p>
    <w:p>
      <w:pPr>
        <w:spacing w:after="0" w:line="125" w:lineRule="exact"/>
        <w:rPr>
          <w:sz w:val="20"/>
          <w:szCs w:val="20"/>
          <w:color w:val="auto"/>
        </w:rPr>
      </w:pPr>
    </w:p>
    <w:p>
      <w:pPr>
        <w:ind w:left="420" w:hanging="418"/>
        <w:spacing w:after="0"/>
        <w:tabs>
          <w:tab w:leader="none" w:pos="420" w:val="left"/>
        </w:tabs>
        <w:numPr>
          <w:ilvl w:val="0"/>
          <w:numId w:val="1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p>
    <w:p>
      <w:pPr>
        <w:spacing w:after="0" w:line="124" w:lineRule="exact"/>
        <w:rPr>
          <w:sz w:val="20"/>
          <w:szCs w:val="20"/>
          <w:color w:val="auto"/>
        </w:rPr>
      </w:pPr>
    </w:p>
    <w:p>
      <w:pPr>
        <w:jc w:val="both"/>
        <w:ind w:firstLine="426"/>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Rules</w:t>
      </w:r>
      <w:r>
        <w:rPr>
          <w:rFonts w:ascii="Arial" w:cs="Arial" w:eastAsia="Arial" w:hAnsi="Arial"/>
          <w:sz w:val="19"/>
          <w:szCs w:val="19"/>
          <w:color w:val="auto"/>
        </w:rPr>
        <w:t>” means Section 10D of the Exchange Act, Rule 10D-1 promulgated thereunder, the listing rules of the NYSE, and any applicable rules, standards or other guidance adopted by the US Securities and Exchange Commission or the NYSE.</w:t>
      </w:r>
    </w:p>
    <w:p>
      <w:pPr>
        <w:spacing w:after="0" w:line="72" w:lineRule="exact"/>
        <w:rPr>
          <w:sz w:val="20"/>
          <w:szCs w:val="20"/>
          <w:color w:val="auto"/>
        </w:rPr>
      </w:pPr>
    </w:p>
    <w:p>
      <w:pPr>
        <w:jc w:val="both"/>
        <w:ind w:firstLine="750"/>
        <w:spacing w:after="0" w:line="253" w:lineRule="auto"/>
        <w:rPr>
          <w:sz w:val="20"/>
          <w:szCs w:val="20"/>
          <w:color w:val="auto"/>
        </w:rPr>
      </w:pPr>
      <w:r>
        <w:rPr>
          <w:rFonts w:ascii="Arial" w:cs="Arial" w:eastAsia="Arial" w:hAnsi="Arial"/>
          <w:sz w:val="19"/>
          <w:szCs w:val="19"/>
          <w:b w:val="1"/>
          <w:bCs w:val="1"/>
          <w:i w:val="1"/>
          <w:iCs w:val="1"/>
          <w:color w:val="auto"/>
        </w:rPr>
        <w:t xml:space="preserve">“Code of Conduct” </w:t>
      </w:r>
      <w:r>
        <w:rPr>
          <w:rFonts w:ascii="Arial" w:cs="Arial" w:eastAsia="Arial" w:hAnsi="Arial"/>
          <w:sz w:val="19"/>
          <w:szCs w:val="19"/>
          <w:color w:val="auto"/>
        </w:rPr>
        <w:t>means the Company’s code of conduct posted on its website at https://www.slb.com/about/who-we-are/our-code-of-conduct.</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w:t>
      </w:r>
    </w:p>
    <w:p>
      <w:pPr>
        <w:spacing w:after="0" w:line="188" w:lineRule="exact"/>
        <w:rPr>
          <w:sz w:val="20"/>
          <w:szCs w:val="20"/>
          <w:color w:val="auto"/>
        </w:rPr>
      </w:pPr>
    </w:p>
    <w:p>
      <w:pPr>
        <w:jc w:val="both"/>
        <w:ind w:firstLine="750"/>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Financial Reporting Measure</w:t>
      </w:r>
      <w:r>
        <w:rPr>
          <w:rFonts w:ascii="Arial" w:cs="Arial" w:eastAsia="Arial" w:hAnsi="Arial"/>
          <w:sz w:val="19"/>
          <w:szCs w:val="19"/>
          <w:color w:val="auto"/>
        </w:rPr>
        <w:t>” means any measure determined and presented in accordance with the accounting principles used in preparing the Company’s financial statements, and any measures derived wholly or in part from such measures, including GAAP and non-GAAP financial measures, as well as stock or share price and total shareholder return.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United States generally accepted accounting principles.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Impracticable</w:t>
      </w:r>
      <w:r>
        <w:rPr>
          <w:rFonts w:ascii="Arial" w:cs="Arial" w:eastAsia="Arial" w:hAnsi="Arial"/>
          <w:sz w:val="19"/>
          <w:szCs w:val="19"/>
          <w:color w:val="auto"/>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1006475</wp:posOffset>
            </wp:positionV>
            <wp:extent cx="7165975" cy="412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133" w:name="page134"/>
    <w:bookmarkEnd w:id="133"/>
    <w:p>
      <w:pPr>
        <w:ind w:firstLine="751"/>
        <w:spacing w:after="0" w:line="253" w:lineRule="auto"/>
        <w:tabs>
          <w:tab w:leader="none" w:pos="103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the direct costs paid to third parties to assist in enforcing recovery would exceed the Recoverable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has:</w:t>
      </w:r>
    </w:p>
    <w:p>
      <w:pPr>
        <w:spacing w:after="0" w:line="148" w:lineRule="exact"/>
        <w:rPr>
          <w:rFonts w:ascii="Arial" w:cs="Arial" w:eastAsia="Arial" w:hAnsi="Arial"/>
          <w:sz w:val="19"/>
          <w:szCs w:val="19"/>
          <w:color w:val="auto"/>
        </w:rPr>
      </w:pPr>
    </w:p>
    <w:p>
      <w:pPr>
        <w:ind w:left="1720" w:hanging="219"/>
        <w:spacing w:after="0"/>
        <w:tabs>
          <w:tab w:leader="none" w:pos="172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made reasonable attempts to recover the Recoverable Compensation;</w:t>
      </w:r>
    </w:p>
    <w:p>
      <w:pPr>
        <w:spacing w:after="0" w:line="2" w:lineRule="exact"/>
        <w:rPr>
          <w:rFonts w:ascii="Arial" w:cs="Arial" w:eastAsia="Arial" w:hAnsi="Arial"/>
          <w:sz w:val="19"/>
          <w:szCs w:val="19"/>
          <w:color w:val="auto"/>
        </w:rPr>
      </w:pPr>
    </w:p>
    <w:p>
      <w:pPr>
        <w:ind w:left="1760" w:hanging="259"/>
        <w:spacing w:after="0" w:line="223" w:lineRule="auto"/>
        <w:tabs>
          <w:tab w:leader="none" w:pos="176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documented such attempt(s); and</w:t>
      </w:r>
    </w:p>
    <w:p>
      <w:pPr>
        <w:ind w:left="1800" w:hanging="299"/>
        <w:spacing w:after="0"/>
        <w:tabs>
          <w:tab w:leader="none" w:pos="18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provided such documentation to the NYSE; or</w:t>
      </w:r>
    </w:p>
    <w:p>
      <w:pPr>
        <w:spacing w:after="0" w:line="169" w:lineRule="exact"/>
        <w:rPr>
          <w:rFonts w:ascii="Arial" w:cs="Arial" w:eastAsia="Arial" w:hAnsi="Arial"/>
          <w:sz w:val="19"/>
          <w:szCs w:val="19"/>
          <w:color w:val="auto"/>
        </w:rPr>
      </w:pPr>
    </w:p>
    <w:p>
      <w:pPr>
        <w:jc w:val="both"/>
        <w:ind w:firstLine="751"/>
        <w:spacing w:after="0" w:line="281" w:lineRule="auto"/>
        <w:tabs>
          <w:tab w:leader="none" w:pos="10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NYSE</w:t>
      </w:r>
      <w:r>
        <w:rPr>
          <w:rFonts w:ascii="Arial" w:cs="Arial" w:eastAsia="Arial" w:hAnsi="Arial"/>
          <w:sz w:val="19"/>
          <w:szCs w:val="19"/>
          <w:color w:val="auto"/>
        </w:rPr>
        <w:t>” means the New York Stock Exchange.</w:t>
      </w:r>
    </w:p>
    <w:p>
      <w:pPr>
        <w:spacing w:after="0" w:line="188" w:lineRule="exact"/>
        <w:rPr>
          <w:sz w:val="20"/>
          <w:szCs w:val="20"/>
          <w:color w:val="auto"/>
        </w:rPr>
      </w:pPr>
    </w:p>
    <w:p>
      <w:pPr>
        <w:jc w:val="both"/>
        <w:ind w:firstLine="75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Performance-Based Compensation</w:t>
      </w:r>
      <w:r>
        <w:rPr>
          <w:rFonts w:ascii="Arial" w:cs="Arial" w:eastAsia="Arial" w:hAnsi="Arial"/>
          <w:sz w:val="18"/>
          <w:szCs w:val="18"/>
          <w:color w:val="auto"/>
        </w:rPr>
        <w:t>” means, with respect to a Restatement, any compensation that is granted, earned, or vested based wholly or in part upon the attainment of one or more Financial Reporting Measures and received by a person: (a) after beginning service as a Senior Officer; (b) who served as a Senior Officer at any time during the performance period for that compensation; (c) while the Company has a class of its securities listed on the NYSE; and (d) during the applicable Three-Year Period.</w:t>
      </w:r>
    </w:p>
    <w:p>
      <w:pPr>
        <w:spacing w:after="0" w:line="153" w:lineRule="exact"/>
        <w:rPr>
          <w:sz w:val="20"/>
          <w:szCs w:val="20"/>
          <w:color w:val="auto"/>
        </w:rPr>
      </w:pPr>
    </w:p>
    <w:p>
      <w:pPr>
        <w:jc w:val="both"/>
        <w:ind w:firstLine="750"/>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Restatement</w:t>
      </w:r>
      <w:r>
        <w:rPr>
          <w:rFonts w:ascii="Arial" w:cs="Arial" w:eastAsia="Arial" w:hAnsi="Arial"/>
          <w:sz w:val="19"/>
          <w:szCs w:val="19"/>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63" w:lineRule="exact"/>
        <w:rPr>
          <w:sz w:val="20"/>
          <w:szCs w:val="20"/>
          <w:color w:val="auto"/>
        </w:rPr>
      </w:pPr>
    </w:p>
    <w:p>
      <w:pPr>
        <w:jc w:val="both"/>
        <w:ind w:firstLine="750"/>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Three-Year Period</w:t>
      </w:r>
      <w:r>
        <w:rPr>
          <w:rFonts w:ascii="Arial" w:cs="Arial" w:eastAsia="Arial" w:hAnsi="Arial"/>
          <w:sz w:val="19"/>
          <w:szCs w:val="19"/>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Approved by the Board of Directors: October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1214755</wp:posOffset>
            </wp:positionV>
            <wp:extent cx="7165975" cy="412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34" w:name="page135"/>
    <w:bookmarkEnd w:id="1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1)"/>
      <w:numFmt w:val="decimal"/>
      <w:start w:val="1"/>
    </w:lvl>
  </w:abstractNum>
  <w:abstractNum w:abstractNumId="12">
    <w:nsid w:val="2DF6D648"/>
    <w:multiLevelType w:val="hybridMultilevel"/>
    <w:lvl w:ilvl="0">
      <w:lvlJc w:val="left"/>
      <w:lvlText w:val="(%1)"/>
      <w:numFmt w:val="decimal"/>
      <w:start w:val="1"/>
    </w:lvl>
  </w:abstractNum>
  <w:abstractNum w:abstractNumId="13">
    <w:nsid w:val="46B7D447"/>
    <w:multiLevelType w:val="hybridMultilevel"/>
    <w:lvl w:ilvl="0">
      <w:lvlJc w:val="left"/>
      <w:lvlText w:val="(%1)"/>
      <w:numFmt w:val="decimal"/>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1)"/>
      <w:numFmt w:val="decimal"/>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1)"/>
      <w:numFmt w:val="decimal"/>
      <w:start w:val="1"/>
    </w:lvl>
  </w:abstractNum>
  <w:abstractNum w:abstractNumId="21">
    <w:nsid w:val="7F01579B"/>
    <w:multiLevelType w:val="hybridMultilevel"/>
    <w:lvl w:ilvl="0">
      <w:lvlJc w:val="left"/>
      <w:lvlText w:val="%1."/>
      <w:numFmt w:val="decimal"/>
      <w:start w:val="1"/>
    </w:lvl>
  </w:abstractNum>
  <w:abstractNum w:abstractNumId="22">
    <w:nsid w:val="49DA307D"/>
    <w:multiLevelType w:val="hybridMultilevel"/>
    <w:lvl w:ilvl="0">
      <w:lvlJc w:val="left"/>
      <w:lvlText w:val="%1."/>
      <w:numFmt w:val="decimal"/>
      <w:start w:val="2"/>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1."/>
      <w:numFmt w:val="decimal"/>
      <w:start w:val="3"/>
    </w:lvl>
    <w:lvl w:ilvl="1">
      <w:lvlJc w:val="left"/>
      <w:lvlText w:val="•"/>
      <w:numFmt w:val="bullet"/>
      <w:start w:val="1"/>
    </w:lvl>
  </w:abstractNum>
  <w:abstractNum w:abstractNumId="27">
    <w:nsid w:val="5FB8011C"/>
    <w:multiLevelType w:val="hybridMultilevel"/>
    <w:lvl w:ilvl="0">
      <w:lvlJc w:val="left"/>
      <w:lvlText w:val="%1."/>
      <w:numFmt w:val="decimal"/>
      <w:start w:val="6"/>
    </w:lvl>
  </w:abstractNum>
  <w:abstractNum w:abstractNumId="28">
    <w:nsid w:val="6AA78F7F"/>
    <w:multiLevelType w:val="hybridMultilevel"/>
    <w:lvl w:ilvl="0">
      <w:lvlJc w:val="left"/>
      <w:lvlText w:val="(%1)"/>
      <w:numFmt w:val="decimal"/>
      <w:start w:val="1"/>
    </w:lvl>
  </w:abstractNum>
  <w:abstractNum w:abstractNumId="29">
    <w:nsid w:val="7672BD23"/>
    <w:multiLevelType w:val="hybridMultilevel"/>
    <w:lvl w:ilvl="0">
      <w:lvlJc w:val="left"/>
      <w:lvlText w:val="(%1)"/>
      <w:numFmt w:val="decimal"/>
      <w:start w:val="1"/>
    </w:lvl>
  </w:abstractNum>
  <w:abstractNum w:abstractNumId="30">
    <w:nsid w:val="6FC75AF8"/>
    <w:multiLevelType w:val="hybridMultilevel"/>
    <w:lvl w:ilvl="0">
      <w:lvlJc w:val="left"/>
      <w:lvlText w:val="%1."/>
      <w:numFmt w:val="decimal"/>
      <w:start w:val="7"/>
    </w:lvl>
  </w:abstractNum>
  <w:abstractNum w:abstractNumId="31">
    <w:nsid w:val="6A5F7029"/>
    <w:multiLevelType w:val="hybridMultilevel"/>
    <w:lvl w:ilvl="0">
      <w:lvlJc w:val="left"/>
      <w:lvlText w:val="%1."/>
      <w:numFmt w:val="decimal"/>
      <w:start w:val="8"/>
    </w:lvl>
  </w:abstractNum>
  <w:abstractNum w:abstractNumId="32">
    <w:nsid w:val="7D5E18F8"/>
    <w:multiLevelType w:val="hybridMultilevel"/>
    <w:lvl w:ilvl="0">
      <w:lvlJc w:val="left"/>
      <w:lvlText w:val="%1."/>
      <w:numFmt w:val="decimal"/>
      <w:start w:val="9"/>
    </w:lvl>
  </w:abstractNum>
  <w:abstractNum w:abstractNumId="33">
    <w:nsid w:val="5F3534A4"/>
    <w:multiLevelType w:val="hybridMultilevel"/>
    <w:lvl w:ilvl="0">
      <w:lvlJc w:val="left"/>
      <w:lvlText w:val="%1."/>
      <w:numFmt w:val="decimal"/>
      <w:start w:val="10"/>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1."/>
      <w:numFmt w:val="decimal"/>
      <w:start w:val="11"/>
    </w:lvl>
  </w:abstractNum>
  <w:abstractNum w:abstractNumId="36">
    <w:nsid w:val="555C55B5"/>
    <w:multiLevelType w:val="hybridMultilevel"/>
    <w:lvl w:ilvl="0">
      <w:lvlJc w:val="left"/>
      <w:lvlText w:val="%1."/>
      <w:numFmt w:val="decimal"/>
      <w:start w:val="12"/>
    </w:lvl>
  </w:abstractNum>
  <w:abstractNum w:abstractNumId="37">
    <w:nsid w:val="3FA62ACA"/>
    <w:multiLevelType w:val="hybridMultilevel"/>
    <w:lvl w:ilvl="0">
      <w:lvlJc w:val="left"/>
      <w:lvlText w:val="%1."/>
      <w:numFmt w:val="decimal"/>
      <w:start w:val="13"/>
    </w:lvl>
  </w:abstractNum>
  <w:abstractNum w:abstractNumId="38">
    <w:nsid w:val="14FCE74E"/>
    <w:multiLevelType w:val="hybridMultilevel"/>
    <w:lvl w:ilvl="0">
      <w:lvlJc w:val="left"/>
      <w:lvlText w:val="%1."/>
      <w:numFmt w:val="decimal"/>
      <w:start w:val="14"/>
    </w:lvl>
  </w:abstractNum>
  <w:abstractNum w:abstractNumId="39">
    <w:nsid w:val="6A3DD3E8"/>
    <w:multiLevelType w:val="hybridMultilevel"/>
    <w:lvl w:ilvl="0">
      <w:lvlJc w:val="left"/>
      <w:lvlText w:val="%1."/>
      <w:numFmt w:val="decimal"/>
      <w:start w:val="15"/>
    </w:lvl>
  </w:abstractNum>
  <w:abstractNum w:abstractNumId="40">
    <w:nsid w:val="71C91298"/>
    <w:multiLevelType w:val="hybridMultilevel"/>
    <w:lvl w:ilvl="0">
      <w:lvlJc w:val="left"/>
      <w:lvlText w:val="%1."/>
      <w:numFmt w:val="decimal"/>
      <w:start w:val="16"/>
    </w:lvl>
  </w:abstractNum>
  <w:abstractNum w:abstractNumId="41">
    <w:nsid w:val="9DAF632"/>
    <w:multiLevelType w:val="hybridMultilevel"/>
    <w:lvl w:ilvl="0">
      <w:lvlJc w:val="left"/>
      <w:lvlText w:val="•"/>
      <w:numFmt w:val="bullet"/>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1)"/>
      <w:numFmt w:val="decimal"/>
      <w:start w:val="1"/>
    </w:lvl>
  </w:abstractNum>
  <w:abstractNum w:abstractNumId="44">
    <w:nsid w:val="5092CA79"/>
    <w:multiLevelType w:val="hybridMultilevel"/>
    <w:lvl w:ilvl="0">
      <w:lvlJc w:val="left"/>
      <w:lvlText w:val="%1."/>
      <w:numFmt w:val="decimal"/>
      <w:start w:val="17"/>
    </w:lvl>
  </w:abstractNum>
  <w:abstractNum w:abstractNumId="45">
    <w:nsid w:val="1D545C4D"/>
    <w:multiLevelType w:val="hybridMultilevel"/>
    <w:lvl w:ilvl="0">
      <w:lvlJc w:val="left"/>
      <w:lvlText w:val="•"/>
      <w:numFmt w:val="bullet"/>
      <w:start w:val="1"/>
    </w:lvl>
  </w:abstractNum>
  <w:abstractNum w:abstractNumId="46">
    <w:nsid w:val="59ADEA3D"/>
    <w:multiLevelType w:val="hybridMultilevel"/>
    <w:lvl w:ilvl="0">
      <w:lvlJc w:val="left"/>
      <w:lvlText w:val="%1"/>
      <w:numFmt w:val="lowerLetter"/>
      <w:start w:val="1"/>
    </w:lvl>
    <w:lvl w:ilvl="1">
      <w:lvlJc w:val="left"/>
      <w:lvlText w:val="(%2)"/>
      <w:numFmt w:val="decimal"/>
      <w:start w:val="2"/>
    </w:lvl>
  </w:abstractNum>
  <w:abstractNum w:abstractNumId="47">
    <w:nsid w:val="288F1A34"/>
    <w:multiLevelType w:val="hybridMultilevel"/>
    <w:lvl w:ilvl="0">
      <w:lvlJc w:val="left"/>
      <w:lvlText w:val="(%1)"/>
      <w:numFmt w:val="lowerLetter"/>
      <w:start w:val="2"/>
    </w:lvl>
    <w:lvl w:ilvl="1">
      <w:lvlJc w:val="left"/>
      <w:lvlText w:val="%2"/>
      <w:numFmt w:val="decimal"/>
      <w:start w:val="1"/>
    </w:lvl>
  </w:abstractNum>
  <w:abstractNum w:abstractNumId="48">
    <w:nsid w:val="2A155DBC"/>
    <w:multiLevelType w:val="hybridMultilevel"/>
    <w:lvl w:ilvl="0">
      <w:lvlJc w:val="left"/>
      <w:lvlText w:val="%1."/>
      <w:numFmt w:val="decimal"/>
      <w:start w:val="1"/>
    </w:lvl>
  </w:abstractNum>
  <w:abstractNum w:abstractNumId="49">
    <w:nsid w:val="1D9F6E5F"/>
    <w:multiLevelType w:val="hybridMultilevel"/>
    <w:lvl w:ilvl="0">
      <w:lvlJc w:val="left"/>
      <w:lvlText w:val="(%1)"/>
      <w:numFmt w:val="lowerLetter"/>
      <w:start w:val="1"/>
    </w:lvl>
  </w:abstractNum>
  <w:abstractNum w:abstractNumId="50">
    <w:nsid w:val="97E1B4E"/>
    <w:multiLevelType w:val="hybridMultilevel"/>
    <w:lvl w:ilvl="0">
      <w:lvlJc w:val="left"/>
      <w:lvlText w:val="(%1)"/>
      <w:numFmt w:val="lowerLetter"/>
      <w:start w:val="2"/>
    </w:lvl>
  </w:abstractNum>
  <w:abstractNum w:abstractNumId="51">
    <w:nsid w:val="51088277"/>
    <w:multiLevelType w:val="hybridMultilevel"/>
    <w:lvl w:ilvl="0">
      <w:lvlJc w:val="left"/>
      <w:lvlText w:val="%1."/>
      <w:numFmt w:val="decimal"/>
      <w:start w:val="2"/>
    </w:lvl>
  </w:abstractNum>
  <w:abstractNum w:abstractNumId="52">
    <w:nsid w:val="1CA0C5FA"/>
    <w:multiLevelType w:val="hybridMultilevel"/>
    <w:lvl w:ilvl="0">
      <w:lvlJc w:val="left"/>
      <w:lvlText w:val="%1."/>
      <w:numFmt w:val="decimal"/>
      <w:start w:val="3"/>
    </w:lvl>
  </w:abstractNum>
  <w:abstractNum w:abstractNumId="53">
    <w:nsid w:val="53584BCB"/>
    <w:multiLevelType w:val="hybridMultilevel"/>
    <w:lvl w:ilvl="0">
      <w:lvlJc w:val="left"/>
      <w:lvlText w:val="(%1)"/>
      <w:numFmt w:val="lowerLetter"/>
      <w:start w:val="1"/>
    </w:lvl>
  </w:abstractNum>
  <w:abstractNum w:abstractNumId="54">
    <w:nsid w:val="415E286C"/>
    <w:multiLevelType w:val="hybridMultilevel"/>
    <w:lvl w:ilvl="0">
      <w:lvlJc w:val="left"/>
      <w:lvlText w:val="%1."/>
      <w:numFmt w:val="decimal"/>
      <w:start w:val="4"/>
    </w:lvl>
  </w:abstractNum>
  <w:abstractNum w:abstractNumId="55">
    <w:nsid w:val="7C58FD05"/>
    <w:multiLevelType w:val="hybridMultilevel"/>
    <w:lvl w:ilvl="0">
      <w:lvlJc w:val="left"/>
      <w:lvlText w:val="(%1)"/>
      <w:numFmt w:val="lowerLetter"/>
      <w:start w:val="1"/>
    </w:lvl>
  </w:abstractNum>
  <w:abstractNum w:abstractNumId="56">
    <w:nsid w:val="23D86AAC"/>
    <w:multiLevelType w:val="hybridMultilevel"/>
    <w:lvl w:ilvl="0">
      <w:lvlJc w:val="left"/>
      <w:lvlText w:val="%1."/>
      <w:numFmt w:val="decimal"/>
      <w:start w:val="5"/>
    </w:lvl>
  </w:abstractNum>
  <w:abstractNum w:abstractNumId="57">
    <w:nsid w:val="45E6D486"/>
    <w:multiLevelType w:val="hybridMultilevel"/>
    <w:lvl w:ilvl="0">
      <w:lvlJc w:val="left"/>
      <w:lvlText w:val="%1"/>
      <w:numFmt w:val="lowerLetter"/>
      <w:start w:val="1"/>
    </w:lvl>
    <w:lvl w:ilvl="1">
      <w:lvlJc w:val="left"/>
      <w:lvlText w:val="(%2)"/>
      <w:numFmt w:val="lowerLetter"/>
      <w:start w:val="1"/>
    </w:lvl>
  </w:abstractNum>
  <w:abstractNum w:abstractNumId="58">
    <w:nsid w:val="5C10FE21"/>
    <w:multiLevelType w:val="hybridMultilevel"/>
    <w:lvl w:ilvl="0">
      <w:lvlJc w:val="left"/>
      <w:lvlText w:val="(%1)"/>
      <w:numFmt w:val="lowerLetter"/>
      <w:start w:val="9"/>
    </w:lvl>
    <w:lvl w:ilvl="1">
      <w:lvlJc w:val="left"/>
      <w:lvlText w:val="%2"/>
      <w:numFmt w:val="lowerLetter"/>
      <w:start w:val="1"/>
    </w:lvl>
  </w:abstractNum>
  <w:abstractNum w:abstractNumId="59">
    <w:nsid w:val="E7FFA2B"/>
    <w:multiLevelType w:val="hybridMultilevel"/>
    <w:lvl w:ilvl="0">
      <w:lvlJc w:val="left"/>
      <w:lvlText w:val="(%1)"/>
      <w:numFmt w:val="lowerLetter"/>
      <w:start w:val="35"/>
    </w:lvl>
    <w:lvl w:ilvl="1">
      <w:lvlJc w:val="left"/>
      <w:lvlText w:val="(%2)"/>
      <w:numFmt w:val="lowerLetter"/>
      <w:start w:val="2"/>
    </w:lvl>
  </w:abstractNum>
  <w:abstractNum w:abstractNumId="60">
    <w:nsid w:val="3C5991AA"/>
    <w:multiLevelType w:val="hybridMultilevel"/>
    <w:lvl w:ilvl="0">
      <w:lvlJc w:val="left"/>
      <w:lvlText w:val="%1."/>
      <w:numFmt w:val="decimal"/>
      <w:start w:val="7"/>
    </w:lvl>
  </w:abstractNum>
  <w:abstractNum w:abstractNumId="61">
    <w:nsid w:val="4BD8591A"/>
    <w:multiLevelType w:val="hybridMultilevel"/>
    <w:lvl w:ilvl="0">
      <w:lvlJc w:val="left"/>
      <w:lvlText w:val="%1."/>
      <w:numFmt w:val="decimal"/>
      <w:start w:val="9"/>
    </w:lvl>
  </w:abstractNum>
  <w:abstractNum w:abstractNumId="62">
    <w:nsid w:val="78DF6A55"/>
    <w:multiLevelType w:val="hybridMultilevel"/>
    <w:lvl w:ilvl="0">
      <w:lvlJc w:val="left"/>
      <w:lvlText w:val="(%1)"/>
      <w:numFmt w:val="lowerLetter"/>
      <w:start w:val="1"/>
    </w:lvl>
  </w:abstractNum>
  <w:abstractNum w:abstractNumId="63">
    <w:nsid w:val="39B7AAA2"/>
    <w:multiLevelType w:val="hybridMultilevel"/>
    <w:lvl w:ilvl="0">
      <w:lvlJc w:val="left"/>
      <w:lvlText w:val="%1."/>
      <w:numFmt w:val="decimal"/>
      <w:start w:val="11"/>
    </w:lvl>
  </w:abstractNum>
  <w:abstractNum w:abstractNumId="64">
    <w:nsid w:val="2B0D8DBE"/>
    <w:multiLevelType w:val="hybridMultilevel"/>
    <w:lvl w:ilvl="0">
      <w:lvlJc w:val="left"/>
      <w:lvlText w:val="(%1)"/>
      <w:numFmt w:val="lowerLetter"/>
      <w:start w:val="1"/>
    </w:lvl>
  </w:abstractNum>
  <w:abstractNum w:abstractNumId="65">
    <w:nsid w:val="6C80EC70"/>
    <w:multiLevelType w:val="hybridMultilevel"/>
    <w:lvl w:ilvl="0">
      <w:lvlJc w:val="left"/>
      <w:lvlText w:val="(%1)"/>
      <w:numFmt w:val="lowerLetter"/>
      <w:start w:val="9"/>
    </w:lvl>
  </w:abstractNum>
  <w:abstractNum w:abstractNumId="66">
    <w:nsid w:val="379E21B5"/>
    <w:multiLevelType w:val="hybridMultilevel"/>
    <w:lvl w:ilvl="0">
      <w:lvlJc w:val="left"/>
      <w:lvlText w:val="%1"/>
      <w:numFmt w:val="upperLetter"/>
      <w:start w:val="1"/>
    </w:lvl>
    <w:lvl w:ilvl="1">
      <w:lvlJc w:val="left"/>
      <w:lvlText w:val="(%2)"/>
      <w:numFmt w:val="lowerLetter"/>
      <w:start w:val="14"/>
    </w:lvl>
  </w:abstractNum>
  <w:abstractNum w:abstractNumId="67">
    <w:nsid w:val="69E373"/>
    <w:multiLevelType w:val="hybridMultilevel"/>
    <w:lvl w:ilvl="0">
      <w:lvlJc w:val="left"/>
      <w:lvlText w:val="(%1)"/>
      <w:numFmt w:val="upperLetter"/>
      <w:start w:val="2"/>
    </w:lvl>
    <w:lvl w:ilvl="1">
      <w:lvlJc w:val="left"/>
      <w:lvlText w:val="(%2)"/>
      <w:numFmt w:val="lowerLetter"/>
      <w:start w:val="18"/>
    </w:lvl>
  </w:abstractNum>
  <w:abstractNum w:abstractNumId="68">
    <w:nsid w:val="2C27173B"/>
    <w:multiLevelType w:val="hybridMultilevel"/>
    <w:lvl w:ilvl="0">
      <w:lvlJc w:val="left"/>
      <w:lvlText w:val="(%1)"/>
      <w:numFmt w:val="lowerLetter"/>
      <w:start w:val="21"/>
    </w:lvl>
  </w:abstractNum>
  <w:abstractNum w:abstractNumId="69">
    <w:nsid w:val="4C9B0904"/>
    <w:multiLevelType w:val="hybridMultilevel"/>
    <w:lvl w:ilvl="0">
      <w:lvlJc w:val="left"/>
      <w:lvlText w:val="%1."/>
      <w:numFmt w:val="decimal"/>
      <w:start w:val="12"/>
    </w:lvl>
  </w:abstractNum>
  <w:abstractNum w:abstractNumId="70">
    <w:nsid w:val="6AA7B75C"/>
    <w:multiLevelType w:val="hybridMultilevel"/>
    <w:lvl w:ilvl="0">
      <w:lvlJc w:val="left"/>
      <w:lvlText w:val="(%1)"/>
      <w:numFmt w:val="lowerLetter"/>
      <w:start w:val="1"/>
    </w:lvl>
  </w:abstractNum>
  <w:abstractNum w:abstractNumId="71">
    <w:nsid w:val="1DF029D3"/>
    <w:multiLevelType w:val="hybridMultilevel"/>
    <w:lvl w:ilvl="0">
      <w:lvlJc w:val="left"/>
      <w:lvlText w:val="(%1)"/>
      <w:numFmt w:val="lowerRoman"/>
      <w:start w:val="1"/>
    </w:lvl>
  </w:abstractNum>
  <w:abstractNum w:abstractNumId="72">
    <w:nsid w:val="5675FF36"/>
    <w:multiLevelType w:val="hybridMultilevel"/>
    <w:lvl w:ilvl="0">
      <w:lvlJc w:val="left"/>
      <w:lvlText w:val="%1."/>
      <w:numFmt w:val="decimal"/>
      <w:start w:val="14"/>
    </w:lvl>
  </w:abstractNum>
  <w:abstractNum w:abstractNumId="73">
    <w:nsid w:val="3DD15094"/>
    <w:multiLevelType w:val="hybridMultilevel"/>
    <w:lvl w:ilvl="0">
      <w:lvlJc w:val="left"/>
      <w:lvlText w:val="%1."/>
      <w:numFmt w:val="decimal"/>
      <w:start w:val="19"/>
    </w:lvl>
  </w:abstractNum>
  <w:abstractNum w:abstractNumId="74">
    <w:nsid w:val="3DB012B3"/>
    <w:multiLevelType w:val="hybridMultilevel"/>
    <w:lvl w:ilvl="0">
      <w:lvlJc w:val="left"/>
      <w:lvlText w:val="(%1)"/>
      <w:numFmt w:val="lowerLetter"/>
      <w:start w:val="1"/>
    </w:lvl>
  </w:abstractNum>
  <w:abstractNum w:abstractNumId="75">
    <w:nsid w:val="2708C9AF"/>
    <w:multiLevelType w:val="hybridMultilevel"/>
    <w:lvl w:ilvl="0">
      <w:lvlJc w:val="left"/>
      <w:lvlText w:val="%1"/>
      <w:numFmt w:val="decimal"/>
      <w:start w:val="1"/>
    </w:lvl>
    <w:lvl w:ilvl="1">
      <w:lvlJc w:val="left"/>
      <w:lvlText w:val="%2."/>
      <w:numFmt w:val="decimal"/>
      <w:start w:val="20"/>
    </w:lvl>
  </w:abstractNum>
  <w:abstractNum w:abstractNumId="76">
    <w:nsid w:val="5B25ACE2"/>
    <w:multiLevelType w:val="hybridMultilevel"/>
    <w:lvl w:ilvl="0">
      <w:lvlJc w:val="left"/>
      <w:lvlText w:val="%1."/>
      <w:numFmt w:val="decimal"/>
      <w:start w:val="21"/>
    </w:lvl>
    <w:lvl w:ilvl="1">
      <w:lvlJc w:val="left"/>
      <w:lvlText w:val="%2"/>
      <w:numFmt w:val="decimal"/>
      <w:start w:val="1"/>
    </w:lvl>
  </w:abstractNum>
  <w:abstractNum w:abstractNumId="77">
    <w:nsid w:val="175DFCF0"/>
    <w:multiLevelType w:val="hybridMultilevel"/>
    <w:lvl w:ilvl="0">
      <w:lvlJc w:val="left"/>
      <w:lvlText w:val="(%1)"/>
      <w:numFmt w:val="lowerLetter"/>
      <w:start w:val="1"/>
    </w:lvl>
  </w:abstractNum>
  <w:abstractNum w:abstractNumId="78">
    <w:nsid w:val="4F97E3E4"/>
    <w:multiLevelType w:val="hybridMultilevel"/>
    <w:lvl w:ilvl="0">
      <w:lvlJc w:val="left"/>
      <w:lvlText w:val="%1."/>
      <w:numFmt w:val="decimal"/>
      <w:start w:val="22"/>
    </w:lvl>
  </w:abstractNum>
  <w:abstractNum w:abstractNumId="79">
    <w:nsid w:val="53B0A9E"/>
    <w:multiLevelType w:val="hybridMultilevel"/>
    <w:lvl w:ilvl="0">
      <w:lvlJc w:val="left"/>
      <w:lvlText w:val="(%1)"/>
      <w:numFmt w:val="lowerLetter"/>
      <w:start w:val="1"/>
    </w:lvl>
  </w:abstractNum>
  <w:abstractNum w:abstractNumId="80">
    <w:nsid w:val="34FD6B4F"/>
    <w:multiLevelType w:val="hybridMultilevel"/>
    <w:lvl w:ilvl="0">
      <w:lvlJc w:val="left"/>
      <w:lvlText w:val="%1."/>
      <w:numFmt w:val="decimal"/>
      <w:start w:val="23"/>
    </w:lvl>
  </w:abstractNum>
  <w:abstractNum w:abstractNumId="81">
    <w:nsid w:val="5915FF32"/>
    <w:multiLevelType w:val="hybridMultilevel"/>
    <w:lvl w:ilvl="0">
      <w:lvlJc w:val="left"/>
      <w:lvlText w:val="(%1)"/>
      <w:numFmt w:val="lowerLetter"/>
      <w:start w:val="1"/>
    </w:lvl>
  </w:abstractNum>
  <w:abstractNum w:abstractNumId="82">
    <w:nsid w:val="56438D15"/>
    <w:multiLevelType w:val="hybridMultilevel"/>
    <w:lvl w:ilvl="0">
      <w:lvlJc w:val="left"/>
      <w:lvlText w:val="(%1)"/>
      <w:numFmt w:val="lowerLetter"/>
      <w:start w:val="2"/>
    </w:lvl>
  </w:abstractNum>
  <w:abstractNum w:abstractNumId="83">
    <w:nsid w:val="519E3149"/>
    <w:multiLevelType w:val="hybridMultilevel"/>
    <w:lvl w:ilvl="0">
      <w:lvlJc w:val="left"/>
      <w:lvlText w:val="%1."/>
      <w:numFmt w:val="decimal"/>
      <w:start w:val="24"/>
    </w:lvl>
  </w:abstractNum>
  <w:abstractNum w:abstractNumId="84">
    <w:nsid w:val="2C6E4AFD"/>
    <w:multiLevelType w:val="hybridMultilevel"/>
    <w:lvl w:ilvl="0">
      <w:lvlJc w:val="left"/>
      <w:lvlText w:val="(%1)"/>
      <w:numFmt w:val="lowerLetter"/>
      <w:start w:val="1"/>
    </w:lvl>
  </w:abstractNum>
  <w:abstractNum w:abstractNumId="85">
    <w:nsid w:val="17A1B582"/>
    <w:multiLevelType w:val="hybridMultilevel"/>
    <w:lvl w:ilvl="0">
      <w:lvlJc w:val="left"/>
      <w:lvlText w:val="(%1)"/>
      <w:numFmt w:val="lowerLetter"/>
      <w:start w:val="3"/>
    </w:lvl>
  </w:abstractNum>
  <w:abstractNum w:abstractNumId="86">
    <w:nsid w:val="4DF72E4E"/>
    <w:multiLevelType w:val="hybridMultilevel"/>
    <w:lvl w:ilvl="0">
      <w:lvlJc w:val="left"/>
      <w:lvlText w:val="%1."/>
      <w:numFmt w:val="decimal"/>
      <w:start w:val="25"/>
    </w:lvl>
  </w:abstractNum>
  <w:abstractNum w:abstractNumId="87">
    <w:nsid w:val="5046B5A9"/>
    <w:multiLevelType w:val="hybridMultilevel"/>
    <w:lvl w:ilvl="0">
      <w:lvlJc w:val="left"/>
      <w:lvlText w:val="(%1)"/>
      <w:numFmt w:val="lowerLetter"/>
      <w:start w:val="1"/>
    </w:lvl>
  </w:abstractNum>
  <w:abstractNum w:abstractNumId="88">
    <w:nsid w:val="5D888A08"/>
    <w:multiLevelType w:val="hybridMultilevel"/>
    <w:lvl w:ilvl="0">
      <w:lvlJc w:val="left"/>
      <w:lvlText w:val="%1."/>
      <w:numFmt w:val="decimal"/>
      <w:start w:val="26"/>
    </w:lvl>
  </w:abstractNum>
  <w:abstractNum w:abstractNumId="89">
    <w:nsid w:val="2A082C70"/>
    <w:multiLevelType w:val="hybridMultilevel"/>
    <w:lvl w:ilvl="0">
      <w:lvlJc w:val="left"/>
      <w:lvlText w:val="(%1)"/>
      <w:numFmt w:val="lowerLetter"/>
      <w:start w:val="1"/>
    </w:lvl>
  </w:abstractNum>
  <w:abstractNum w:abstractNumId="90">
    <w:nsid w:val="5EC6AFD4"/>
    <w:multiLevelType w:val="hybridMultilevel"/>
    <w:lvl w:ilvl="0">
      <w:lvlJc w:val="left"/>
      <w:lvlText w:val="(%1)"/>
      <w:numFmt w:val="lowerLetter"/>
      <w:start w:val="2"/>
    </w:lvl>
  </w:abstractNum>
  <w:abstractNum w:abstractNumId="91">
    <w:nsid w:val="19E21BB2"/>
    <w:multiLevelType w:val="hybridMultilevel"/>
    <w:lvl w:ilvl="0">
      <w:lvlJc w:val="left"/>
      <w:lvlText w:val="%1."/>
      <w:numFmt w:val="decimal"/>
      <w:start w:val="27"/>
    </w:lvl>
  </w:abstractNum>
  <w:abstractNum w:abstractNumId="92">
    <w:nsid w:val="75E0858A"/>
    <w:multiLevelType w:val="hybridMultilevel"/>
    <w:lvl w:ilvl="0">
      <w:lvlJc w:val="left"/>
      <w:lvlText w:val="(%1)"/>
      <w:numFmt w:val="lowerLetter"/>
      <w:start w:val="1"/>
    </w:lvl>
  </w:abstractNum>
  <w:abstractNum w:abstractNumId="93">
    <w:nsid w:val="57A61A29"/>
    <w:multiLevelType w:val="hybridMultilevel"/>
    <w:lvl w:ilvl="0">
      <w:lvlJc w:val="left"/>
      <w:lvlText w:val="(%1)"/>
      <w:numFmt w:val="lowerLetter"/>
      <w:start w:val="5"/>
    </w:lvl>
  </w:abstractNum>
  <w:abstractNum w:abstractNumId="94">
    <w:nsid w:val="5399C654"/>
    <w:multiLevelType w:val="hybridMultilevel"/>
    <w:lvl w:ilvl="0">
      <w:lvlJc w:val="left"/>
      <w:lvlText w:val="(%1)"/>
      <w:numFmt w:val="lowerRoman"/>
      <w:start w:val="1"/>
    </w:lvl>
  </w:abstractNum>
  <w:abstractNum w:abstractNumId="95">
    <w:nsid w:val="20EE1348"/>
    <w:multiLevelType w:val="hybridMultilevel"/>
    <w:lvl w:ilvl="0">
      <w:lvlJc w:val="left"/>
      <w:lvlText w:val="(%1)"/>
      <w:numFmt w:val="lowerLetter"/>
      <w:start w:val="1"/>
    </w:lvl>
  </w:abstractNum>
  <w:abstractNum w:abstractNumId="96">
    <w:nsid w:val="4427069A"/>
    <w:multiLevelType w:val="hybridMultilevel"/>
    <w:lvl w:ilvl="0">
      <w:lvlJc w:val="left"/>
      <w:lvlText w:val="(%1)"/>
      <w:numFmt w:val="lowerLetter"/>
      <w:start w:val="1"/>
    </w:lvl>
  </w:abstractNum>
  <w:abstractNum w:abstractNumId="97">
    <w:nsid w:val="B37E80A"/>
    <w:multiLevelType w:val="hybridMultilevel"/>
    <w:lvl w:ilvl="0">
      <w:lvlJc w:val="left"/>
      <w:lvlText w:val="(%1)"/>
      <w:numFmt w:val="decimal"/>
      <w:start w:val="2"/>
    </w:lvl>
  </w:abstractNum>
  <w:abstractNum w:abstractNumId="98">
    <w:nsid w:val="2157F6BC"/>
    <w:multiLevelType w:val="hybridMultilevel"/>
    <w:lvl w:ilvl="0">
      <w:lvlJc w:val="left"/>
      <w:lvlText w:val="%1."/>
      <w:numFmt w:val="decimal"/>
      <w:start w:val="1"/>
    </w:lvl>
  </w:abstractNum>
  <w:abstractNum w:abstractNumId="99">
    <w:nsid w:val="704E1DD5"/>
    <w:multiLevelType w:val="hybridMultilevel"/>
    <w:lvl w:ilvl="0">
      <w:lvlJc w:val="left"/>
      <w:lvlText w:val="(%1)"/>
      <w:numFmt w:val="lowerLetter"/>
      <w:start w:val="1"/>
    </w:lvl>
  </w:abstractNum>
  <w:abstractNum w:abstractNumId="100">
    <w:nsid w:val="57D2F10E"/>
    <w:multiLevelType w:val="hybridMultilevel"/>
    <w:lvl w:ilvl="0">
      <w:lvlJc w:val="left"/>
      <w:lvlText w:val="(%1)"/>
      <w:numFmt w:val="lowerLetter"/>
      <w:start w:val="2"/>
    </w:lvl>
  </w:abstractNum>
  <w:abstractNum w:abstractNumId="101">
    <w:nsid w:val="BFFAE18"/>
    <w:multiLevelType w:val="hybridMultilevel"/>
    <w:lvl w:ilvl="0">
      <w:lvlJc w:val="left"/>
      <w:lvlText w:val="%1."/>
      <w:numFmt w:val="decimal"/>
      <w:start w:val="2"/>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decimal"/>
      <w:start w:val="4"/>
    </w:lvl>
  </w:abstractNum>
  <w:abstractNum w:abstractNumId="104">
    <w:nsid w:val="49D0FEAC"/>
    <w:multiLevelType w:val="hybridMultilevel"/>
    <w:lvl w:ilvl="0">
      <w:lvlJc w:val="left"/>
      <w:lvlText w:val="(%1)"/>
      <w:numFmt w:val="lowerLetter"/>
      <w:start w:val="1"/>
    </w:lvl>
  </w:abstractNum>
  <w:abstractNum w:abstractNumId="105">
    <w:nsid w:val="4BEE5A5B"/>
    <w:multiLevelType w:val="hybridMultilevel"/>
    <w:lvl w:ilvl="0">
      <w:lvlJc w:val="left"/>
      <w:lvlText w:val="%1."/>
      <w:numFmt w:val="decimal"/>
      <w:start w:val="5"/>
    </w:lvl>
  </w:abstractNum>
  <w:abstractNum w:abstractNumId="106">
    <w:nsid w:val="5551B9F3"/>
    <w:multiLevelType w:val="hybridMultilevel"/>
    <w:lvl w:ilvl="0">
      <w:lvlJc w:val="left"/>
      <w:lvlText w:val="(%1)"/>
      <w:numFmt w:val="lowerLetter"/>
      <w:start w:val="1"/>
    </w:lvl>
  </w:abstractNum>
  <w:abstractNum w:abstractNumId="107">
    <w:nsid w:val="24F6AB8E"/>
    <w:multiLevelType w:val="hybridMultilevel"/>
    <w:lvl w:ilvl="0">
      <w:lvlJc w:val="left"/>
      <w:lvlText w:val="(%1)"/>
      <w:numFmt w:val="lowerLetter"/>
      <w:start w:val="2"/>
    </w:lvl>
  </w:abstractNum>
  <w:abstractNum w:abstractNumId="108">
    <w:nsid w:val="634C574C"/>
    <w:multiLevelType w:val="hybridMultilevel"/>
    <w:lvl w:ilvl="0">
      <w:lvlJc w:val="left"/>
      <w:lvlText w:val="%1."/>
      <w:numFmt w:val="decimal"/>
      <w:start w:val="7"/>
    </w:lvl>
  </w:abstractNum>
  <w:abstractNum w:abstractNumId="109">
    <w:nsid w:val="24E99DD7"/>
    <w:multiLevelType w:val="hybridMultilevel"/>
    <w:lvl w:ilvl="0">
      <w:lvlJc w:val="left"/>
      <w:lvlText w:val="%1."/>
      <w:numFmt w:val="decimal"/>
      <w:start w:val="9"/>
    </w:lvl>
  </w:abstractNum>
  <w:abstractNum w:abstractNumId="110">
    <w:nsid w:val="2A31B62D"/>
    <w:multiLevelType w:val="hybridMultilevel"/>
    <w:lvl w:ilvl="0">
      <w:lvlJc w:val="left"/>
      <w:lvlText w:val="(%1)"/>
      <w:numFmt w:val="lowerLetter"/>
      <w:start w:val="1"/>
    </w:lvl>
  </w:abstractNum>
  <w:abstractNum w:abstractNumId="111">
    <w:nsid w:val="1849C29B"/>
    <w:multiLevelType w:val="hybridMultilevel"/>
    <w:lvl w:ilvl="0">
      <w:lvlJc w:val="left"/>
      <w:lvlText w:val="%1."/>
      <w:numFmt w:val="decimal"/>
      <w:start w:val="11"/>
    </w:lvl>
  </w:abstractNum>
  <w:abstractNum w:abstractNumId="112">
    <w:nsid w:val="7DFF9D09"/>
    <w:multiLevelType w:val="hybridMultilevel"/>
    <w:lvl w:ilvl="0">
      <w:lvlJc w:val="left"/>
      <w:lvlText w:val="(%1)"/>
      <w:numFmt w:val="lowerLetter"/>
      <w:start w:val="1"/>
    </w:lvl>
  </w:abstractNum>
  <w:abstractNum w:abstractNumId="113">
    <w:nsid w:val="754342"/>
    <w:multiLevelType w:val="hybridMultilevel"/>
    <w:lvl w:ilvl="0">
      <w:lvlJc w:val="left"/>
      <w:lvlText w:val="(%1)"/>
      <w:numFmt w:val="lowerLetter"/>
      <w:start w:val="9"/>
    </w:lvl>
  </w:abstractNum>
  <w:abstractNum w:abstractNumId="114">
    <w:nsid w:val="69E7F3E5"/>
    <w:multiLevelType w:val="hybridMultilevel"/>
    <w:lvl w:ilvl="0">
      <w:lvlJc w:val="left"/>
      <w:lvlText w:val="%1"/>
      <w:numFmt w:val="upperLetter"/>
      <w:start w:val="1"/>
    </w:lvl>
    <w:lvl w:ilvl="1">
      <w:lvlJc w:val="left"/>
      <w:lvlText w:val="(%2)"/>
      <w:numFmt w:val="lowerLetter"/>
      <w:start w:val="14"/>
    </w:lvl>
  </w:abstractNum>
  <w:abstractNum w:abstractNumId="115">
    <w:nsid w:val="2A6DE806"/>
    <w:multiLevelType w:val="hybridMultilevel"/>
    <w:lvl w:ilvl="0">
      <w:lvlJc w:val="left"/>
      <w:lvlText w:val="(%1)"/>
      <w:numFmt w:val="upperLetter"/>
      <w:start w:val="2"/>
    </w:lvl>
    <w:lvl w:ilvl="1">
      <w:lvlJc w:val="left"/>
      <w:lvlText w:val="(%2)"/>
      <w:numFmt w:val="lowerLetter"/>
      <w:start w:val="18"/>
    </w:lvl>
  </w:abstractNum>
  <w:abstractNum w:abstractNumId="116">
    <w:nsid w:val="1816F8C4"/>
    <w:multiLevelType w:val="hybridMultilevel"/>
    <w:lvl w:ilvl="0">
      <w:lvlJc w:val="left"/>
      <w:lvlText w:val="(%1)"/>
      <w:numFmt w:val="lowerLetter"/>
      <w:start w:val="21"/>
    </w:lvl>
  </w:abstractNum>
  <w:abstractNum w:abstractNumId="117">
    <w:nsid w:val="37DF2233"/>
    <w:multiLevelType w:val="hybridMultilevel"/>
    <w:lvl w:ilvl="0">
      <w:lvlJc w:val="left"/>
      <w:lvlText w:val="%1."/>
      <w:numFmt w:val="decimal"/>
      <w:start w:val="12"/>
    </w:lvl>
  </w:abstractNum>
  <w:abstractNum w:abstractNumId="118">
    <w:nsid w:val="7AB49DAF"/>
    <w:multiLevelType w:val="hybridMultilevel"/>
    <w:lvl w:ilvl="0">
      <w:lvlJc w:val="left"/>
      <w:lvlText w:val="(%1)"/>
      <w:numFmt w:val="lowerLetter"/>
      <w:start w:val="1"/>
    </w:lvl>
  </w:abstractNum>
  <w:abstractNum w:abstractNumId="119">
    <w:nsid w:val="759F82CD"/>
    <w:multiLevelType w:val="hybridMultilevel"/>
    <w:lvl w:ilvl="0">
      <w:lvlJc w:val="left"/>
      <w:lvlText w:val="(%1)"/>
      <w:numFmt w:val="lowerRoman"/>
      <w:start w:val="1"/>
    </w:lvl>
  </w:abstractNum>
  <w:abstractNum w:abstractNumId="120">
    <w:nsid w:val="61E74EA3"/>
    <w:multiLevelType w:val="hybridMultilevel"/>
    <w:lvl w:ilvl="0">
      <w:lvlJc w:val="left"/>
      <w:lvlText w:val="%1."/>
      <w:numFmt w:val="decimal"/>
      <w:start w:val="14"/>
    </w:lvl>
  </w:abstractNum>
  <w:abstractNum w:abstractNumId="121">
    <w:nsid w:val="597B4D84"/>
    <w:multiLevelType w:val="hybridMultilevel"/>
    <w:lvl w:ilvl="0">
      <w:lvlJc w:val="left"/>
      <w:lvlText w:val="%1."/>
      <w:numFmt w:val="decimal"/>
      <w:start w:val="19"/>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5"/>
    </w:lvl>
    <w:lvl w:ilvl="1">
      <w:lvlJc w:val="left"/>
      <w:lvlText w:val="%2."/>
      <w:numFmt w:val="decimal"/>
      <w:start w:val="20"/>
    </w:lvl>
  </w:abstractNum>
  <w:abstractNum w:abstractNumId="124">
    <w:nsid w:val="312167AD"/>
    <w:multiLevelType w:val="hybridMultilevel"/>
    <w:lvl w:ilvl="0">
      <w:lvlJc w:val="left"/>
      <w:lvlText w:val="%1."/>
      <w:numFmt w:val="decimal"/>
      <w:start w:val="21"/>
    </w:lvl>
  </w:abstractNum>
  <w:abstractNum w:abstractNumId="125">
    <w:nsid w:val="631B64D4"/>
    <w:multiLevelType w:val="hybridMultilevel"/>
    <w:lvl w:ilvl="0">
      <w:lvlJc w:val="left"/>
      <w:lvlText w:val="(%1)"/>
      <w:numFmt w:val="lowerLetter"/>
      <w:start w:val="1"/>
    </w:lvl>
  </w:abstractNum>
  <w:abstractNum w:abstractNumId="126">
    <w:nsid w:val="78B5E776"/>
    <w:multiLevelType w:val="hybridMultilevel"/>
    <w:lvl w:ilvl="0">
      <w:lvlJc w:val="left"/>
      <w:lvlText w:val="%1."/>
      <w:numFmt w:val="decimal"/>
      <w:start w:val="22"/>
    </w:lvl>
  </w:abstractNum>
  <w:abstractNum w:abstractNumId="127">
    <w:nsid w:val="75486E47"/>
    <w:multiLevelType w:val="hybridMultilevel"/>
    <w:lvl w:ilvl="0">
      <w:lvlJc w:val="left"/>
      <w:lvlText w:val="(%1)"/>
      <w:numFmt w:val="lowerLetter"/>
      <w:start w:val="1"/>
    </w:lvl>
  </w:abstractNum>
  <w:abstractNum w:abstractNumId="128">
    <w:nsid w:val="6E534CDE"/>
    <w:multiLevelType w:val="hybridMultilevel"/>
    <w:lvl w:ilvl="0">
      <w:lvlJc w:val="left"/>
      <w:lvlText w:val="%1."/>
      <w:numFmt w:val="decimal"/>
      <w:start w:val="23"/>
    </w:lvl>
  </w:abstractNum>
  <w:abstractNum w:abstractNumId="129">
    <w:nsid w:val="1A0DDE32"/>
    <w:multiLevelType w:val="hybridMultilevel"/>
    <w:lvl w:ilvl="0">
      <w:lvlJc w:val="left"/>
      <w:lvlText w:val="(%1)"/>
      <w:numFmt w:val="lowerLetter"/>
      <w:start w:val="1"/>
    </w:lvl>
  </w:abstractNum>
  <w:abstractNum w:abstractNumId="130">
    <w:nsid w:val="65968C1C"/>
    <w:multiLevelType w:val="hybridMultilevel"/>
    <w:lvl w:ilvl="0">
      <w:lvlJc w:val="left"/>
      <w:lvlText w:val="(%1)"/>
      <w:numFmt w:val="lowerLetter"/>
      <w:start w:val="2"/>
    </w:lvl>
  </w:abstractNum>
  <w:abstractNum w:abstractNumId="131">
    <w:nsid w:val="46263DEC"/>
    <w:multiLevelType w:val="hybridMultilevel"/>
    <w:lvl w:ilvl="0">
      <w:lvlJc w:val="left"/>
      <w:lvlText w:val="%1."/>
      <w:numFmt w:val="decimal"/>
      <w:start w:val="24"/>
    </w:lvl>
  </w:abstractNum>
  <w:abstractNum w:abstractNumId="132">
    <w:nsid w:val="260D8C4A"/>
    <w:multiLevelType w:val="hybridMultilevel"/>
    <w:lvl w:ilvl="0">
      <w:lvlJc w:val="left"/>
      <w:lvlText w:val="(%1)"/>
      <w:numFmt w:val="lowerLetter"/>
      <w:start w:val="1"/>
    </w:lvl>
  </w:abstractNum>
  <w:abstractNum w:abstractNumId="133">
    <w:nsid w:val="73D4D3C4"/>
    <w:multiLevelType w:val="hybridMultilevel"/>
    <w:lvl w:ilvl="0">
      <w:lvlJc w:val="left"/>
      <w:lvlText w:val="(%1)"/>
      <w:numFmt w:val="lowerLetter"/>
      <w:start w:val="3"/>
    </w:lvl>
  </w:abstractNum>
  <w:abstractNum w:abstractNumId="134">
    <w:nsid w:val="746F2E30"/>
    <w:multiLevelType w:val="hybridMultilevel"/>
    <w:lvl w:ilvl="0">
      <w:lvlJc w:val="left"/>
      <w:lvlText w:val="%1."/>
      <w:numFmt w:val="decimal"/>
      <w:start w:val="25"/>
    </w:lvl>
  </w:abstractNum>
  <w:abstractNum w:abstractNumId="135">
    <w:nsid w:val="6FDE8AF6"/>
    <w:multiLevelType w:val="hybridMultilevel"/>
    <w:lvl w:ilvl="0">
      <w:lvlJc w:val="left"/>
      <w:lvlText w:val="(%1)"/>
      <w:numFmt w:val="lowerLetter"/>
      <w:start w:val="1"/>
    </w:lvl>
  </w:abstractNum>
  <w:abstractNum w:abstractNumId="136">
    <w:nsid w:val="3FC32E20"/>
    <w:multiLevelType w:val="hybridMultilevel"/>
    <w:lvl w:ilvl="0">
      <w:lvlJc w:val="left"/>
      <w:lvlText w:val="%1."/>
      <w:numFmt w:val="decimal"/>
      <w:start w:val="26"/>
    </w:lvl>
  </w:abstractNum>
  <w:abstractNum w:abstractNumId="137">
    <w:nsid w:val="49C0E823"/>
    <w:multiLevelType w:val="hybridMultilevel"/>
    <w:lvl w:ilvl="0">
      <w:lvlJc w:val="left"/>
      <w:lvlText w:val="(%1)"/>
      <w:numFmt w:val="lowerLetter"/>
      <w:start w:val="1"/>
    </w:lvl>
  </w:abstractNum>
  <w:abstractNum w:abstractNumId="138">
    <w:nsid w:val="14D53685"/>
    <w:multiLevelType w:val="hybridMultilevel"/>
    <w:lvl w:ilvl="0">
      <w:lvlJc w:val="left"/>
      <w:lvlText w:val="(%1)"/>
      <w:numFmt w:val="lowerLetter"/>
      <w:start w:val="2"/>
    </w:lvl>
  </w:abstractNum>
  <w:abstractNum w:abstractNumId="139">
    <w:nsid w:val="230F856C"/>
    <w:multiLevelType w:val="hybridMultilevel"/>
    <w:lvl w:ilvl="0">
      <w:lvlJc w:val="left"/>
      <w:lvlText w:val="%1."/>
      <w:numFmt w:val="decimal"/>
      <w:start w:val="27"/>
    </w:lvl>
  </w:abstractNum>
  <w:abstractNum w:abstractNumId="140">
    <w:nsid w:val="6EAA85FB"/>
    <w:multiLevelType w:val="hybridMultilevel"/>
    <w:lvl w:ilvl="0">
      <w:lvlJc w:val="left"/>
      <w:lvlText w:val="(%1)"/>
      <w:numFmt w:val="lowerLetter"/>
      <w:start w:val="1"/>
    </w:lvl>
  </w:abstractNum>
  <w:abstractNum w:abstractNumId="141">
    <w:nsid w:val="3F06ECB2"/>
    <w:multiLevelType w:val="hybridMultilevel"/>
    <w:lvl w:ilvl="0">
      <w:lvlJc w:val="left"/>
      <w:lvlText w:val="(%1)"/>
      <w:numFmt w:val="lowerLetter"/>
      <w:start w:val="5"/>
    </w:lvl>
  </w:abstractNum>
  <w:abstractNum w:abstractNumId="142">
    <w:nsid w:val="3B594807"/>
    <w:multiLevelType w:val="hybridMultilevel"/>
    <w:lvl w:ilvl="0">
      <w:lvlJc w:val="left"/>
      <w:lvlText w:val="(%1)"/>
      <w:numFmt w:val="lowerRoman"/>
      <w:start w:val="1"/>
    </w:lvl>
  </w:abstractNum>
  <w:abstractNum w:abstractNumId="143">
    <w:nsid w:val="6CAA2304"/>
    <w:multiLevelType w:val="hybridMultilevel"/>
    <w:lvl w:ilvl="0">
      <w:lvlJc w:val="left"/>
      <w:lvlText w:val="(%1)"/>
      <w:numFmt w:val="lowerLetter"/>
      <w:start w:val="1"/>
    </w:lvl>
  </w:abstractNum>
  <w:abstractNum w:abstractNumId="144">
    <w:nsid w:val="3F7C2FF4"/>
    <w:multiLevelType w:val="hybridMultilevel"/>
    <w:lvl w:ilvl="0">
      <w:lvlJc w:val="left"/>
      <w:lvlText w:val="(%1)"/>
      <w:numFmt w:val="lowerLetter"/>
      <w:start w:val="1"/>
    </w:lvl>
  </w:abstractNum>
  <w:abstractNum w:abstractNumId="145">
    <w:nsid w:val="25413BEC"/>
    <w:multiLevelType w:val="hybridMultilevel"/>
    <w:lvl w:ilvl="0">
      <w:lvlJc w:val="left"/>
      <w:lvlText w:val="(%1)"/>
      <w:numFmt w:val="decimal"/>
      <w:start w:val="2"/>
    </w:lvl>
  </w:abstractNum>
  <w:abstractNum w:abstractNumId="146">
    <w:nsid w:val="17180B0B"/>
    <w:multiLevelType w:val="hybridMultilevel"/>
    <w:lvl w:ilvl="0">
      <w:lvlJc w:val="left"/>
      <w:lvlText w:val="•"/>
      <w:numFmt w:val="bullet"/>
      <w:start w:val="1"/>
    </w:lvl>
  </w:abstractNum>
  <w:abstractNum w:abstractNumId="147">
    <w:nsid w:val="579328B9"/>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48">
    <w:nsid w:val="5D205E20"/>
    <w:multiLevelType w:val="hybridMultilevel"/>
    <w:lvl w:ilvl="0">
      <w:lvlJc w:val="left"/>
      <w:lvlText w:val="%1."/>
      <w:numFmt w:val="lowerLetter"/>
      <w:start w:val="1"/>
    </w:lvl>
  </w:abstractNum>
  <w:abstractNum w:abstractNumId="149">
    <w:nsid w:val="11CCA8BA"/>
    <w:multiLevelType w:val="hybridMultilevel"/>
    <w:lvl w:ilvl="0">
      <w:lvlJc w:val="left"/>
      <w:lvlText w:val="%1."/>
      <w:numFmt w:val="decimal"/>
      <w:start w:val="1"/>
    </w:lvl>
    <w:lvl w:ilvl="1">
      <w:lvlJc w:val="left"/>
      <w:lvlText w:val="%2)"/>
      <w:numFmt w:val="lowerLetter"/>
      <w:start w:val="1"/>
    </w:lvl>
  </w:abstractNum>
  <w:abstractNum w:abstractNumId="150">
    <w:nsid w:val="4D32AB86"/>
    <w:multiLevelType w:val="hybridMultilevel"/>
    <w:lvl w:ilvl="0">
      <w:lvlJc w:val="left"/>
      <w:lvlText w:val="%1."/>
      <w:numFmt w:val="decimal"/>
      <w:start w:val="1"/>
    </w:lvl>
    <w:lvl w:ilvl="1">
      <w:lvlJc w:val="left"/>
      <w:lvlText w:val="%2)"/>
      <w:numFmt w:val="lowerLetter"/>
      <w:start w:val="1"/>
    </w:lvl>
  </w:abstractNum>
  <w:abstractNum w:abstractNumId="151">
    <w:nsid w:val="3F07ACC3"/>
    <w:multiLevelType w:val="hybridMultilevel"/>
    <w:lvl w:ilvl="0">
      <w:lvlJc w:val="left"/>
      <w:lvlText w:val="(%1)"/>
      <w:numFmt w:val="decimal"/>
      <w:start w:val="1"/>
    </w:lvl>
  </w:abstractNum>
  <w:abstractNum w:abstractNumId="152">
    <w:nsid w:val="6B47F63E"/>
    <w:multiLevelType w:val="hybridMultilevel"/>
    <w:lvl w:ilvl="0">
      <w:lvlJc w:val="left"/>
      <w:lvlText w:val="(%1)"/>
      <w:numFmt w:val="decimal"/>
      <w:start w:val="1"/>
    </w:lvl>
  </w:abstractNum>
  <w:abstractNum w:abstractNumId="153">
    <w:nsid w:val="5CB44A05"/>
    <w:multiLevelType w:val="hybridMultilevel"/>
    <w:lvl w:ilvl="0">
      <w:lvlJc w:val="left"/>
      <w:lvlText w:val="(%1)"/>
      <w:numFmt w:val="decimal"/>
      <w:start w:val="1"/>
    </w:lvl>
  </w:abstractNum>
  <w:abstractNum w:abstractNumId="154">
    <w:nsid w:val="16CF80F1"/>
    <w:multiLevelType w:val="hybridMultilevel"/>
    <w:lvl w:ilvl="0">
      <w:lvlJc w:val="left"/>
      <w:lvlText w:val="%1."/>
      <w:numFmt w:val="decimal"/>
      <w:start w:val="1"/>
    </w:lvl>
  </w:abstractNum>
  <w:abstractNum w:abstractNumId="155">
    <w:nsid w:val="1C695DEC"/>
    <w:multiLevelType w:val="hybridMultilevel"/>
    <w:lvl w:ilvl="0">
      <w:lvlJc w:val="left"/>
      <w:lvlText w:val="%1."/>
      <w:numFmt w:val="decimal"/>
      <w:start w:val="2"/>
    </w:lvl>
  </w:abstractNum>
  <w:abstractNum w:abstractNumId="156">
    <w:nsid w:val="3FCFAED9"/>
    <w:multiLevelType w:val="hybridMultilevel"/>
    <w:lvl w:ilvl="0">
      <w:lvlJc w:val="left"/>
      <w:lvlText w:val="%1."/>
      <w:numFmt w:val="decimal"/>
      <w:start w:val="3"/>
    </w:lvl>
  </w:abstractNum>
  <w:abstractNum w:abstractNumId="157">
    <w:nsid w:val="F856867"/>
    <w:multiLevelType w:val="hybridMultilevel"/>
    <w:lvl w:ilvl="0">
      <w:lvlJc w:val="left"/>
      <w:lvlText w:val="%1."/>
      <w:numFmt w:val="lowerLetter"/>
      <w:start w:val="1"/>
    </w:lvl>
  </w:abstractNum>
  <w:abstractNum w:abstractNumId="158">
    <w:nsid w:val="11B1CC33"/>
    <w:multiLevelType w:val="hybridMultilevel"/>
    <w:lvl w:ilvl="0">
      <w:lvlJc w:val="left"/>
      <w:lvlText w:val="%1."/>
      <w:numFmt w:val="lowerLetter"/>
      <w:start w:val="1"/>
    </w:lvl>
  </w:abstractNum>
  <w:abstractNum w:abstractNumId="159">
    <w:nsid w:val="2E22FBB7"/>
    <w:multiLevelType w:val="hybridMultilevel"/>
    <w:lvl w:ilvl="0">
      <w:lvlJc w:val="left"/>
      <w:lvlText w:val="%1."/>
      <w:numFmt w:val="decimal"/>
      <w:start w:val="4"/>
    </w:lvl>
  </w:abstractNum>
  <w:abstractNum w:abstractNumId="160">
    <w:nsid w:val="29934699"/>
    <w:multiLevelType w:val="hybridMultilevel"/>
    <w:lvl w:ilvl="0">
      <w:lvlJc w:val="left"/>
      <w:lvlText w:val="%1."/>
      <w:numFmt w:val="decimal"/>
      <w:start w:val="5"/>
    </w:lvl>
  </w:abstractNum>
  <w:abstractNum w:abstractNumId="161">
    <w:nsid w:val="77485850"/>
    <w:multiLevelType w:val="hybridMultilevel"/>
    <w:lvl w:ilvl="0">
      <w:lvlJc w:val="left"/>
      <w:lvlText w:val="%1."/>
      <w:numFmt w:val="decimal"/>
      <w:start w:val="6"/>
    </w:lvl>
  </w:abstractNum>
  <w:abstractNum w:abstractNumId="162">
    <w:nsid w:val="744939A3"/>
    <w:multiLevelType w:val="hybridMultilevel"/>
    <w:lvl w:ilvl="0">
      <w:lvlJc w:val="left"/>
      <w:lvlText w:val="%1."/>
      <w:numFmt w:val="decimal"/>
      <w:start w:val="7"/>
    </w:lvl>
  </w:abstractNum>
  <w:abstractNum w:abstractNumId="163">
    <w:nsid w:val="4FA0D2E3"/>
    <w:multiLevelType w:val="hybridMultilevel"/>
    <w:lvl w:ilvl="0">
      <w:lvlJc w:val="left"/>
      <w:lvlText w:val="%1."/>
      <w:numFmt w:val="decimal"/>
      <w:start w:val="8"/>
    </w:lvl>
  </w:abstractNum>
  <w:abstractNum w:abstractNumId="164">
    <w:nsid w:val="6B1D2C14"/>
    <w:multiLevelType w:val="hybridMultilevel"/>
    <w:lvl w:ilvl="0">
      <w:lvlJc w:val="left"/>
      <w:lvlText w:val="%1."/>
      <w:numFmt w:val="decimal"/>
      <w:start w:val="9"/>
    </w:lvl>
  </w:abstractNum>
  <w:abstractNum w:abstractNumId="165">
    <w:nsid w:val="68B867D3"/>
    <w:multiLevelType w:val="hybridMultilevel"/>
    <w:lvl w:ilvl="0">
      <w:lvlJc w:val="left"/>
      <w:lvlText w:val="%1."/>
      <w:numFmt w:val="decimal"/>
      <w:start w:val="10"/>
    </w:lvl>
  </w:abstractNum>
  <w:abstractNum w:abstractNumId="166">
    <w:nsid w:val="3F7F5DD9"/>
    <w:multiLevelType w:val="hybridMultilevel"/>
    <w:lvl w:ilvl="0">
      <w:lvlJc w:val="left"/>
      <w:lvlText w:val="%1."/>
      <w:numFmt w:val="decimal"/>
      <w:start w:val="11"/>
    </w:lvl>
  </w:abstractNum>
  <w:abstractNum w:abstractNumId="167">
    <w:nsid w:val="2AE05A3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41" Type="http://schemas.openxmlformats.org/officeDocument/2006/relationships/image" Target="media/image526.png"/><Relationship Id="rId542" Type="http://schemas.openxmlformats.org/officeDocument/2006/relationships/image" Target="media/image527.pn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png"/><Relationship Id="rId548" Type="http://schemas.openxmlformats.org/officeDocument/2006/relationships/image" Target="media/image531.png"/><Relationship Id="rId549"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4" Type="http://schemas.openxmlformats.org/officeDocument/2006/relationships/image" Target="media/image542.png"/><Relationship Id="rId565" Type="http://schemas.openxmlformats.org/officeDocument/2006/relationships/image" Target="media/image543.png"/><Relationship Id="rId567" Type="http://schemas.openxmlformats.org/officeDocument/2006/relationships/image" Target="media/image544.png"/><Relationship Id="rId568"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3" Type="http://schemas.openxmlformats.org/officeDocument/2006/relationships/image" Target="media/image548.png"/><Relationship Id="rId574" Type="http://schemas.openxmlformats.org/officeDocument/2006/relationships/image" Target="media/image549.png"/><Relationship Id="rId575" Type="http://schemas.openxmlformats.org/officeDocument/2006/relationships/image" Target="media/image550.png"/><Relationship Id="rId576" Type="http://schemas.openxmlformats.org/officeDocument/2006/relationships/image" Target="media/image551.png"/><Relationship Id="rId578" Type="http://schemas.openxmlformats.org/officeDocument/2006/relationships/image" Target="media/image552.png"/><Relationship Id="rId579" Type="http://schemas.openxmlformats.org/officeDocument/2006/relationships/image" Target="media/image553.png"/><Relationship Id="rId580" Type="http://schemas.openxmlformats.org/officeDocument/2006/relationships/image" Target="media/image554.png"/><Relationship Id="rId582" Type="http://schemas.openxmlformats.org/officeDocument/2006/relationships/image" Target="media/image555.png"/><Relationship Id="rId583" Type="http://schemas.openxmlformats.org/officeDocument/2006/relationships/image" Target="media/image556.png"/><Relationship Id="rId585" Type="http://schemas.openxmlformats.org/officeDocument/2006/relationships/image" Target="media/image557.png"/><Relationship Id="rId586" Type="http://schemas.openxmlformats.org/officeDocument/2006/relationships/image" Target="media/image558.png"/><Relationship Id="rId588" Type="http://schemas.openxmlformats.org/officeDocument/2006/relationships/image" Target="media/image559.png"/><Relationship Id="rId589" Type="http://schemas.openxmlformats.org/officeDocument/2006/relationships/image" Target="media/image560.png"/><Relationship Id="rId591" Type="http://schemas.openxmlformats.org/officeDocument/2006/relationships/image" Target="media/image561.png"/><Relationship Id="rId592" Type="http://schemas.openxmlformats.org/officeDocument/2006/relationships/image" Target="media/image562.png"/><Relationship Id="rId593"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jpeg"/><Relationship Id="rId654" Type="http://schemas.openxmlformats.org/officeDocument/2006/relationships/image" Target="media/image620.jpe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jpeg"/><Relationship Id="rId658" Type="http://schemas.openxmlformats.org/officeDocument/2006/relationships/image" Target="media/image624.jpe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65" Type="http://schemas.openxmlformats.org/officeDocument/2006/relationships/image" Target="media/image631.png"/><Relationship Id="rId666" Type="http://schemas.openxmlformats.org/officeDocument/2006/relationships/image" Target="media/image632.png"/><Relationship Id="rId667" Type="http://schemas.openxmlformats.org/officeDocument/2006/relationships/image" Target="media/image633.png"/><Relationship Id="rId668" Type="http://schemas.openxmlformats.org/officeDocument/2006/relationships/image" Target="media/image634.png"/><Relationship Id="rId669" Type="http://schemas.openxmlformats.org/officeDocument/2006/relationships/image" Target="media/image635.png"/><Relationship Id="rId670" Type="http://schemas.openxmlformats.org/officeDocument/2006/relationships/image" Target="media/image636.png"/><Relationship Id="rId671" Type="http://schemas.openxmlformats.org/officeDocument/2006/relationships/image" Target="media/image637.png"/><Relationship Id="rId672" Type="http://schemas.openxmlformats.org/officeDocument/2006/relationships/image" Target="media/image638.png"/><Relationship Id="rId673" Type="http://schemas.openxmlformats.org/officeDocument/2006/relationships/image" Target="media/image639.png"/><Relationship Id="rId674" Type="http://schemas.openxmlformats.org/officeDocument/2006/relationships/image" Target="media/image640.png"/><Relationship Id="rId675" Type="http://schemas.openxmlformats.org/officeDocument/2006/relationships/image" Target="media/image641.png"/><Relationship Id="rId676" Type="http://schemas.openxmlformats.org/officeDocument/2006/relationships/image" Target="media/image642.png"/><Relationship Id="rId677" Type="http://schemas.openxmlformats.org/officeDocument/2006/relationships/image" Target="media/image643.png"/><Relationship Id="rId678" Type="http://schemas.openxmlformats.org/officeDocument/2006/relationships/image" Target="media/image644.png"/><Relationship Id="rId679" Type="http://schemas.openxmlformats.org/officeDocument/2006/relationships/image" Target="media/image645.png"/><Relationship Id="rId680" Type="http://schemas.openxmlformats.org/officeDocument/2006/relationships/image" Target="media/image646.png"/><Relationship Id="rId681" Type="http://schemas.openxmlformats.org/officeDocument/2006/relationships/image" Target="media/image647.png"/><Relationship Id="rId682" Type="http://schemas.openxmlformats.org/officeDocument/2006/relationships/image" Target="media/image648.png"/><Relationship Id="rId683" Type="http://schemas.openxmlformats.org/officeDocument/2006/relationships/image" Target="media/image649.png"/><Relationship Id="rId684" Type="http://schemas.openxmlformats.org/officeDocument/2006/relationships/image" Target="media/image650.png"/><Relationship Id="rId685" Type="http://schemas.openxmlformats.org/officeDocument/2006/relationships/image" Target="media/image651.png"/><Relationship Id="rId686" Type="http://schemas.openxmlformats.org/officeDocument/2006/relationships/image" Target="media/image652.png"/><Relationship Id="rId533" Type="http://schemas.openxmlformats.org/officeDocument/2006/relationships/hyperlink" Target="https://www.sec.gov/Archives/edgar/data/87347/000119312525246028/slb-ex3_1.htm" TargetMode="External"/><Relationship Id="rId534" Type="http://schemas.openxmlformats.org/officeDocument/2006/relationships/hyperlink" Target="https://www.sec.gov/Archives/edgar/data/87347/000119312525246028/slb-ex3_2.htm" TargetMode="External"/><Relationship Id="rId535" Type="http://schemas.openxmlformats.org/officeDocument/2006/relationships/hyperlink" Target="https://www.sec.gov/Archives/edgar/data/87347/000119312513460494/d637672dex41.htm" TargetMode="External"/><Relationship Id="rId536" Type="http://schemas.openxmlformats.org/officeDocument/2006/relationships/hyperlink" Target="https://www.sec.gov/Archives/edgar/data/87347/000119312520180957/d925505dex41.htm" TargetMode="External"/><Relationship Id="rId537" Type="http://schemas.openxmlformats.org/officeDocument/2006/relationships/hyperlink" Target="https://www.sec.gov/Archives/edgar/data/87347/000119312523145038/d289147dex41.htm" TargetMode="External"/><Relationship Id="rId538" Type="http://schemas.openxmlformats.org/officeDocument/2006/relationships/hyperlink" Target="https://www.sec.gov/Archives/edgar/data/87347/000119312524149220/d808766dex41.htm" TargetMode="External"/><Relationship Id="rId539" Type="http://schemas.openxmlformats.org/officeDocument/2006/relationships/hyperlink" Target="https://www.sec.gov/Archives/edgar/data/87347/000095017025058413/slb-ex4_4.htm" TargetMode="External"/><Relationship Id="rId540" Type="http://schemas.openxmlformats.org/officeDocument/2006/relationships/hyperlink" Target="https://www.sec.gov/Archives/edgar/data/87347/000119312520216304/d926535dex41.htm" TargetMode="External"/><Relationship Id="rId543" Type="http://schemas.openxmlformats.org/officeDocument/2006/relationships/hyperlink" Target="https://www.sec.gov/Archives/edgar/data/87347/000095017023055042/slb-ex10_1.htm" TargetMode="External"/><Relationship Id="rId547" Type="http://schemas.openxmlformats.org/officeDocument/2006/relationships/hyperlink" Target="https://www.sec.gov/Archives/edgar/data/87347/000095017023055042/slb-ex10_2.htm" TargetMode="External"/><Relationship Id="rId550" Type="http://schemas.openxmlformats.org/officeDocument/2006/relationships/hyperlink" Target="https://www.sec.gov/Archives/edgar/data/87347/000095017024006884/slb-ex10_3.htm" TargetMode="External"/><Relationship Id="rId554" Type="http://schemas.openxmlformats.org/officeDocument/2006/relationships/hyperlink" Target="https://www.sec.gov/Archives/edgar/data/87347/000156459019000928/slb-ex108_547.htm" TargetMode="External"/><Relationship Id="rId557" Type="http://schemas.openxmlformats.org/officeDocument/2006/relationships/hyperlink" Target="https://www.sec.gov/Archives/edgar/data/87347/000119312513299983/d550034dex1010.htm" TargetMode="External"/><Relationship Id="rId560" Type="http://schemas.openxmlformats.org/officeDocument/2006/relationships/hyperlink" Target="https://www.sec.gov/Archives/edgar/data/87347/000119312513299983/d550034dex1011.htm" TargetMode="External"/><Relationship Id="rId563" Type="http://schemas.openxmlformats.org/officeDocument/2006/relationships/hyperlink" Target="https://www.sec.gov/Archives/edgar/data/87347/000130817918000016/lslb2018_def14a.htm" TargetMode="External"/><Relationship Id="rId566" Type="http://schemas.openxmlformats.org/officeDocument/2006/relationships/hyperlink" Target="https://www.sec.gov/Archives/edgar/data/87347/000156459019000928/slb-ex1015_548.htm" TargetMode="External"/><Relationship Id="rId569" Type="http://schemas.openxmlformats.org/officeDocument/2006/relationships/hyperlink" Target="https://www.sec.gov/Archives/edgar/data/87347/000156459015005555/slb-ex101_758.htm" TargetMode="External"/><Relationship Id="rId572" Type="http://schemas.openxmlformats.org/officeDocument/2006/relationships/hyperlink" Target="https://www.sec.gov/Archives/edgar/data/87347/000156459021002477/slb-ex1015_106.htm" TargetMode="External"/><Relationship Id="rId577" Type="http://schemas.openxmlformats.org/officeDocument/2006/relationships/hyperlink" Target="https://www.sec.gov/Archives/edgar/data/87347/000156459019000928/slb-ex1027_1834.htm" TargetMode="External"/><Relationship Id="rId581" Type="http://schemas.openxmlformats.org/officeDocument/2006/relationships/hyperlink" Target="https://www.sec.gov/Archives/edgar/data/87347/000095017025058413/slb-ex10_3.htm" TargetMode="External"/><Relationship Id="rId584" Type="http://schemas.openxmlformats.org/officeDocument/2006/relationships/hyperlink" Target="https://www.sec.gov/Archives/edgar/data/87347/000095017025058413/slb-ex10_4.htm" TargetMode="External"/><Relationship Id="rId587" Type="http://schemas.openxmlformats.org/officeDocument/2006/relationships/hyperlink" Target="https://www.sec.gov/Archives/edgar/data/87347/000095017025058413/slb-ex10_5.htm" TargetMode="External"/><Relationship Id="rId590" Type="http://schemas.openxmlformats.org/officeDocument/2006/relationships/hyperlink" Target="https://www.sec.gov/Archives/edgar/data/87347/000119312521109039/d128317dex101.htm" TargetMode="External"/><Relationship Id="rId594" Type="http://schemas.openxmlformats.org/officeDocument/2006/relationships/hyperlink" Target="https://www.sec.gov/Archives/edgar/data/87347/000130817925000029/slb012574-def14a.htm#lslba053" TargetMode="External"/><Relationship Id="rId595" Type="http://schemas.openxmlformats.org/officeDocument/2006/relationships/hyperlink" Target="https://www.sec.gov/Archives/edgar/data/87347/000119312521109039/d128317dex103.htm" TargetMode="External"/><Relationship Id="rId596" Type="http://schemas.openxmlformats.org/officeDocument/2006/relationships/hyperlink" Target="https://www.sec.gov/Archives/edgar/data/87347/000095017024006884/slb-ex10_19.htm" TargetMode="External"/><Relationship Id="rId597" Type="http://schemas.openxmlformats.org/officeDocument/2006/relationships/hyperlink" Target="https://www.sec.gov/Archives/edgar/data/87347/000095017025098217/slb-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2026-01-23T15:16:30Z</dcterms:created>
  <dcterms:modified xsi:type="dcterms:W3CDTF">2026-01-23T15:16:30Z</dcterms:modified>
</cp:coreProperties>
</file>