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d786553d425.htm"/>
      <w:bookmarkStart w:id="1" w:name="ksd786553d425"/>
      <w:bookmarkEnd w:id="0"/>
      <w:bookmarkEnd w:id="1"/>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April 2, 2024 SLB to Acquire ChampionX Filed by Schlumberger N.V. pursuant to Rule 425 under the Securities Act of 1933 and deemed filed pursuant to Rule 14a-12 under the Securities Exchange Act of 1934 Subject Company: ChampionX Corporation Filer's SEC File No.: 001-38441 Date: April 2, 2024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Disclaimer Forward-Looking Statements This communication contains forward-looking statements within the meaning of the Private Securities Litigation Reform Act of 1995, Section 27A of the Securities Act of 1933, as amended, and Section 21E of the Exchange Act of 1934, as amended. 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Additional Information about the Transaction and Where to Find It 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Participants in the Solicitation 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(https://www.sec.gov/ix?doc=/Archives/edgar/data/1723089/000172308923000073/championx-20230327.htm),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Announcement Highlights 1 2 3 Acquisition strengthens SLB as a leader in production space, with world-class production chemicals and artificial lift technologies Combined portfolios will drive customer value through deep industry expertise and digital integration, as well as enhanced equipment life and production optimization ChampionX shareholders to receive 0.735 SLB shares for each share of ChampionX SLB expects synergies to reach approximately $400 million on an annualized basis within three years   SLB will increase its total returns to shareholders to a target of $3 billion in 2024; sets target for returns to shareholders of $4B in 2025 4 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As assets age, chemical intensity and usage will accelerate and additional lift solutions will be required throughout the life of the well Digital leadership, domain expertise and integration capabilities can increase production and longevity of assets, structurally lowering cost and carbon Production chemicals is asset light with strong cash generation and resilient across industry cycles, driven by growing OpEx spending Production market is important to SLB’s core growth strategy CapEx spend, % OpEx spend, % Upstream E&amp;P market spend Source: Rystad Ucube (March 2024) OpEx excludes SG&amp;A and taxes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 production chemistry industry leader with associated manufacturing capabilities Comprehensive artificial lift, drill bit cutters, and emissions monitoring offerings Strong North America presence that is complementary to the existing SLB business Broad digital offering with a large installed base of connected production equipment ChampionX’s product portfolio and geographical footprint are complementary to SLB 7,200+ Employees 60+ Countries 40+ Manufacturing Locations 400+ Scientists and Technologists Revenue by Segment FY 2023 64% Production Chemicals Technologies 27% Production and Automation Technologies 6% Drilling Technologies 3% Reservoir Chemicals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Creating value by enhancing production performance Accelerating innovation in production and recovery Complementary businesses, digital leadership and domain expertise combine to address the toughest production challenges Driving efficiencies through integration Creates value with life of field solutions connecting expertise and offerings from reservoir to surface processing Expanding our portfolio and global offering Broaden global footprint for production chemistry while leveraging strong capabilities and customer service in North America Delivering value through digital Combines production optimization, asset integrity and emissions monitoring technologies to lower the cost and carbon of producing assets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2238</Words>
  <Characters>13777</Characters>
  <CharactersWithSpaces>16013</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