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sz w:val="20"/>
        </w:rPr>
      </w:pPr>
      <w:bookmarkStart w:id="0" w:name="d819100d425.htm"/>
      <w:bookmarkStart w:id="1" w:name="ksd819100d425"/>
      <w:bookmarkEnd w:id="0"/>
      <w:bookmarkEnd w:id="1"/>
      <w:r>
        <w:rPr>
          <w:rFonts w:ascii="Times New Roman" w:hAnsi="Times New Roman"/>
          <w:sz w:val="20"/>
        </w:rPr>
        <w:t xml:space="preserve">Filed by Schlumberger N.V. </w:t>
      </w:r>
    </w:p>
    <w:p>
      <w:pPr>
        <w:pStyle w:val="TextBody"/>
        <w:bidi w:val="0"/>
        <w:spacing w:before="0" w:after="0"/>
        <w:jc w:val="right"/>
        <w:rPr>
          <w:rFonts w:ascii="Times New Roman" w:hAnsi="Times New Roman"/>
          <w:sz w:val="20"/>
        </w:rPr>
      </w:pPr>
      <w:r>
        <w:rPr>
          <w:rFonts w:ascii="Times New Roman" w:hAnsi="Times New Roman"/>
          <w:sz w:val="20"/>
        </w:rPr>
        <w:t xml:space="preserve">pursuant to Rule 425 under the Securities Act of 1933 </w:t>
      </w:r>
    </w:p>
    <w:p>
      <w:pPr>
        <w:pStyle w:val="TextBody"/>
        <w:bidi w:val="0"/>
        <w:spacing w:before="0" w:after="0"/>
        <w:jc w:val="right"/>
        <w:rPr>
          <w:rFonts w:ascii="Times New Roman" w:hAnsi="Times New Roman"/>
          <w:sz w:val="20"/>
        </w:rPr>
      </w:pPr>
      <w:r>
        <w:rPr>
          <w:rFonts w:ascii="Times New Roman" w:hAnsi="Times New Roman"/>
          <w:sz w:val="20"/>
        </w:rPr>
        <w:t xml:space="preserve">and deemed filed pursuant to Rule 14a-12 </w:t>
      </w:r>
    </w:p>
    <w:p>
      <w:pPr>
        <w:pStyle w:val="TextBody"/>
        <w:bidi w:val="0"/>
        <w:spacing w:before="0" w:after="0"/>
        <w:jc w:val="right"/>
        <w:rPr>
          <w:rFonts w:ascii="Times New Roman" w:hAnsi="Times New Roman"/>
          <w:sz w:val="20"/>
        </w:rPr>
      </w:pPr>
      <w:r>
        <w:rPr>
          <w:rFonts w:ascii="Times New Roman" w:hAnsi="Times New Roman"/>
          <w:sz w:val="20"/>
        </w:rPr>
        <w:t xml:space="preserve">under the Securities Exchange Act of 1934 </w:t>
      </w:r>
    </w:p>
    <w:p>
      <w:pPr>
        <w:pStyle w:val="TextBody"/>
        <w:bidi w:val="0"/>
        <w:spacing w:before="0" w:after="0"/>
        <w:jc w:val="right"/>
        <w:rPr>
          <w:rFonts w:ascii="Times New Roman" w:hAnsi="Times New Roman"/>
          <w:sz w:val="20"/>
        </w:rPr>
      </w:pPr>
      <w:r>
        <w:rPr>
          <w:rFonts w:ascii="Times New Roman" w:hAnsi="Times New Roman"/>
          <w:sz w:val="20"/>
        </w:rPr>
        <w:t xml:space="preserve">Subject Company: ChampionX Corporation </w:t>
      </w:r>
    </w:p>
    <w:p>
      <w:pPr>
        <w:pStyle w:val="TextBody"/>
        <w:bidi w:val="0"/>
        <w:spacing w:before="0" w:after="0"/>
        <w:jc w:val="right"/>
        <w:rPr>
          <w:rFonts w:ascii="Times New Roman" w:hAnsi="Times New Roman"/>
          <w:sz w:val="20"/>
        </w:rPr>
      </w:pPr>
      <w:r>
        <w:rPr>
          <w:rFonts w:ascii="Times New Roman" w:hAnsi="Times New Roman"/>
          <w:sz w:val="20"/>
        </w:rPr>
        <w:t xml:space="preserve">Filers SEC File No.: 001-38441 </w:t>
      </w:r>
    </w:p>
    <w:p>
      <w:pPr>
        <w:pStyle w:val="TextBody"/>
        <w:bidi w:val="0"/>
        <w:spacing w:before="0" w:after="0"/>
        <w:jc w:val="right"/>
        <w:rPr>
          <w:rFonts w:ascii="Times New Roman" w:hAnsi="Times New Roman"/>
          <w:sz w:val="20"/>
        </w:rPr>
      </w:pPr>
      <w:r>
        <w:rPr>
          <w:rFonts w:ascii="Times New Roman" w:hAnsi="Times New Roman"/>
          <w:sz w:val="20"/>
        </w:rPr>
        <w:t xml:space="preserve">Date: April 3, 2024 </w:t>
      </w:r>
      <w:r>
        <w:br w:type="page"/>
      </w:r>
    </w:p>
    <w:p>
      <w:pPr>
        <w:pStyle w:val="HorizontalLine"/>
        <w:pBdr>
          <w:bottom w:val="double" w:sz="6" w:space="0" w:color="808080"/>
        </w:pBdr>
        <w:bidi w:val="0"/>
        <w:jc w:val="left"/>
        <w:rPr/>
      </w:pPr>
      <w:r>
        <w:rPr/>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Confidential, for Use of the Commission Only (as permitted by Rule 14a-6(e)(2))</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Section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ChampionX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Fee computed on table in exhibit required by Item 25(b) per Exchange Act Rule 12a6(i)(1) and 0-11</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April 2, 2024, ChampionX Corporation began distributing email communications in the following form to investors and analysts.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Investors and Analysts </w:t>
      </w:r>
    </w:p>
    <w:p>
      <w:pPr>
        <w:pStyle w:val="TextBody"/>
        <w:bidi w:val="0"/>
        <w:spacing w:before="0" w:after="0"/>
        <w:jc w:val="left"/>
        <w:rPr>
          <w:rFonts w:ascii="Times New Roman" w:hAnsi="Times New Roman"/>
          <w:sz w:val="20"/>
        </w:rPr>
      </w:pPr>
      <w:r>
        <w:rPr>
          <w:rFonts w:ascii="Times New Roman" w:hAnsi="Times New Roman"/>
          <w:sz w:val="20"/>
        </w:rPr>
        <w:t xml:space="preserve">From: Byron Pope </w:t>
      </w:r>
    </w:p>
    <w:p>
      <w:pPr>
        <w:pStyle w:val="TextBody"/>
        <w:bidi w:val="0"/>
        <w:spacing w:before="0" w:after="0"/>
        <w:jc w:val="left"/>
        <w:rPr>
          <w:rFonts w:ascii="Times New Roman" w:hAnsi="Times New Roman"/>
          <w:sz w:val="20"/>
        </w:rPr>
      </w:pPr>
      <w:r>
        <w:rPr>
          <w:rFonts w:ascii="Times New Roman" w:hAnsi="Times New Roman"/>
          <w:sz w:val="20"/>
        </w:rPr>
        <w:t xml:space="preserve">Date: April 2, 2024 </w:t>
      </w:r>
    </w:p>
    <w:p>
      <w:pPr>
        <w:pStyle w:val="TextBody"/>
        <w:bidi w:val="0"/>
        <w:spacing w:before="0" w:after="0"/>
        <w:jc w:val="left"/>
        <w:rPr>
          <w:rFonts w:ascii="Times New Roman" w:hAnsi="Times New Roman"/>
          <w:sz w:val="20"/>
        </w:rPr>
      </w:pPr>
      <w:r>
        <w:rPr>
          <w:rFonts w:ascii="Times New Roman" w:hAnsi="Times New Roman"/>
          <w:sz w:val="20"/>
        </w:rPr>
        <w:t xml:space="preserve">Subject: ChampionX to be Acquired by SLB in All-Stock Transaction </w:t>
      </w:r>
    </w:p>
    <w:p>
      <w:pPr>
        <w:pStyle w:val="TextBody"/>
        <w:bidi w:val="0"/>
        <w:spacing w:before="240" w:after="0"/>
        <w:jc w:val="left"/>
        <w:rPr>
          <w:rFonts w:ascii="Times New Roman" w:hAnsi="Times New Roman"/>
          <w:sz w:val="20"/>
        </w:rPr>
      </w:pPr>
      <w:r>
        <w:rPr>
          <w:rFonts w:ascii="Times New Roman" w:hAnsi="Times New Roman"/>
          <w:sz w:val="20"/>
        </w:rPr>
        <w:t xml:space="preserve">Good morning. Moments ago, ChampionX announced that it has agreed to be acquired by SLB in an all-stock transaction for a total enterprise value of $8.2 billion. The press release we issued can be found here [HYPERLINK TO RELEASE]. </w:t>
      </w:r>
    </w:p>
    <w:p>
      <w:pPr>
        <w:pStyle w:val="TextBody"/>
        <w:bidi w:val="0"/>
        <w:spacing w:before="240" w:after="0"/>
        <w:jc w:val="left"/>
        <w:rPr>
          <w:rFonts w:ascii="Times New Roman" w:hAnsi="Times New Roman"/>
          <w:sz w:val="20"/>
        </w:rPr>
      </w:pPr>
      <w:r>
        <w:rPr>
          <w:rFonts w:ascii="Times New Roman" w:hAnsi="Times New Roman"/>
          <w:sz w:val="20"/>
        </w:rPr>
        <w:t xml:space="preserve">This transaction creates value for our shareholders through a near-term premium as well as the opportunity to share in the upside of the transaction going forward. Specifically, our shareholders will receive an implied value per share of $40.59, representing a 15% premium as of closing share prices on April 1, 2024. At closing, ChampionX shareholders will own approximately 9% of SLBs outstanding shares of common stock after the transaction closes. </w:t>
      </w:r>
    </w:p>
    <w:p>
      <w:pPr>
        <w:pStyle w:val="TextBody"/>
        <w:bidi w:val="0"/>
        <w:spacing w:before="240" w:after="0"/>
        <w:jc w:val="left"/>
        <w:rPr>
          <w:rFonts w:ascii="Times New Roman" w:hAnsi="Times New Roman"/>
          <w:sz w:val="20"/>
        </w:rPr>
      </w:pPr>
      <w:r>
        <w:rPr>
          <w:rFonts w:ascii="Times New Roman" w:hAnsi="Times New Roman"/>
          <w:sz w:val="20"/>
        </w:rPr>
        <w:t xml:space="preserve">We believe SLBs resources and reach will enhance our production chemical, artificial lift, drilling technologies, digital and emissions expertise. We believe our combined offerings will create significant opportunities for growth. We believe the combined portfolio will offer very differentiated and enhanced capabilities to solve customer problems and will be well positioned for long-term success as the industry continues to evolve. </w:t>
      </w:r>
    </w:p>
    <w:p>
      <w:pPr>
        <w:pStyle w:val="TextBody"/>
        <w:bidi w:val="0"/>
        <w:spacing w:before="240" w:after="0"/>
        <w:jc w:val="left"/>
        <w:rPr>
          <w:rFonts w:ascii="Times New Roman" w:hAnsi="Times New Roman"/>
          <w:sz w:val="20"/>
        </w:rPr>
      </w:pPr>
      <w:r>
        <w:rPr>
          <w:rFonts w:ascii="Times New Roman" w:hAnsi="Times New Roman"/>
          <w:sz w:val="20"/>
        </w:rPr>
        <w:t xml:space="preserve">We currently anticipate the transaction to close before the end of 2024, subject to the satisfaction or waiver of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ChampionX and SLB will be hosting a joint investor call at 8:00 AM CT / 9:00 AM ET today to discuss the transaction. The webcast information can be found here [INSERT HYPERLINK]. </w:t>
      </w:r>
    </w:p>
    <w:p>
      <w:pPr>
        <w:pStyle w:val="TextBody"/>
        <w:bidi w:val="0"/>
        <w:spacing w:before="240" w:after="0"/>
        <w:jc w:val="left"/>
        <w:rPr>
          <w:rFonts w:ascii="Times New Roman" w:hAnsi="Times New Roman"/>
          <w:sz w:val="20"/>
        </w:rPr>
      </w:pPr>
      <w:r>
        <w:rPr>
          <w:rFonts w:ascii="Times New Roman" w:hAnsi="Times New Roman"/>
          <w:sz w:val="20"/>
        </w:rPr>
        <w:t xml:space="preserve">I will be available today to discuss the announcement and answer any questions you may have. Please let me know your availability if youre interested in speaking. </w:t>
      </w:r>
    </w:p>
    <w:p>
      <w:pPr>
        <w:pStyle w:val="TextBody"/>
        <w:bidi w:val="0"/>
        <w:spacing w:before="240" w:after="0"/>
        <w:jc w:val="left"/>
        <w:rPr>
          <w:rFonts w:ascii="Times New Roman" w:hAnsi="Times New Roman"/>
          <w:sz w:val="20"/>
        </w:rPr>
      </w:pPr>
      <w:r>
        <w:rPr>
          <w:rFonts w:ascii="Times New Roman" w:hAnsi="Times New Roman"/>
          <w:sz w:val="20"/>
        </w:rPr>
        <w:t xml:space="preserve">Thank you for your continued support.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240" w:after="0"/>
        <w:jc w:val="left"/>
        <w:rPr>
          <w:rFonts w:ascii="Times New Roman" w:hAnsi="Times New Roman"/>
          <w:sz w:val="20"/>
        </w:rPr>
      </w:pPr>
      <w:r>
        <w:rPr>
          <w:rFonts w:ascii="Times New Roman" w:hAnsi="Times New Roman"/>
          <w:sz w:val="20"/>
        </w:rPr>
        <w:t xml:space="preserve">Byron Pope </w:t>
      </w:r>
    </w:p>
    <w:p>
      <w:pPr>
        <w:pStyle w:val="TextBody"/>
        <w:bidi w:val="0"/>
        <w:spacing w:before="0" w:after="0"/>
        <w:jc w:val="left"/>
        <w:rPr>
          <w:rFonts w:ascii="Times New Roman" w:hAnsi="Times New Roman"/>
          <w:sz w:val="20"/>
        </w:rPr>
      </w:pPr>
      <w:r>
        <w:rPr>
          <w:rFonts w:ascii="Times New Roman" w:hAnsi="Times New Roman"/>
          <w:sz w:val="20"/>
        </w:rPr>
        <w:t xml:space="preserve">Vice President, ESG and Investor Relations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This communication contains forward-looking statements within the meaning of the Private Securities Litigation Reform Act of 1995, Section 27A of the Securities Act of 1933, as amended (the </w:t>
      </w:r>
      <w:r>
        <w:rPr>
          <w:rFonts w:ascii="Times New Roman" w:hAnsi="Times New Roman"/>
          <w:b/>
          <w:i/>
          <w:sz w:val="20"/>
        </w:rPr>
        <w:t>Securities Act</w:t>
      </w:r>
      <w:r>
        <w:rPr>
          <w:rFonts w:ascii="Times New Roman" w:hAnsi="Times New Roman"/>
          <w:sz w:val="20"/>
        </w:rPr>
        <w:t xml:space="preserve">), and Section 21E of the Securities Exchange Act of 1934, as amended. </w:t>
      </w:r>
    </w:p>
    <w:p>
      <w:pPr>
        <w:pStyle w:val="TextBody"/>
        <w:bidi w:val="0"/>
        <w:spacing w:before="240" w:after="0"/>
        <w:jc w:val="left"/>
        <w:rPr>
          <w:rFonts w:ascii="Times New Roman" w:hAnsi="Times New Roman"/>
          <w:sz w:val="20"/>
        </w:rPr>
      </w:pPr>
      <w:r>
        <w:rPr>
          <w:rFonts w:ascii="Times New Roman" w:hAnsi="Times New Roman"/>
          <w:sz w:val="20"/>
        </w:rPr>
        <w:t xml:space="preserve">Such forward-looking statements include statements relating to the proposed transaction between SLB and ChampionX, including statements regarding the benefits of the transaction and the anticipated timing of the transaction, and information regarding the businesses of SLB and ChampionX, including expectations regarding outlook and all underlying assumptions, SLBs and ChampionXs objectives, plans and strategies, information relating to operating trends in markets where SLB and ChampionX operate,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statements that contain projections of results of operations or of financial condition and all other statements other than statements of historical fact that address activities, events or developments that SLB or ChampionX intends, expects, projects, believes or anticipates will or may occur in the future. Such statements are based on managements beliefs and assumptions made based on information currently available to management. All statements in this communication, other than statements of historical fact, are forward-looking statements that may be identified by the use of the words outlook, guidance, expects, believes, anticipates, should, estimates, intends, plans, seeks, targets, may, can, believe, predict, potential, projected, projections, precursor, forecast, ambition, goal, scheduled, think, could, would, will, see, likely, and other similar expressions or variations, but not all forward-looking statements include such words. These forward-looking statements involve known and unknown risks and uncertainties, and which may cause SLBs or ChampionXs actual results and performance to be materially different from those expressed or implied in the forward-looking statements. Factors and risks that may impact future results and performance include, but are not limited to those factors and risks described in Part I, Item 1. Business, Item 1A. Risk Factors, and Item 7. Managements Discussion and Analysis of Financial Condition and Results of Operations in SLBs Annual Report on Form 10-K for the year ended December 31, 2023, as filed with the Securities and Exchange Commission (the </w:t>
      </w:r>
      <w:r>
        <w:rPr>
          <w:rFonts w:ascii="Times New Roman" w:hAnsi="Times New Roman"/>
          <w:b/>
          <w:i/>
          <w:sz w:val="20"/>
        </w:rPr>
        <w:t>SEC</w:t>
      </w:r>
      <w:r>
        <w:rPr>
          <w:rFonts w:ascii="Times New Roman" w:hAnsi="Times New Roman"/>
          <w:sz w:val="20"/>
        </w:rPr>
        <w:t xml:space="preserve">) on January 24, 2024 and Part 1, Item 1A, Risk Factors in ChampionXs Annual Report on Form 10-K for the year ended December 31, 2023 filed with the SEC on February 6, 2024, and each of their respective, subsequent Quarterly Reports on Form 10-Q and Current Reports on Form 8-K. </w:t>
      </w:r>
    </w:p>
    <w:p>
      <w:pPr>
        <w:pStyle w:val="TextBody"/>
        <w:bidi w:val="0"/>
        <w:spacing w:before="240" w:after="0"/>
        <w:jc w:val="left"/>
        <w:rPr>
          <w:rFonts w:ascii="Times New Roman" w:hAnsi="Times New Roman"/>
          <w:sz w:val="20"/>
        </w:rPr>
      </w:pPr>
      <w:r>
        <w:rPr>
          <w:rFonts w:ascii="Times New Roman" w:hAnsi="Times New Roman"/>
          <w:sz w:val="20"/>
        </w:rPr>
        <w:t xml:space="preserve">These include, but are not limited to, and in each case as a possible result of the proposed transaction on each of SLB and ChampionX: the ultimate outcome of the proposed transaction between SLB and ChampionX, including the possibility that ChampionX stockholders will not adopt the merger agreement in respect of the proposed transaction;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(including the adoption of the merger agreement in respect of the proposed transaction by ChampionX stockholders); other risks related to the completion of the proposed transaction and actions related thereto; the ability of SLB and ChampionX to integrate the business successfully and to achieve anticipated synergies and value creation from the proposed transaction; changes in demand for SLBs or ChampionXs products and services; global market, political and economic conditions, including in the countries in which SLB and ChampionX operate; the ability to secure government regulatory approvals on the terms expected, at all or in a timely manner; the extent of growth of the oilfield services market generally, including for chemical solutions in production and midstream operations; the global macro-economic environment, including headwinds caused by inflation, rising interest rates, unfavorable currency exchange rates, and potential recessionary or depressionary conditions; the impact of shifts in prices or margins of the products that SLB or ChampionX sells or services that SLB or ChampionX provides, including due to a shift towards lower margin products or services; cyber-attacks, information security and data privacy; the impact of public health crises, such as pandemics (including COVID-19) and epidemics and any related company or government policies and actions to protect the health and safety of individuals or government policies or actions to maintain the functioning of national or global economies and markets; trends in crude oil and natural gas prices, including trends in chemical solutions across the oil and natural gas industries, that may affect the drilling and production activity, profitability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financial stability of SLBs and ChampionXs customers and therefore the demand for, and profitability of, their products and services; litigation and regulatory proceedings, including any proceedings that may be instituted against SLB or ChampionX related to the proposed transaction; failure to effectively and timely address energy transitions that could adversely affect the businesses of SLB or ChampionX, results of operations, and cash flows of SLB or ChampionX; and disruptions of SLBs or ChampionXs information technology systems. </w:t>
      </w:r>
    </w:p>
    <w:p>
      <w:pPr>
        <w:pStyle w:val="TextBody"/>
        <w:bidi w:val="0"/>
        <w:spacing w:before="240" w:after="0"/>
        <w:jc w:val="left"/>
        <w:rPr>
          <w:rFonts w:ascii="Times New Roman" w:hAnsi="Times New Roman"/>
          <w:sz w:val="20"/>
        </w:rPr>
      </w:pPr>
      <w:r>
        <w:rPr>
          <w:rFonts w:ascii="Times New Roman" w:hAnsi="Times New Roman"/>
          <w:sz w:val="20"/>
        </w:rPr>
        <w:t xml:space="preserve">These risks, as well as other risks related to the proposed transaction, will be included in the Form S-4 and proxy statement/prospectus (each, as defined below)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SLBs and ChampionXs respective periodic reports and other filings with the SEC, including the risk factors identified in SLBs and ChampionXs Annual Reports on Form 10-K, respectively, and SLBs and ChampionXs subsequent Quarterly Reports on Form 10-Q. The forward-looking statements included in this communication are made only as of the date hereof. Neither SLB nor ChampionX undertakes any obligation to update any forward-looking statements to reflect subsequent events or circumstances, except as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about the Transaction and Where to Find It </w:t>
      </w:r>
    </w:p>
    <w:p>
      <w:pPr>
        <w:pStyle w:val="TextBody"/>
        <w:bidi w:val="0"/>
        <w:spacing w:before="120" w:after="0"/>
        <w:jc w:val="left"/>
        <w:rPr>
          <w:rFonts w:ascii="Times New Roman" w:hAnsi="Times New Roman"/>
          <w:sz w:val="20"/>
        </w:rPr>
      </w:pPr>
      <w:r>
        <w:rPr>
          <w:rFonts w:ascii="Times New Roman" w:hAnsi="Times New Roman"/>
          <w:sz w:val="20"/>
        </w:rPr>
        <w:t>In connection with the proposed transaction, SLB intends to file with the SEC a registration statement on Form S-4 (the </w:t>
      </w:r>
      <w:r>
        <w:rPr>
          <w:rFonts w:ascii="Times New Roman" w:hAnsi="Times New Roman"/>
          <w:b/>
          <w:i/>
          <w:sz w:val="20"/>
        </w:rPr>
        <w:t>Form S-4</w:t>
      </w:r>
      <w:r>
        <w:rPr>
          <w:rFonts w:ascii="Times New Roman" w:hAnsi="Times New Roman"/>
          <w:sz w:val="20"/>
        </w:rPr>
        <w:t>) that will include a proxy statement of ChampionX and that also constitutes a prospectus of SLB with respect to the shares of SLB to be issued in the proposed transaction (the </w:t>
      </w:r>
      <w:r>
        <w:rPr>
          <w:rFonts w:ascii="Times New Roman" w:hAnsi="Times New Roman"/>
          <w:b/>
          <w:i/>
          <w:sz w:val="20"/>
        </w:rPr>
        <w:t>proxy statement/prospectus</w:t>
      </w:r>
      <w:r>
        <w:rPr>
          <w:rFonts w:ascii="Times New Roman" w:hAnsi="Times New Roman"/>
          <w:sz w:val="20"/>
        </w:rPr>
        <w:t xml:space="preserve">). Each of SLB and ChampionX may also file other relevant documents with the SEC regarding the proposed transaction. This document is not a substitute for the Form S-4 or proxy statement/prospectus or any other document that SLB or ChampionX may file with the SEC. The definitive proxy statement/prospectus (if and when available) will be mailed to stockholders of ChampionX.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(if and when available) and other documents containing important information about SLB, ChampionX and the proposed transaction, once such documents are filed with the SEC through the website maintained by the SEC at http://www.sec.gov. Copies of the documents filed with, or furnished to, the SEC by SLB will be available free of charge on SLBs website at https://investorcenter.slb.com. Copies of the documents filed with, or furnished to, the SEC by ChampionX will be available free of charge on ChampionXs website at https://investors.championx.com. The information included on, or accessible through, SLBs or ChampionXs website is not incorporated by reference into this communication.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pPr>
      <w:r>
        <w:rPr>
          <w:rFonts w:ascii="Times New Roman" w:hAnsi="Times New Roman"/>
          <w:sz w:val="20"/>
        </w:rPr>
        <w:t>SLB, ChampionX and certain of their respective directors and executive officers may be deemed to be participants in the solicitation of proxies in respect of the proposed transaction. Information about the directors and executive officers of SLB, including a description of their direct or indirect interests, by security holdings or otherwise, is set forth in SLBs proxy statement for its 2024 Annual Meeting of Stockholders (</w:t>
      </w:r>
      <w:hyperlink r:id="rId2">
        <w:r>
          <w:rPr>
            <w:rStyle w:val="InternetLink"/>
            <w:rFonts w:ascii="Times New Roman" w:hAnsi="Times New Roman"/>
            <w:sz w:val="20"/>
          </w:rPr>
          <w:t xml:space="preserve">https://www.sec.gov/ix?doc=/Archives/edgar/data/0000087347/000130817924000033/lslb2024_def14a.htm </w:t>
        </w:r>
      </w:hyperlink>
      <w:r>
        <w:rPr>
          <w:rFonts w:ascii="Times New Roman" w:hAnsi="Times New Roman"/>
          <w:sz w:val="20"/>
        </w:rPr>
        <w:t xml:space="preserve">), which was filed with the SEC on February 22, 2024, </w:t>
      </w:r>
      <w:r>
        <w:rPr>
          <w:rFonts w:ascii="Times New Roman" w:hAnsi="Times New Roman"/>
          <w:sz w:val="20"/>
          <w:u w:val="single"/>
        </w:rPr>
        <w:t>including under the sections entitled</w:t>
      </w:r>
      <w:r>
        <w:rPr>
          <w:rFonts w:ascii="Times New Roman" w:hAnsi="Times New Roman"/>
          <w:sz w:val="20"/>
        </w:rPr>
        <w:t xml:space="preserve"> Director Compensation, Security Ownership by Management and Our Board, Compensation Discussion and Analysis, 2023 Compensation Decisions and Results, Elements of 2023 Total Compensation, Long-Term Equity Incentive Awards, Executive Compensation Tables, Grants of Plan-Based Awards in 2023, Outstanding Equity Awards at Year-End 2023, Potential Payments Upon Termination or Change in Control and Pay vs. Performance Comparison and SLBs Annual Report on Form 10-K for the fiscal year ended December 31, 2023 (</w:t>
      </w:r>
      <w:hyperlink r:id="rId3">
        <w:r>
          <w:rPr>
            <w:rStyle w:val="InternetLink"/>
            <w:rFonts w:ascii="Times New Roman" w:hAnsi="Times New Roman"/>
            <w:sz w:val="20"/>
          </w:rPr>
          <w:t>https://www.sec.gov/ix?doc=/Archives/edgar/data/0000087347/000095017024006884/slb-20231231.htm</w:t>
        </w:r>
      </w:hyperlink>
      <w:r>
        <w:rPr>
          <w:rFonts w:ascii="Times New Roman" w:hAnsi="Times New Roman"/>
          <w:sz w:val="20"/>
        </w:rPr>
        <w:t>), which was filed with the SEC on January 24,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Information about the directors and executive officers of ChampionX, including a description of their direct or indirect interests, by security holdings or otherwise, is set forth in ChampionXs proxy statement for its 2023 Annual Meeting of Stockholders (</w:t>
      </w:r>
      <w:hyperlink r:id="rId4">
        <w:r>
          <w:rPr>
            <w:rStyle w:val="InternetLink"/>
            <w:rFonts w:ascii="Times New Roman" w:hAnsi="Times New Roman"/>
            <w:sz w:val="20"/>
          </w:rPr>
          <w:t xml:space="preserve">https://www.sec.gov/ix?doc=/Archives/edgar/data/1723089/000172308923000073/championx-20230327.htm </w:t>
        </w:r>
      </w:hyperlink>
      <w:r>
        <w:rPr>
          <w:rFonts w:ascii="Times New Roman" w:hAnsi="Times New Roman"/>
          <w:sz w:val="20"/>
        </w:rPr>
        <w:t>), which was filed with the SEC on March 29, 2023, including under the sections entitled Executive Compensation Highlights, Director Compensation, 2022 Director Compensation Table, Security Ownership of Certain Beneficial Owners and Management, Compensation Discussion and Analysis, Key Compensation Overview for 2022, Summary of 2022 Compensation for Named Executive Officers, Elements of Our Executive Compensation Program, Long-Term Equity Incentive Compensation, Additional Executive Compensation Governance Considerations, Executive Compensation Tables, Potential Payments upon Termination or Change-in-Control, Pay-versus-Performance and ChampionXs Annual Report on Form 10-K for the fiscal year ended December  31, 2023 (</w:t>
      </w:r>
      <w:hyperlink r:id="rId5">
        <w:r>
          <w:rPr>
            <w:rStyle w:val="InternetLink"/>
            <w:rFonts w:ascii="Times New Roman" w:hAnsi="Times New Roman"/>
            <w:sz w:val="20"/>
          </w:rPr>
          <w:t>https://www.sec.gov/ix?doc=/Archives/edgar/data/1723089/000172308924000011/championx-20231231.htm</w:t>
        </w:r>
      </w:hyperlink>
      <w:r>
        <w:rPr>
          <w:rFonts w:ascii="Times New Roman" w:hAnsi="Times New Roman"/>
          <w:sz w:val="20"/>
        </w:rPr>
        <w:t xml:space="preserve">), which was filed with the SEC on February 6,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Other information regarding the participants in the proxy solicitation and a description of their direct and indirect interests, by security holdings or otherwise, will be contained in the Form S-4 and the proxy statement/prospectus and other relevant materials to be filed with the SEC regarding the proposed transaction when such materials become available. Investors should read the Form S-4 and the proxy statement/prospectus carefully when available before making any voting or investment decisions. You may obtain free copies of these documents from SLB or ChampionX using the sources indicated above.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ix?doc=/Archives/edgar/data/0000087347/000130817924000033/lslb2024_def14a.htm" TargetMode="External"/><Relationship Id="rId3" Type="http://schemas.openxmlformats.org/officeDocument/2006/relationships/hyperlink" Target="http://www.sec.gov/Archives/edgar/data/../../../ix?doc=/Archives/edgar/data/0000087347/000095017024006884/slb-20231231.htm" TargetMode="External"/><Relationship Id="rId4" Type="http://schemas.openxmlformats.org/officeDocument/2006/relationships/hyperlink" Target="http://www.sec.gov/Archives/edgar/data/../../../ix?doc=/Archives/edgar/data/1723089/000172308923000073/championx-20230327.htm" TargetMode="External"/><Relationship Id="rId5" Type="http://schemas.openxmlformats.org/officeDocument/2006/relationships/hyperlink" Target="http://www.sec.gov/Archives/edgar/data/../../../ix?doc=/Archives/edgar/data/1723089/000172308924000011/championx-2023123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2547</Words>
  <Characters>13877</Characters>
  <CharactersWithSpaces>16197</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