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3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ind w:left="2680"/>
        <w:spacing w:after="0"/>
        <w:rPr>
          <w:sz w:val="20"/>
          <w:szCs w:val="20"/>
          <w:color w:val="auto"/>
        </w:rPr>
      </w:pPr>
      <w:r>
        <w:rPr>
          <w:rFonts w:ascii="Arial" w:cs="Arial" w:eastAsia="Arial" w:hAnsi="Arial"/>
          <w:sz w:val="22"/>
          <w:szCs w:val="22"/>
          <w:b w:val="1"/>
          <w:bCs w:val="1"/>
          <w:color w:val="auto"/>
        </w:rPr>
        <w:t>Date of Report (Date of earliest event reported): February 5,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39"/>
        <w:spacing w:after="0"/>
        <w:rPr>
          <w:sz w:val="20"/>
          <w:szCs w:val="20"/>
          <w:color w:val="auto"/>
        </w:rPr>
      </w:pPr>
      <w:r>
        <w:rPr>
          <w:rFonts w:ascii="Arial" w:cs="Arial" w:eastAsia="Arial" w:hAnsi="Arial"/>
          <w:sz w:val="43"/>
          <w:szCs w:val="43"/>
          <w:b w:val="1"/>
          <w:bCs w:val="1"/>
          <w:color w:val="auto"/>
        </w:rPr>
        <w:t>SCHLUMBERGER N.V. (SCHLUMBERGER LIMITED)</w:t>
      </w:r>
    </w:p>
    <w:p>
      <w:pPr>
        <w:spacing w:after="0" w:line="50"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100"/>
          </w:cols>
          <w:pgMar w:left="240" w:top="368" w:right="5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1940"/>
          </w:cols>
          <w:pgMar w:left="240" w:top="368" w:right="5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Arial" w:cs="Arial" w:eastAsia="Arial" w:hAnsi="Arial"/>
          <w:sz w:val="14"/>
          <w:szCs w:val="14"/>
          <w:b w:val="1"/>
          <w:bCs w:val="1"/>
          <w:color w:val="auto"/>
        </w:rPr>
        <w:t>(IRS Employer</w:t>
      </w:r>
    </w:p>
    <w:p>
      <w:pPr>
        <w:jc w:val="center"/>
        <w:ind w:right="9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060"/>
          </w:cols>
          <w:pgMar w:left="240" w:top="368" w:right="559" w:bottom="1440" w:gutter="0" w:footer="0" w:header="0"/>
          <w:type w:val="continuous"/>
        </w:sectPr>
      </w:pPr>
    </w:p>
    <w:p>
      <w:pPr>
        <w:spacing w:after="0" w:line="6"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62 Buckingham Gate, London SW1E 6AJ</w:t>
      </w:r>
    </w:p>
    <w:p>
      <w:pPr>
        <w:spacing w:after="0" w:line="9"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jc w:val="center"/>
        <w:ind w:right="-339"/>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100"/>
          </w:cols>
          <w:pgMar w:left="240" w:top="368" w:right="559" w:bottom="1440" w:gutter="0" w:footer="0" w:header="0"/>
          <w:type w:val="continuous"/>
        </w:sectPr>
      </w:pPr>
    </w:p>
    <w:p>
      <w:pPr>
        <w:spacing w:after="0" w:line="215"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80"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368" w:right="5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On February 5, 2016, Schlumberger Limited and Cameron International Corporation issued a joint press release announcing that the European Commission has cleared their proposed merger under the EC Merger Regulation without any conditions.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foregoing description is qualified in its entirety by reference to the press release, which is attached hereto as Exhibit 99.1 and incorporated by reference herein.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listed below is furnished pursuant to Item 9.01 of this Form 8-K.</w:t>
      </w:r>
    </w:p>
    <w:p>
      <w:pPr>
        <w:spacing w:after="0" w:line="23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5, 2016.</w:t>
      </w:r>
    </w:p>
    <w:p>
      <w:pPr>
        <w:sectPr>
          <w:pgSz w:w="11900" w:h="16838" w:orient="portrait"/>
          <w:cols w:equalWidth="0" w:num="1">
            <w:col w:w="10980"/>
          </w:cols>
          <w:pgMar w:left="240" w:top="270" w:right="67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5, 2016</w:t>
      </w:r>
    </w:p>
    <w:p>
      <w:pPr>
        <w:sectPr>
          <w:pgSz w:w="11900" w:h="16838" w:orient="portrait"/>
          <w:cols w:equalWidth="0" w:num="1">
            <w:col w:w="10660"/>
          </w:cols>
          <w:pgMar w:left="240" w:top="270"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Schlumberger-Cameron Merger Receives Unconditional Clearance from European Commission</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PARIS, February 5, 2016 — Schlumberger Limited (NYSE: SLB) and Cameron International Corporation (NYSE: CAM) jointly announced today that the European Commission has cleared their proposed merger without any conditions following a Phase 1 review.</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As previously announced, the U.S. Department of Justice cleared the proposed merger in November 2015 without any conditions; Cameron stockholders voted on December 17 to adopt the merger agreement between Schlumberger and Cameron; and antitrust clearances have been obtained in Canada, Brazil, Russia, and Mexico.</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Under the terms of the merger agreement, Schlumberger and Cameron only await regulatory approval from the Ministry of Commerce of the Peoples’ Republic of China. The Chinese authorities started their 30-day Phase I review process on February 4, 2016.</w:t>
      </w:r>
    </w:p>
    <w:p>
      <w:pPr>
        <w:spacing w:after="0" w:line="170"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The closing of the proposed merger remains subject to the satisfaction or waiver of the remaining customary closing conditions contained in the merger agreement. Schlumberger and Cameron expect to close the merger in the first quarter of 2016. Until that time, the companies will continue to operate as separate and independent entities and continue to serve their respective customers.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Schlumberger is the world’s leading supplier of technology, integrated project management and information solutions to customers working in the oil and gas industry worldwide. Employing more than 95,000 people representing over 140 nationalities and working in more than 85 countries, Schlumberger provides the industry’s widest range of products and services from exploration through production. Schlumberger Limited has principal offices in Paris, Houston, London and The Hague, and reported revenues of $35.47 billion in 2015. For more information, visit </w:t>
      </w:r>
      <w:r>
        <w:rPr>
          <w:rFonts w:ascii="Arial" w:cs="Arial" w:eastAsia="Arial" w:hAnsi="Arial"/>
          <w:sz w:val="17"/>
          <w:szCs w:val="17"/>
          <w:u w:val="single" w:color="auto"/>
          <w:color w:val="auto"/>
        </w:rPr>
        <w:t>www.slb.com</w:t>
      </w:r>
      <w:r>
        <w:rPr>
          <w:rFonts w:ascii="Arial" w:cs="Arial" w:eastAsia="Arial" w:hAnsi="Arial"/>
          <w:sz w:val="17"/>
          <w:szCs w:val="17"/>
          <w:color w:val="auto"/>
        </w:rPr>
        <w: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Cameron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Cameron is a leading provider of flow equipment products, systems and services to worldwide oil and gas industries.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communication contains “forward-looking statements” within the meaning of Section 27A of the Securities Act of 1933, as amended, and Section 21E of the Securities Exchange Act of 1934, as amended. The expected timetable for completing the proposed transaction, and other statements regarding Schlumberger’s and Cameron’s future expectations, beliefs, plans, objectives, assumptions or future events or performance that are not statements of historical fact, are forward-looking statements. Neither Schlumberger nor Cameron can give any assurance that such expectations will prove correct. These statements are subject to, among other things, satisfaction of the closing conditions to the merger and other risk factors that are discussed in Schlumberger’s and Cameron’s most recent Annual Reports on Form 10-K and the definitive proxy statement/prospectus referred to below, as well as each company’s other filings with the SEC available at the SEC’s Internet site (</w:t>
      </w:r>
      <w:r>
        <w:rPr>
          <w:rFonts w:ascii="Arial" w:cs="Arial" w:eastAsia="Arial" w:hAnsi="Arial"/>
          <w:sz w:val="17"/>
          <w:szCs w:val="17"/>
          <w:u w:val="single" w:color="auto"/>
          <w:color w:val="auto"/>
        </w:rPr>
        <w:t>http://www.sec.gov</w:t>
      </w:r>
      <w:r>
        <w:rPr>
          <w:rFonts w:ascii="Arial" w:cs="Arial" w:eastAsia="Arial" w:hAnsi="Arial"/>
          <w:sz w:val="17"/>
          <w:szCs w:val="17"/>
          <w:color w:val="auto"/>
        </w:rPr>
        <w:t>). Actual results may differ materially from those expected, estimated or projected. Forward-looking statements speak only as of the date they are made, and neither Schlumberger nor Cameron undertakes any obligation to publicly update or revise any of them in light of new information, future events or otherwise.</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Information</w:t>
      </w:r>
    </w:p>
    <w:p>
      <w:pPr>
        <w:spacing w:after="0" w:line="12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connection with the proposed transaction, Schlumberger has filed with the SEC a registration statement on Form S-4, including Amendment No. 1 thereto, which was declared effective by the SEC on November 16, 2015, and Cameron has filed the definitive proxy statement/prospectus on November 17,</w:t>
      </w:r>
    </w:p>
    <w:p>
      <w:pPr>
        <w:ind w:right="60"/>
        <w:spacing w:after="0" w:line="261" w:lineRule="auto"/>
        <w:rPr>
          <w:sz w:val="20"/>
          <w:szCs w:val="20"/>
          <w:color w:val="auto"/>
        </w:rPr>
      </w:pPr>
      <w:r>
        <w:rPr>
          <w:rFonts w:ascii="Arial" w:cs="Arial" w:eastAsia="Arial" w:hAnsi="Arial"/>
          <w:sz w:val="18"/>
          <w:szCs w:val="18"/>
          <w:color w:val="auto"/>
        </w:rPr>
        <w:t>2015. This communication is not a substitute for the definitive proxy statement/prospectus, the registration statement or any other document Schlumberger or Cameron may file with the SEC in connection with the proposed transaction.</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STOCKHOLDERS ARE URGED TO READ THE DEFINITIVE PROXY STATEMENT/PROSPECTUS, THE REGISTRATION STATEMENT AND OTHER DOCUMENTS THAT HAVE BEEN AND THAT MAY BE FILED WITH THE SEC REGARDING THE PROPOSED TRANSACTION CAREFULLY AND IN THEIR ENTIRETY AS AND WHEN THEY ARE AVAILABLE BECAUSE THEY CONTAIN OR WILL CONTAIN IMPORTANT INFORMATION ABOUT THE PROPOSED TRANSACTION. These materials will be made available to stockholders of Cameron at no expense to them. Investors will be able to obtain free copies of these documents and other documents filed with the SEC by Schlumberger and/or Cameron through the website maintained by the SEC at http://www.sec.gov. Copies of the documents filed with the SEC by Schlumberger are available free of charge on Schlumberger’s internet website at http://www.slb.com. Copies of the documents filed with the SEC by Cameron are available free of charge on Cameron’s internet website at http://www.c-a-m.com. You may also read and copy any reports, statements and other information filed by Cameron or Schlumberger with the SEC at the SEC public reference room at 100 F Street N.E., Room 1580, Washington, D.C. 20549. Please call the SEC at (800) 732-0330 or visit the SEC’s website for further information on its public reference room.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contact: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Simon Farrant – Schlumberger Limited, Vice President of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Schlumberger Limited, Manager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Scott Lamb – Cameron, Vice President of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 +1 (713) 513-3344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scott.lamb@c-a-m.com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Joao Felix – Schlumberger Limited, Director of Corporate Communication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Tel:+1 713 375 3494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communication@slb.com</w:t>
      </w:r>
    </w:p>
    <w:sectPr>
      <w:pgSz w:w="11900" w:h="16838" w:orient="portrait"/>
      <w:cols w:equalWidth="0" w:num="1">
        <w:col w:w="11400"/>
      </w:cols>
      <w:pgMar w:left="240" w:top="27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2019-12-05T09:52:11Z</dcterms:created>
  <dcterms:modified xsi:type="dcterms:W3CDTF">2019-12-05T09:52:11Z</dcterms:modified>
</cp:coreProperties>
</file>