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December 21, 2012</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333-173055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Post-Effective Amendment No. 1</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to</w:t>
      </w:r>
    </w:p>
    <w:p>
      <w:pPr>
        <w:jc w:val="center"/>
        <w:spacing w:after="0"/>
        <w:rPr>
          <w:sz w:val="20"/>
          <w:szCs w:val="20"/>
          <w:color w:val="auto"/>
        </w:rPr>
      </w:pPr>
      <w:r>
        <w:rPr>
          <w:rFonts w:ascii="Arial" w:cs="Arial" w:eastAsia="Arial" w:hAnsi="Arial"/>
          <w:sz w:val="32"/>
          <w:szCs w:val="32"/>
          <w:b w:val="1"/>
          <w:bCs w:val="1"/>
          <w:color w:val="auto"/>
        </w:rPr>
        <w:t>FORM S-8</w:t>
      </w:r>
    </w:p>
    <w:p>
      <w:pPr>
        <w:jc w:val="center"/>
        <w:spacing w:after="0" w:line="238" w:lineRule="auto"/>
        <w:rPr>
          <w:sz w:val="20"/>
          <w:szCs w:val="20"/>
          <w:color w:val="auto"/>
        </w:rPr>
      </w:pPr>
      <w:r>
        <w:rPr>
          <w:rFonts w:ascii="Arial" w:cs="Arial" w:eastAsia="Arial" w:hAnsi="Arial"/>
          <w:sz w:val="32"/>
          <w:szCs w:val="32"/>
          <w:b w:val="1"/>
          <w:bCs w:val="1"/>
          <w:color w:val="auto"/>
        </w:rPr>
        <w:t>REGISTRATION STATEMENT</w:t>
      </w:r>
    </w:p>
    <w:p>
      <w:pPr>
        <w:jc w:val="center"/>
        <w:spacing w:after="0" w:line="232" w:lineRule="auto"/>
        <w:rPr>
          <w:sz w:val="20"/>
          <w:szCs w:val="20"/>
          <w:color w:val="auto"/>
        </w:rPr>
      </w:pPr>
      <w:r>
        <w:rPr>
          <w:rFonts w:ascii="Arial" w:cs="Arial" w:eastAsia="Arial" w:hAnsi="Arial"/>
          <w:sz w:val="22"/>
          <w:szCs w:val="22"/>
          <w:b w:val="1"/>
          <w:bCs w:val="1"/>
          <w:i w:val="1"/>
          <w:iCs w:val="1"/>
          <w:color w:val="auto"/>
        </w:rPr>
        <w:t>UNDER</w:t>
      </w: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7" w:lineRule="exact"/>
        <w:rPr>
          <w:sz w:val="24"/>
          <w:szCs w:val="24"/>
          <w:color w:val="auto"/>
        </w:rPr>
      </w:pPr>
    </w:p>
    <w:p>
      <w:pPr>
        <w:ind w:left="3400"/>
        <w:spacing w:after="0"/>
        <w:rPr>
          <w:sz w:val="20"/>
          <w:szCs w:val="20"/>
          <w:color w:val="auto"/>
        </w:rPr>
      </w:pPr>
      <w:r>
        <w:rPr>
          <w:rFonts w:ascii="Arial" w:cs="Arial" w:eastAsia="Arial" w:hAnsi="Arial"/>
          <w:sz w:val="43"/>
          <w:szCs w:val="43"/>
          <w:b w:val="1"/>
          <w:bCs w:val="1"/>
          <w:color w:val="auto"/>
        </w:rPr>
        <w:t>SCHLUMBERGER N.V.</w:t>
      </w:r>
    </w:p>
    <w:p>
      <w:pPr>
        <w:spacing w:after="0" w:line="55" w:lineRule="exact"/>
        <w:rPr>
          <w:sz w:val="24"/>
          <w:szCs w:val="24"/>
          <w:color w:val="auto"/>
        </w:rPr>
      </w:pPr>
    </w:p>
    <w:p>
      <w:pPr>
        <w:ind w:left="3480"/>
        <w:spacing w:after="0"/>
        <w:rPr>
          <w:sz w:val="20"/>
          <w:szCs w:val="20"/>
          <w:color w:val="auto"/>
        </w:rPr>
      </w:pPr>
      <w:r>
        <w:rPr>
          <w:rFonts w:ascii="Arial" w:cs="Arial" w:eastAsia="Arial" w:hAnsi="Arial"/>
          <w:sz w:val="43"/>
          <w:szCs w:val="43"/>
          <w:b w:val="1"/>
          <w:bCs w:val="1"/>
          <w:color w:val="auto"/>
        </w:rPr>
        <w:t>(Schlumberger Limited)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3" w:lineRule="exact"/>
        <w:rPr>
          <w:sz w:val="24"/>
          <w:szCs w:val="24"/>
          <w:color w:val="auto"/>
        </w:rPr>
      </w:pPr>
    </w:p>
    <w:tbl>
      <w:tblPr>
        <w:tblLayout w:type="fixed"/>
        <w:tblInd w:w="2020" w:type="dxa"/>
        <w:tblCellMar>
          <w:top w:w="0" w:type="dxa"/>
          <w:left w:w="0" w:type="dxa"/>
          <w:bottom w:w="0" w:type="dxa"/>
          <w:right w:w="0" w:type="dxa"/>
        </w:tblCellMar>
      </w:tblPr>
      <w:tr>
        <w:trPr>
          <w:trHeight w:val="218"/>
        </w:trPr>
        <w:tc>
          <w:tcPr>
            <w:tcW w:w="3920" w:type="dxa"/>
            <w:vAlign w:val="bottom"/>
          </w:tcPr>
          <w:p>
            <w:pPr>
              <w:jc w:val="center"/>
              <w:ind w:right="2106"/>
              <w:spacing w:after="0"/>
              <w:rPr>
                <w:sz w:val="20"/>
                <w:szCs w:val="20"/>
                <w:color w:val="auto"/>
              </w:rPr>
            </w:pPr>
            <w:r>
              <w:rPr>
                <w:rFonts w:ascii="Arial" w:cs="Arial" w:eastAsia="Arial" w:hAnsi="Arial"/>
                <w:sz w:val="18"/>
                <w:szCs w:val="18"/>
                <w:b w:val="1"/>
                <w:bCs w:val="1"/>
                <w:color w:val="auto"/>
                <w:w w:val="91"/>
              </w:rPr>
              <w:t>Curaçao</w:t>
            </w:r>
          </w:p>
        </w:tc>
        <w:tc>
          <w:tcPr>
            <w:tcW w:w="3240" w:type="dxa"/>
            <w:vAlign w:val="bottom"/>
          </w:tcPr>
          <w:p>
            <w:pPr>
              <w:jc w:val="center"/>
              <w:ind w:left="2106"/>
              <w:spacing w:after="0"/>
              <w:rPr>
                <w:sz w:val="20"/>
                <w:szCs w:val="20"/>
                <w:color w:val="auto"/>
              </w:rPr>
            </w:pPr>
            <w:r>
              <w:rPr>
                <w:rFonts w:ascii="Arial" w:cs="Arial" w:eastAsia="Arial" w:hAnsi="Arial"/>
                <w:sz w:val="18"/>
                <w:szCs w:val="18"/>
                <w:b w:val="1"/>
                <w:bCs w:val="1"/>
                <w:color w:val="auto"/>
                <w:w w:val="89"/>
              </w:rPr>
              <w:t>52-0684746</w:t>
            </w:r>
          </w:p>
        </w:tc>
      </w:tr>
      <w:tr>
        <w:trPr>
          <w:trHeight w:val="149"/>
        </w:trPr>
        <w:tc>
          <w:tcPr>
            <w:tcW w:w="3920" w:type="dxa"/>
            <w:vAlign w:val="bottom"/>
          </w:tcPr>
          <w:p>
            <w:pPr>
              <w:jc w:val="center"/>
              <w:ind w:right="2106"/>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3240" w:type="dxa"/>
            <w:vAlign w:val="bottom"/>
          </w:tcPr>
          <w:p>
            <w:pPr>
              <w:jc w:val="center"/>
              <w:ind w:left="210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3920" w:type="dxa"/>
            <w:vAlign w:val="bottom"/>
          </w:tcPr>
          <w:p>
            <w:pPr>
              <w:jc w:val="center"/>
              <w:ind w:right="2086"/>
              <w:spacing w:after="0"/>
              <w:rPr>
                <w:sz w:val="20"/>
                <w:szCs w:val="20"/>
                <w:color w:val="auto"/>
              </w:rPr>
            </w:pPr>
            <w:r>
              <w:rPr>
                <w:rFonts w:ascii="Arial" w:cs="Arial" w:eastAsia="Arial" w:hAnsi="Arial"/>
                <w:sz w:val="14"/>
                <w:szCs w:val="14"/>
                <w:b w:val="1"/>
                <w:bCs w:val="1"/>
                <w:color w:val="auto"/>
                <w:w w:val="88"/>
              </w:rPr>
              <w:t>incorporation or organization)</w:t>
            </w:r>
          </w:p>
        </w:tc>
        <w:tc>
          <w:tcPr>
            <w:tcW w:w="3240" w:type="dxa"/>
            <w:vAlign w:val="bottom"/>
          </w:tcPr>
          <w:p>
            <w:pPr>
              <w:jc w:val="center"/>
              <w:ind w:left="2106"/>
              <w:spacing w:after="0"/>
              <w:rPr>
                <w:sz w:val="20"/>
                <w:szCs w:val="20"/>
                <w:color w:val="auto"/>
              </w:rPr>
            </w:pPr>
            <w:r>
              <w:rPr>
                <w:rFonts w:ascii="Arial" w:cs="Arial" w:eastAsia="Arial" w:hAnsi="Arial"/>
                <w:sz w:val="14"/>
                <w:szCs w:val="14"/>
                <w:b w:val="1"/>
                <w:bCs w:val="1"/>
                <w:color w:val="auto"/>
                <w:w w:val="89"/>
              </w:rPr>
              <w:t>Identification No.)</w:t>
            </w:r>
          </w:p>
        </w:tc>
      </w:tr>
    </w:tbl>
    <w:p>
      <w:pPr>
        <w:spacing w:after="0" w:line="200" w:lineRule="exact"/>
        <w:rPr>
          <w:sz w:val="24"/>
          <w:szCs w:val="24"/>
          <w:color w:val="auto"/>
        </w:rPr>
      </w:pPr>
    </w:p>
    <w:p>
      <w:pPr>
        <w:sectPr>
          <w:pgSz w:w="11900" w:h="16838" w:orient="portrait"/>
          <w:cols w:equalWidth="0" w:num="1">
            <w:col w:w="11420"/>
          </w:cols>
          <w:pgMar w:left="240" w:top="233" w:right="239" w:bottom="1440" w:gutter="0" w:footer="0" w:header="0"/>
        </w:sectPr>
      </w:pPr>
    </w:p>
    <w:p>
      <w:pPr>
        <w:spacing w:after="0" w:line="2" w:lineRule="exact"/>
        <w:rPr>
          <w:sz w:val="24"/>
          <w:szCs w:val="24"/>
          <w:color w:val="auto"/>
        </w:rPr>
      </w:pPr>
    </w:p>
    <w:p>
      <w:pPr>
        <w:jc w:val="center"/>
        <w:ind w:right="2440"/>
        <w:spacing w:after="0"/>
        <w:rPr>
          <w:sz w:val="20"/>
          <w:szCs w:val="20"/>
          <w:color w:val="auto"/>
        </w:rPr>
      </w:pPr>
      <w:r>
        <w:rPr>
          <w:rFonts w:ascii="Arial" w:cs="Arial" w:eastAsia="Arial" w:hAnsi="Arial"/>
          <w:sz w:val="18"/>
          <w:szCs w:val="18"/>
          <w:b w:val="1"/>
          <w:bCs w:val="1"/>
          <w:color w:val="auto"/>
        </w:rPr>
        <w:t>42, rue Saint-Dominique</w:t>
      </w:r>
    </w:p>
    <w:p>
      <w:pPr>
        <w:spacing w:after="0" w:line="21" w:lineRule="exact"/>
        <w:rPr>
          <w:sz w:val="24"/>
          <w:szCs w:val="24"/>
          <w:color w:val="auto"/>
        </w:rPr>
      </w:pPr>
    </w:p>
    <w:p>
      <w:pPr>
        <w:jc w:val="center"/>
        <w:ind w:right="2440"/>
        <w:spacing w:after="0"/>
        <w:rPr>
          <w:sz w:val="20"/>
          <w:szCs w:val="20"/>
          <w:color w:val="auto"/>
        </w:rPr>
      </w:pPr>
      <w:r>
        <w:rPr>
          <w:rFonts w:ascii="Arial" w:cs="Arial" w:eastAsia="Arial" w:hAnsi="Arial"/>
          <w:sz w:val="18"/>
          <w:szCs w:val="18"/>
          <w:b w:val="1"/>
          <w:bCs w:val="1"/>
          <w:color w:val="auto"/>
        </w:rPr>
        <w:t>Paris, France</w:t>
      </w:r>
    </w:p>
    <w:p>
      <w:pPr>
        <w:spacing w:after="0" w:line="226" w:lineRule="exact"/>
        <w:rPr>
          <w:sz w:val="24"/>
          <w:szCs w:val="24"/>
          <w:color w:val="auto"/>
        </w:rPr>
      </w:pPr>
    </w:p>
    <w:p>
      <w:pPr>
        <w:jc w:val="center"/>
        <w:ind w:right="2440"/>
        <w:spacing w:after="0"/>
        <w:rPr>
          <w:sz w:val="20"/>
          <w:szCs w:val="20"/>
          <w:color w:val="auto"/>
        </w:rPr>
      </w:pPr>
      <w:r>
        <w:rPr>
          <w:rFonts w:ascii="Arial" w:cs="Arial" w:eastAsia="Arial" w:hAnsi="Arial"/>
          <w:sz w:val="18"/>
          <w:szCs w:val="18"/>
          <w:b w:val="1"/>
          <w:bCs w:val="1"/>
          <w:color w:val="auto"/>
        </w:rPr>
        <w:t>5599 San Felipe, 17</w:t>
      </w:r>
      <w:r>
        <w:rPr>
          <w:rFonts w:ascii="Arial" w:cs="Arial" w:eastAsia="Arial" w:hAnsi="Arial"/>
          <w:sz w:val="11"/>
          <w:szCs w:val="11"/>
          <w:b w:val="1"/>
          <w:bCs w:val="1"/>
          <w:color w:val="auto"/>
        </w:rPr>
        <w:t>th</w:t>
      </w:r>
      <w:r>
        <w:rPr>
          <w:rFonts w:ascii="Arial" w:cs="Arial" w:eastAsia="Arial" w:hAnsi="Arial"/>
          <w:sz w:val="18"/>
          <w:szCs w:val="18"/>
          <w:b w:val="1"/>
          <w:bCs w:val="1"/>
          <w:color w:val="auto"/>
        </w:rPr>
        <w:t xml:space="preserve"> Floor</w:t>
      </w:r>
    </w:p>
    <w:p>
      <w:pPr>
        <w:spacing w:after="0" w:line="21" w:lineRule="exact"/>
        <w:rPr>
          <w:sz w:val="24"/>
          <w:szCs w:val="24"/>
          <w:color w:val="auto"/>
        </w:rPr>
      </w:pPr>
    </w:p>
    <w:p>
      <w:pPr>
        <w:jc w:val="center"/>
        <w:ind w:right="2440"/>
        <w:spacing w:after="0"/>
        <w:rPr>
          <w:sz w:val="20"/>
          <w:szCs w:val="20"/>
          <w:color w:val="auto"/>
        </w:rPr>
      </w:pPr>
      <w:r>
        <w:rPr>
          <w:rFonts w:ascii="Arial" w:cs="Arial" w:eastAsia="Arial" w:hAnsi="Arial"/>
          <w:sz w:val="15"/>
          <w:szCs w:val="15"/>
          <w:b w:val="1"/>
          <w:bCs w:val="1"/>
          <w:color w:val="auto"/>
        </w:rPr>
        <w:t>Houston, Texas, United States of America</w:t>
      </w:r>
    </w:p>
    <w:p>
      <w:pPr>
        <w:spacing w:after="0" w:line="261" w:lineRule="exact"/>
        <w:rPr>
          <w:sz w:val="24"/>
          <w:szCs w:val="24"/>
          <w:color w:val="auto"/>
        </w:rPr>
      </w:pPr>
    </w:p>
    <w:p>
      <w:pPr>
        <w:jc w:val="center"/>
        <w:ind w:right="2440"/>
        <w:spacing w:after="0"/>
        <w:rPr>
          <w:sz w:val="20"/>
          <w:szCs w:val="20"/>
          <w:color w:val="auto"/>
        </w:rPr>
      </w:pPr>
      <w:r>
        <w:rPr>
          <w:rFonts w:ascii="Arial" w:cs="Arial" w:eastAsia="Arial" w:hAnsi="Arial"/>
          <w:sz w:val="18"/>
          <w:szCs w:val="18"/>
          <w:b w:val="1"/>
          <w:bCs w:val="1"/>
          <w:color w:val="auto"/>
        </w:rPr>
        <w:t>Parkstraat 83, The Hague</w:t>
      </w:r>
    </w:p>
    <w:p>
      <w:pPr>
        <w:spacing w:after="0" w:line="21" w:lineRule="exact"/>
        <w:rPr>
          <w:sz w:val="24"/>
          <w:szCs w:val="24"/>
          <w:color w:val="auto"/>
        </w:rPr>
      </w:pPr>
    </w:p>
    <w:p>
      <w:pPr>
        <w:jc w:val="center"/>
        <w:ind w:right="2440"/>
        <w:spacing w:after="0"/>
        <w:rPr>
          <w:sz w:val="20"/>
          <w:szCs w:val="20"/>
          <w:color w:val="auto"/>
        </w:rPr>
      </w:pPr>
      <w:r>
        <w:rPr>
          <w:rFonts w:ascii="Arial" w:cs="Arial" w:eastAsia="Arial" w:hAnsi="Arial"/>
          <w:sz w:val="18"/>
          <w:szCs w:val="18"/>
          <w:b w:val="1"/>
          <w:bCs w:val="1"/>
          <w:color w:val="auto"/>
        </w:rPr>
        <w:t>The Netherlands</w:t>
      </w:r>
    </w:p>
    <w:p>
      <w:pPr>
        <w:spacing w:after="0" w:line="12" w:lineRule="exact"/>
        <w:rPr>
          <w:sz w:val="24"/>
          <w:szCs w:val="24"/>
          <w:color w:val="auto"/>
        </w:rPr>
      </w:pPr>
    </w:p>
    <w:p>
      <w:pPr>
        <w:ind w:left="1680"/>
        <w:spacing w:after="0"/>
        <w:rPr>
          <w:sz w:val="20"/>
          <w:szCs w:val="20"/>
          <w:color w:val="auto"/>
        </w:rPr>
      </w:pPr>
      <w:r>
        <w:rPr>
          <w:rFonts w:ascii="Arial" w:cs="Arial" w:eastAsia="Arial" w:hAnsi="Arial"/>
          <w:sz w:val="14"/>
          <w:szCs w:val="14"/>
          <w:b w:val="1"/>
          <w:bCs w:val="1"/>
          <w:color w:val="auto"/>
        </w:rPr>
        <w:t>(Addresses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111760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6"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SCHLUMBERGER 2010 OMNIBUS STOCK INCENTIVE PLAN</w:t>
      </w:r>
    </w:p>
    <w:p>
      <w:pPr>
        <w:spacing w:after="0" w:line="21" w:lineRule="exact"/>
        <w:rPr>
          <w:sz w:val="24"/>
          <w:szCs w:val="24"/>
          <w:color w:val="auto"/>
        </w:rPr>
      </w:pPr>
    </w:p>
    <w:p>
      <w:pPr>
        <w:ind w:left="3260"/>
        <w:spacing w:after="0"/>
        <w:rPr>
          <w:sz w:val="20"/>
          <w:szCs w:val="20"/>
          <w:color w:val="auto"/>
        </w:rPr>
      </w:pPr>
      <w:r>
        <w:rPr>
          <w:rFonts w:ascii="Arial" w:cs="Arial" w:eastAsia="Arial" w:hAnsi="Arial"/>
          <w:sz w:val="16"/>
          <w:szCs w:val="16"/>
          <w:b w:val="1"/>
          <w:bCs w:val="1"/>
          <w:color w:val="auto"/>
        </w:rPr>
        <w:t>SCHLUMBERGER DISCOUNTED STOCK PURCHASE PLAN</w:t>
      </w:r>
    </w:p>
    <w:p>
      <w:pPr>
        <w:spacing w:after="0" w:line="32" w:lineRule="exact"/>
        <w:rPr>
          <w:sz w:val="24"/>
          <w:szCs w:val="24"/>
          <w:color w:val="auto"/>
        </w:rPr>
      </w:pPr>
    </w:p>
    <w:p>
      <w:pPr>
        <w:ind w:left="5100"/>
        <w:spacing w:after="0"/>
        <w:rPr>
          <w:sz w:val="20"/>
          <w:szCs w:val="20"/>
          <w:color w:val="auto"/>
        </w:rPr>
      </w:pPr>
      <w:r>
        <w:rPr>
          <w:rFonts w:ascii="Arial" w:cs="Arial" w:eastAsia="Arial" w:hAnsi="Arial"/>
          <w:sz w:val="14"/>
          <w:szCs w:val="14"/>
          <w:b w:val="1"/>
          <w:bCs w:val="1"/>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2" w:lineRule="exact"/>
        <w:rPr>
          <w:sz w:val="24"/>
          <w:szCs w:val="24"/>
          <w:color w:val="auto"/>
        </w:rPr>
      </w:pPr>
    </w:p>
    <w:p>
      <w:pPr>
        <w:jc w:val="center"/>
        <w:ind w:left="3220"/>
        <w:spacing w:after="0"/>
        <w:rPr>
          <w:sz w:val="20"/>
          <w:szCs w:val="20"/>
          <w:color w:val="auto"/>
        </w:rPr>
      </w:pPr>
      <w:r>
        <w:rPr>
          <w:rFonts w:ascii="Arial" w:cs="Arial" w:eastAsia="Arial" w:hAnsi="Arial"/>
          <w:sz w:val="18"/>
          <w:szCs w:val="18"/>
          <w:b w:val="1"/>
          <w:bCs w:val="1"/>
          <w:color w:val="auto"/>
        </w:rPr>
        <w:t>Alexander C. Juden</w:t>
      </w:r>
    </w:p>
    <w:p>
      <w:pPr>
        <w:spacing w:after="0" w:line="21" w:lineRule="exact"/>
        <w:rPr>
          <w:sz w:val="24"/>
          <w:szCs w:val="24"/>
          <w:color w:val="auto"/>
        </w:rPr>
      </w:pPr>
    </w:p>
    <w:p>
      <w:pPr>
        <w:jc w:val="center"/>
        <w:ind w:left="3220"/>
        <w:spacing w:after="0"/>
        <w:rPr>
          <w:sz w:val="20"/>
          <w:szCs w:val="20"/>
          <w:color w:val="auto"/>
        </w:rPr>
      </w:pPr>
      <w:r>
        <w:rPr>
          <w:rFonts w:ascii="Arial" w:cs="Arial" w:eastAsia="Arial" w:hAnsi="Arial"/>
          <w:sz w:val="18"/>
          <w:szCs w:val="18"/>
          <w:b w:val="1"/>
          <w:bCs w:val="1"/>
          <w:color w:val="auto"/>
        </w:rPr>
        <w:t>Secretary and General Counsel</w:t>
      </w:r>
    </w:p>
    <w:p>
      <w:pPr>
        <w:spacing w:after="0" w:line="9" w:lineRule="exact"/>
        <w:rPr>
          <w:sz w:val="24"/>
          <w:szCs w:val="24"/>
          <w:color w:val="auto"/>
        </w:rPr>
      </w:pPr>
    </w:p>
    <w:p>
      <w:pPr>
        <w:jc w:val="center"/>
        <w:ind w:left="3220"/>
        <w:spacing w:after="0"/>
        <w:rPr>
          <w:sz w:val="20"/>
          <w:szCs w:val="20"/>
          <w:color w:val="auto"/>
        </w:rPr>
      </w:pPr>
      <w:r>
        <w:rPr>
          <w:rFonts w:ascii="Arial" w:cs="Arial" w:eastAsia="Arial" w:hAnsi="Arial"/>
          <w:sz w:val="18"/>
          <w:szCs w:val="18"/>
          <w:b w:val="1"/>
          <w:bCs w:val="1"/>
          <w:color w:val="auto"/>
        </w:rPr>
        <w:t>Schlumberger Limited</w:t>
      </w:r>
    </w:p>
    <w:p>
      <w:pPr>
        <w:spacing w:after="0" w:line="9" w:lineRule="exact"/>
        <w:rPr>
          <w:sz w:val="24"/>
          <w:szCs w:val="24"/>
          <w:color w:val="auto"/>
        </w:rPr>
      </w:pPr>
    </w:p>
    <w:p>
      <w:pPr>
        <w:jc w:val="center"/>
        <w:ind w:left="3220"/>
        <w:spacing w:after="0"/>
        <w:rPr>
          <w:sz w:val="20"/>
          <w:szCs w:val="20"/>
          <w:color w:val="auto"/>
        </w:rPr>
      </w:pPr>
      <w:r>
        <w:rPr>
          <w:rFonts w:ascii="Arial" w:cs="Arial" w:eastAsia="Arial" w:hAnsi="Arial"/>
          <w:sz w:val="18"/>
          <w:szCs w:val="18"/>
          <w:b w:val="1"/>
          <w:bCs w:val="1"/>
          <w:color w:val="auto"/>
        </w:rPr>
        <w:t>5599 San Felipe, 17th Floor</w:t>
      </w:r>
    </w:p>
    <w:p>
      <w:pPr>
        <w:spacing w:after="0" w:line="9" w:lineRule="exact"/>
        <w:rPr>
          <w:sz w:val="24"/>
          <w:szCs w:val="24"/>
          <w:color w:val="auto"/>
        </w:rPr>
      </w:pPr>
    </w:p>
    <w:p>
      <w:pPr>
        <w:jc w:val="center"/>
        <w:ind w:left="3220"/>
        <w:spacing w:after="0"/>
        <w:rPr>
          <w:sz w:val="20"/>
          <w:szCs w:val="20"/>
          <w:color w:val="auto"/>
        </w:rPr>
      </w:pPr>
      <w:r>
        <w:rPr>
          <w:rFonts w:ascii="Arial" w:cs="Arial" w:eastAsia="Arial" w:hAnsi="Arial"/>
          <w:sz w:val="18"/>
          <w:szCs w:val="18"/>
          <w:b w:val="1"/>
          <w:bCs w:val="1"/>
          <w:color w:val="auto"/>
        </w:rPr>
        <w:t>Houston, Texas 77056</w:t>
      </w:r>
    </w:p>
    <w:p>
      <w:pPr>
        <w:spacing w:after="0" w:line="9" w:lineRule="exact"/>
        <w:rPr>
          <w:sz w:val="24"/>
          <w:szCs w:val="24"/>
          <w:color w:val="auto"/>
        </w:rPr>
      </w:pPr>
    </w:p>
    <w:p>
      <w:pPr>
        <w:jc w:val="center"/>
        <w:ind w:left="3220"/>
        <w:spacing w:after="0"/>
        <w:rPr>
          <w:sz w:val="20"/>
          <w:szCs w:val="20"/>
          <w:color w:val="auto"/>
        </w:rPr>
      </w:pPr>
      <w:r>
        <w:rPr>
          <w:rFonts w:ascii="Arial" w:cs="Arial" w:eastAsia="Arial" w:hAnsi="Arial"/>
          <w:sz w:val="18"/>
          <w:szCs w:val="18"/>
          <w:b w:val="1"/>
          <w:bCs w:val="1"/>
          <w:color w:val="auto"/>
        </w:rPr>
        <w:t>(713) 375-3400</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75007</w:t>
      </w:r>
    </w:p>
    <w:p>
      <w:pPr>
        <w:spacing w:after="0" w:line="200" w:lineRule="exact"/>
        <w:rPr>
          <w:sz w:val="24"/>
          <w:szCs w:val="24"/>
          <w:color w:val="auto"/>
        </w:rPr>
      </w:pPr>
    </w:p>
    <w:p>
      <w:pPr>
        <w:spacing w:after="0" w:line="255"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77056</w:t>
      </w:r>
    </w:p>
    <w:p>
      <w:pPr>
        <w:spacing w:after="0" w:line="200" w:lineRule="exact"/>
        <w:rPr>
          <w:sz w:val="24"/>
          <w:szCs w:val="24"/>
          <w:color w:val="auto"/>
        </w:rPr>
      </w:pPr>
    </w:p>
    <w:p>
      <w:pPr>
        <w:spacing w:after="0" w:line="255" w:lineRule="exact"/>
        <w:rPr>
          <w:sz w:val="24"/>
          <w:szCs w:val="24"/>
          <w:color w:val="auto"/>
        </w:rPr>
      </w:pPr>
    </w:p>
    <w:p>
      <w:pPr>
        <w:ind w:left="20"/>
        <w:spacing w:after="0"/>
        <w:rPr>
          <w:sz w:val="20"/>
          <w:szCs w:val="20"/>
          <w:color w:val="auto"/>
        </w:rPr>
      </w:pPr>
      <w:r>
        <w:rPr>
          <w:rFonts w:ascii="Arial" w:cs="Arial" w:eastAsia="Arial" w:hAnsi="Arial"/>
          <w:sz w:val="16"/>
          <w:szCs w:val="16"/>
          <w:b w:val="1"/>
          <w:bCs w:val="1"/>
          <w:color w:val="auto"/>
        </w:rPr>
        <w:t>2514 JG</w:t>
      </w:r>
    </w:p>
    <w:p>
      <w:pPr>
        <w:spacing w:after="0" w:line="4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(Zip Codes)</w:t>
      </w:r>
    </w:p>
    <w:p>
      <w:pPr>
        <w:spacing w:after="0" w:line="2414" w:lineRule="exact"/>
        <w:rPr>
          <w:sz w:val="24"/>
          <w:szCs w:val="24"/>
          <w:color w:val="auto"/>
        </w:rPr>
      </w:pPr>
    </w:p>
    <w:p>
      <w:pPr>
        <w:sectPr>
          <w:pgSz w:w="11900" w:h="16838" w:orient="portrait"/>
          <w:cols w:equalWidth="0" w:num="2">
            <w:col w:w="8220" w:space="100"/>
            <w:col w:w="3100"/>
          </w:cols>
          <w:pgMar w:left="240" w:top="233" w:right="239" w:bottom="1440" w:gutter="0" w:footer="0" w:header="0"/>
          <w:type w:val="continuous"/>
        </w:sect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ind w:right="42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540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3860" w:type="dxa"/>
            <w:vAlign w:val="bottom"/>
          </w:tcPr>
          <w:p>
            <w:pPr>
              <w:ind w:left="170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540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860" w:type="dxa"/>
            <w:vAlign w:val="bottom"/>
          </w:tcPr>
          <w:p>
            <w:pPr>
              <w:ind w:left="170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104"/>
        </w:trPr>
        <w:tc>
          <w:tcPr>
            <w:tcW w:w="1760" w:type="dxa"/>
            <w:vAlign w:val="bottom"/>
            <w:tcBorders>
              <w:bottom w:val="single" w:sz="8" w:color="auto"/>
            </w:tcBorders>
          </w:tcPr>
          <w:p>
            <w:pPr>
              <w:spacing w:after="0"/>
              <w:rPr>
                <w:sz w:val="9"/>
                <w:szCs w:val="9"/>
                <w:color w:val="auto"/>
              </w:rPr>
            </w:pPr>
          </w:p>
        </w:tc>
        <w:tc>
          <w:tcPr>
            <w:tcW w:w="5400" w:type="dxa"/>
            <w:vAlign w:val="bottom"/>
            <w:tcBorders>
              <w:bottom w:val="single" w:sz="8" w:color="auto"/>
            </w:tcBorders>
          </w:tcPr>
          <w:p>
            <w:pPr>
              <w:spacing w:after="0"/>
              <w:rPr>
                <w:sz w:val="9"/>
                <w:szCs w:val="9"/>
                <w:color w:val="auto"/>
              </w:rPr>
            </w:pPr>
          </w:p>
        </w:tc>
        <w:tc>
          <w:tcPr>
            <w:tcW w:w="38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r>
      <w:tr>
        <w:trPr>
          <w:trHeight w:val="34"/>
        </w:trPr>
        <w:tc>
          <w:tcPr>
            <w:tcW w:w="1760" w:type="dxa"/>
            <w:vAlign w:val="bottom"/>
            <w:tcBorders>
              <w:bottom w:val="single" w:sz="8" w:color="auto"/>
            </w:tcBorders>
          </w:tcPr>
          <w:p>
            <w:pPr>
              <w:spacing w:after="0"/>
              <w:rPr>
                <w:sz w:val="2"/>
                <w:szCs w:val="2"/>
                <w:color w:val="auto"/>
              </w:rPr>
            </w:pPr>
          </w:p>
        </w:tc>
        <w:tc>
          <w:tcPr>
            <w:tcW w:w="5400" w:type="dxa"/>
            <w:vAlign w:val="bottom"/>
            <w:tcBorders>
              <w:bottom w:val="single" w:sz="8" w:color="auto"/>
            </w:tcBorders>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bl>
    <w:p>
      <w:pPr>
        <w:sectPr>
          <w:pgSz w:w="11900" w:h="16838" w:orient="portrait"/>
          <w:cols w:equalWidth="0" w:num="1">
            <w:col w:w="11420"/>
          </w:cols>
          <w:pgMar w:left="240" w:top="233"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177" w:lineRule="exact"/>
        <w:rPr>
          <w:sz w:val="20"/>
          <w:szCs w:val="20"/>
          <w:color w:val="auto"/>
        </w:rPr>
      </w:pPr>
    </w:p>
    <w:p>
      <w:pPr>
        <w:jc w:val="both"/>
        <w:ind w:right="60" w:firstLine="913"/>
        <w:spacing w:after="0" w:line="306" w:lineRule="auto"/>
        <w:rPr>
          <w:sz w:val="20"/>
          <w:szCs w:val="20"/>
          <w:color w:val="auto"/>
        </w:rPr>
      </w:pPr>
      <w:r>
        <w:rPr>
          <w:rFonts w:ascii="Arial" w:cs="Arial" w:eastAsia="Arial" w:hAnsi="Arial"/>
          <w:sz w:val="16"/>
          <w:szCs w:val="16"/>
          <w:color w:val="auto"/>
        </w:rPr>
        <w:t>The purpose of this Post-Effective Amendment is to add the Schlumberger Discounted Stock Purchase Plan and to adjust the allocation of the shares of common stock covered by this Registration Statement by reducing the number of shares of common stock allocated to the Schlumberger 2010 Omnibus Stock Incentive Plan by 2,500,000 shares and allocating such 2,500,000 shares to the Schlumberger Discounted Stock Purchase Plan.</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Plan Information.</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See Item 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Registrant Information and Employee Plan Annual Information.</w:t>
      </w:r>
    </w:p>
    <w:p>
      <w:pPr>
        <w:spacing w:after="0" w:line="96" w:lineRule="exact"/>
        <w:rPr>
          <w:sz w:val="20"/>
          <w:szCs w:val="20"/>
          <w:color w:val="auto"/>
        </w:rPr>
      </w:pPr>
    </w:p>
    <w:p>
      <w:pPr>
        <w:ind w:right="120" w:firstLine="913"/>
        <w:spacing w:after="0" w:line="291" w:lineRule="auto"/>
        <w:rPr>
          <w:sz w:val="20"/>
          <w:szCs w:val="20"/>
          <w:color w:val="auto"/>
        </w:rPr>
      </w:pPr>
      <w:r>
        <w:rPr>
          <w:rFonts w:ascii="Arial" w:cs="Arial" w:eastAsia="Arial" w:hAnsi="Arial"/>
          <w:sz w:val="16"/>
          <w:szCs w:val="16"/>
          <w:color w:val="auto"/>
        </w:rPr>
        <w:t>The document(s) containing the information required by Item 1 of Form S-8 and the statement of availability of Registrant information and other information required by Item 2 of Form S-8 will be sent or given to employees as specified by Rule 428 under the Securities Act of 1933, as amended (the “Securities Act”). In accordance with Rule 428 and the requirements of Part I of Form S-8, such documents are not being filed with the Securities and Exchange Commission (the “Commission”) either as part of this Registration Statement or as prospectuses or prospectus supplements pursuant to Rule 424 under the Securities Act. The Registrant will maintain a file of such documents in accordance with the provisions of Rule 428. Upon request, the Registrant will furnish to the Commission or its staff a copy of any or all of the documents included in such file.</w:t>
      </w:r>
    </w:p>
    <w:p>
      <w:pPr>
        <w:spacing w:after="0" w:line="276"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Incorporation of Documents by Reference.</w:t>
      </w:r>
    </w:p>
    <w:p>
      <w:pPr>
        <w:spacing w:after="0" w:line="96" w:lineRule="exact"/>
        <w:rPr>
          <w:sz w:val="20"/>
          <w:szCs w:val="20"/>
          <w:color w:val="auto"/>
        </w:rPr>
      </w:pPr>
    </w:p>
    <w:p>
      <w:pPr>
        <w:ind w:firstLine="913"/>
        <w:spacing w:after="0" w:line="332" w:lineRule="auto"/>
        <w:rPr>
          <w:sz w:val="20"/>
          <w:szCs w:val="20"/>
          <w:color w:val="auto"/>
        </w:rPr>
      </w:pPr>
      <w:r>
        <w:rPr>
          <w:rFonts w:ascii="Arial" w:cs="Arial" w:eastAsia="Arial" w:hAnsi="Arial"/>
          <w:sz w:val="16"/>
          <w:szCs w:val="16"/>
          <w:color w:val="auto"/>
        </w:rPr>
        <w:t>This Registration Statement incorporates herein by reference the following documents, which have been filed with the Commission by the Registrant (SEC File No. 001-04601) pursuant to the Securities Act and the Securities Exchange Act of 1934, as amended (the “Exchange Act”):</w:t>
      </w:r>
    </w:p>
    <w:p>
      <w:pPr>
        <w:spacing w:after="0" w:line="4" w:lineRule="exact"/>
        <w:rPr>
          <w:sz w:val="20"/>
          <w:szCs w:val="20"/>
          <w:color w:val="auto"/>
        </w:rPr>
      </w:pPr>
    </w:p>
    <w:p>
      <w:pPr>
        <w:ind w:left="1480" w:hanging="567"/>
        <w:spacing w:after="0"/>
        <w:tabs>
          <w:tab w:leader="none" w:pos="14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Registrant’s Annual Report on Form 10-K for the fiscal year ended December 31, 2011, filed on February 1, 2012;</w:t>
      </w:r>
    </w:p>
    <w:p>
      <w:pPr>
        <w:spacing w:after="0" w:line="90" w:lineRule="exact"/>
        <w:rPr>
          <w:rFonts w:ascii="Arial" w:cs="Arial" w:eastAsia="Arial" w:hAnsi="Arial"/>
          <w:sz w:val="18"/>
          <w:szCs w:val="18"/>
          <w:color w:val="auto"/>
        </w:rPr>
      </w:pPr>
    </w:p>
    <w:p>
      <w:pPr>
        <w:ind w:left="1480" w:right="480" w:hanging="567"/>
        <w:spacing w:after="0" w:line="332" w:lineRule="auto"/>
        <w:tabs>
          <w:tab w:leader="none" w:pos="148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Registrant’s Quarterly Reports on Form 10-Q for the quarters ended March 31, 2012, filed on April 25, 2012, for the quarter ended June 30, 2012, filed on July 25, 2012, and for the quarter ended September 30, 2012, filed on October 24, 2012;</w:t>
      </w:r>
    </w:p>
    <w:p>
      <w:pPr>
        <w:spacing w:after="0" w:line="4" w:lineRule="exact"/>
        <w:rPr>
          <w:rFonts w:ascii="Arial" w:cs="Arial" w:eastAsia="Arial" w:hAnsi="Arial"/>
          <w:sz w:val="16"/>
          <w:szCs w:val="16"/>
          <w:color w:val="auto"/>
        </w:rPr>
      </w:pPr>
    </w:p>
    <w:p>
      <w:pPr>
        <w:ind w:left="1480" w:right="300" w:hanging="567"/>
        <w:spacing w:after="0" w:line="268" w:lineRule="auto"/>
        <w:tabs>
          <w:tab w:leader="none" w:pos="14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Registrant’s Current Reports on Form 8-K filed on January 23, 2012 (two reports), March 27, 2012, April 11, 2012 and July 20, 2012 (Item 5.03 and related Item 9.01 only); and</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description of the Registrant’s Common Stock contained in the Registrant’s Current Report on Form 8-K filed on April 29, 2005.</w:t>
      </w:r>
    </w:p>
    <w:p>
      <w:pPr>
        <w:spacing w:after="0" w:line="194" w:lineRule="exact"/>
        <w:rPr>
          <w:sz w:val="20"/>
          <w:szCs w:val="20"/>
          <w:color w:val="auto"/>
        </w:rPr>
      </w:pPr>
    </w:p>
    <w:p>
      <w:pPr>
        <w:ind w:right="40" w:firstLine="913"/>
        <w:spacing w:after="0" w:line="335" w:lineRule="auto"/>
        <w:rPr>
          <w:sz w:val="20"/>
          <w:szCs w:val="20"/>
          <w:color w:val="auto"/>
        </w:rPr>
      </w:pPr>
      <w:r>
        <w:rPr>
          <w:rFonts w:ascii="Arial" w:cs="Arial" w:eastAsia="Arial" w:hAnsi="Arial"/>
          <w:sz w:val="15"/>
          <w:szCs w:val="15"/>
          <w:color w:val="auto"/>
        </w:rPr>
        <w:t>Each document filed by the Registrant pursuant to Sections 13(a), 13(c), 14 or 15(d) of the Exchange Act, subsequent to the date of this Registration Statement and prior to the filing of a post-effective amendment that indicates that all securities offered have been sold or that deregisters all securities then remaining unsold, shall be deemed to be incorporated by reference in this Registration Statement and to be a part hereof from the date of filing such documents.</w:t>
      </w:r>
    </w:p>
    <w:p>
      <w:pPr>
        <w:spacing w:after="0" w:line="88"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Any statement contained in this Registration Statement, in an amendment hereto or in a document incorporated by reference herein shall be deemed to be modified or superseded for purposes of this Registration Statement to the extent that a statement contained herein or in any subsequently filed amendment to this Registration Statement or in any document that also is incorporated by reference herein modifies or supersedes such statement. Any statement so modified or superseded shall not be deemed, except as so modified or superseded, to constitute a part of this Registration Statement.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400"/>
          </w:cols>
          <w:pgMar w:left="240" w:top="274"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Item 4. </w:t>
      </w:r>
      <w:r>
        <w:rPr>
          <w:rFonts w:ascii="Arial" w:cs="Arial" w:eastAsia="Arial" w:hAnsi="Arial"/>
          <w:sz w:val="18"/>
          <w:szCs w:val="18"/>
          <w:b w:val="1"/>
          <w:bCs w:val="1"/>
          <w:i w:val="1"/>
          <w:iCs w:val="1"/>
          <w:color w:val="auto"/>
        </w:rPr>
        <w:t>Description of Securities.</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Interests of Named Experts and Counsel.</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Indemnification of Directors and Officers.</w:t>
      </w:r>
    </w:p>
    <w:p>
      <w:pPr>
        <w:spacing w:after="0" w:line="96" w:lineRule="exact"/>
        <w:rPr>
          <w:sz w:val="20"/>
          <w:szCs w:val="20"/>
          <w:color w:val="auto"/>
        </w:rPr>
      </w:pPr>
    </w:p>
    <w:p>
      <w:pPr>
        <w:ind w:right="40" w:firstLine="913"/>
        <w:spacing w:after="0" w:line="254" w:lineRule="auto"/>
        <w:rPr>
          <w:sz w:val="20"/>
          <w:szCs w:val="20"/>
          <w:color w:val="auto"/>
        </w:rPr>
      </w:pPr>
      <w:r>
        <w:rPr>
          <w:rFonts w:ascii="Arial" w:cs="Arial" w:eastAsia="Arial" w:hAnsi="Arial"/>
          <w:sz w:val="18"/>
          <w:szCs w:val="18"/>
          <w:color w:val="auto"/>
        </w:rPr>
        <w:t>Article 10 of the Registrant’s Articles of Incorporation and Article V of the Registrant’s Amended and Restated By-Laws contain provisions providing for indemnification of the Registrant’s directors, officers, employees and agents. Article 10 of the Articles of Incorporation permits (but does not require) the Registrant to indemnify directors, officers, employees and agents, except that indemnification is mandatory with respect to a present or former officer or director in the event of a change of control or if such present or former officer or director has been successful on the merits or otherwise in the defense of any action, suit or proceeding. Article V of the Registrant’s Amended and Restated By-Laws contains mandatory indemnification for current and former directors and officers as described below.</w:t>
      </w:r>
    </w:p>
    <w:p>
      <w:pPr>
        <w:spacing w:after="0" w:line="144" w:lineRule="exact"/>
        <w:rPr>
          <w:sz w:val="20"/>
          <w:szCs w:val="20"/>
          <w:color w:val="auto"/>
        </w:rPr>
      </w:pPr>
    </w:p>
    <w:p>
      <w:pPr>
        <w:ind w:firstLine="913"/>
        <w:spacing w:after="0" w:line="284" w:lineRule="auto"/>
        <w:rPr>
          <w:sz w:val="20"/>
          <w:szCs w:val="20"/>
          <w:color w:val="auto"/>
        </w:rPr>
      </w:pPr>
      <w:r>
        <w:rPr>
          <w:rFonts w:ascii="Arial" w:cs="Arial" w:eastAsia="Arial" w:hAnsi="Arial"/>
          <w:sz w:val="16"/>
          <w:szCs w:val="16"/>
          <w:color w:val="auto"/>
        </w:rPr>
        <w:t>To the fullest extent permitted by applicable law, the Registrant shall indemnify any current or former director or officer who was or is a party or is threatened to be made a party to any threatened, pending or completed action, suit or proceeding, whether civil, criminal, administrative or investigative (other than an action by or in the right of the Registrant) by reason of the fact that he or she is or was a director or officer of the Registrant, or is or was serving at the request of the Registrant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Registrant, and, with respect to any criminal action or proceeding, had no reasonable cause to believe that such person’s conduct was unlawful. The termination of any action, suit or proceeding by judgment, order, settlement, conviction, or upon a plea of nolo contendere or its equivalent, does not, of itself, create a presumption that the person did not act in good faith and in a manner which such person reasonably believed to be in or not opposed to the best interests of the Registrant, and, with respect to any criminal action or proceeding, had reasonable cause to believe that such person’s conduct was unlawful. The Registrant is required to indemnify any present or former officer or director of the Registrant to the fullest extent allowed by the preceding paragraphs in the event of a “Change of Control.” “Change of Control” means a change in control of the Registrant, which shall be deemed to have occurred if at any time (i) any entity, person or organization is or becomes the legal or beneficial owner, directly or indirectly, of securities of the Registrant representing 30% or more of the combined voting power of the Registrant’s then outstanding shares without the prior approval of at least two-thirds of the members of the Board of Directors in office immediately prior to such entity, person or organization attaining such percentage interest; (ii) the Registrant is a party to a merger, consolidation, share exchange, sale of assets or other reorganization, or a proxy contest, as a consequence of which members of the Board of Directors in office immediately prior to such transaction or event constitute less than a majority of the Board of Directors thereafter; or (iii) during any 15-month period, individuals who at the beginning of such period constituted the Board of Directors (including for this purpose any new director whose election or nomination for election by the Registrant’s stockholders was approved by a vote of at least two-thirds of the directors then still in office who were directors at the beginning of such period) cease for any reason to constitute at least a majority of the Board of Directors.</w:t>
      </w:r>
    </w:p>
    <w:p>
      <w:pPr>
        <w:spacing w:after="0" w:line="129" w:lineRule="exact"/>
        <w:rPr>
          <w:sz w:val="20"/>
          <w:szCs w:val="20"/>
          <w:color w:val="auto"/>
        </w:rPr>
      </w:pPr>
    </w:p>
    <w:p>
      <w:pPr>
        <w:ind w:right="20" w:firstLine="913"/>
        <w:spacing w:after="0" w:line="287" w:lineRule="auto"/>
        <w:rPr>
          <w:sz w:val="20"/>
          <w:szCs w:val="20"/>
          <w:color w:val="auto"/>
        </w:rPr>
      </w:pPr>
      <w:r>
        <w:rPr>
          <w:rFonts w:ascii="Arial" w:cs="Arial" w:eastAsia="Arial" w:hAnsi="Arial"/>
          <w:sz w:val="16"/>
          <w:szCs w:val="16"/>
          <w:color w:val="auto"/>
        </w:rPr>
        <w:t>To the fullest extent permitted by applicable law, the Registrant shall indemnify any current or former director or officer who was or is a party or is threatened to be made a party to any threatened, pending or completed action or suit by or in the right of the Registrant to procure a judgment in the Registrant’s favor by reason of the fact that such person is or was a director, officer, employee or agent of the Registrant, or is or was serving at the request of the Registrant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the defense or settlement of such action or suit if such person acted in good faith and in a manner such person reasonably believed to be in or not opposed to the best interests of the Registrant and except that no indemnification may be made in respect of any claim, issue or matter as to which such person has been finally adjudged to be liable to the Registrant for improper conduct unless and only to the extent that the court in which that action or suit was brought or any other court having appropriate jurisdiction determines upon application that, despite the adjudication of liability, but in view of all the circumstances of the case, such person is fairly and reasonably entitled to indemnity for</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420"/>
          </w:cols>
          <w:pgMar w:left="240" w:top="274" w:right="239" w:bottom="1440" w:gutter="0" w:footer="0" w:header="0"/>
        </w:sectPr>
      </w:pPr>
    </w:p>
    <w:bookmarkStart w:id="3" w:name="page4"/>
    <w:bookmarkEnd w:id="3"/>
    <w:p>
      <w:pPr>
        <w:jc w:val="both"/>
        <w:ind w:right="2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those expenses, judgments, fines and amounts paid in settlement which the court in which the action or suit was brought or such other court having appropriate jurisdiction deems proper. The Registrant is required to indemnify any present or former officer or director to the fullest extent allowed by this paragraph in the event of a Change of Control (as defined above).</w:t>
      </w:r>
    </w:p>
    <w:p>
      <w:pPr>
        <w:spacing w:after="0" w:line="140"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Any indemnification under the first two paragraphs in this item (unless ordered by a court) may be extended to current or former employees or agents of the Registrant only as authorized by the Chief Executive Officer or by contract approved, or by-laws, resolution or other action adopted or taken, by the board of directors or by the stockholders.</w:t>
      </w:r>
    </w:p>
    <w:p>
      <w:pPr>
        <w:spacing w:after="0" w:line="140" w:lineRule="exact"/>
        <w:rPr>
          <w:sz w:val="20"/>
          <w:szCs w:val="20"/>
          <w:color w:val="auto"/>
        </w:rPr>
      </w:pPr>
    </w:p>
    <w:p>
      <w:pPr>
        <w:ind w:right="40" w:firstLine="913"/>
        <w:spacing w:after="0" w:line="306" w:lineRule="auto"/>
        <w:rPr>
          <w:sz w:val="20"/>
          <w:szCs w:val="20"/>
          <w:color w:val="auto"/>
        </w:rPr>
      </w:pPr>
      <w:r>
        <w:rPr>
          <w:rFonts w:ascii="Arial" w:cs="Arial" w:eastAsia="Arial" w:hAnsi="Arial"/>
          <w:sz w:val="16"/>
          <w:szCs w:val="16"/>
          <w:color w:val="auto"/>
        </w:rPr>
        <w:t>Expenses (including attorneys’ fees) incurred by a present or former director or a present officer in defending any civil or criminal, administrative or investigative action, suit or proceeding will be paid by the Registrant in advance of the final disposition of such action, suit or proceeding upon receipt of an undertaking by or on behalf of such person to repay such amount if it is ultimately determined that such person is not entitled to be indemnified by the Registrant.</w:t>
      </w:r>
    </w:p>
    <w:p>
      <w:pPr>
        <w:spacing w:after="0" w:line="107" w:lineRule="exact"/>
        <w:rPr>
          <w:sz w:val="20"/>
          <w:szCs w:val="20"/>
          <w:color w:val="auto"/>
        </w:rPr>
      </w:pPr>
    </w:p>
    <w:p>
      <w:pPr>
        <w:ind w:right="260" w:firstLine="913"/>
        <w:spacing w:after="0" w:line="268" w:lineRule="auto"/>
        <w:rPr>
          <w:sz w:val="20"/>
          <w:szCs w:val="20"/>
          <w:color w:val="auto"/>
        </w:rPr>
      </w:pPr>
      <w:r>
        <w:rPr>
          <w:rFonts w:ascii="Arial" w:cs="Arial" w:eastAsia="Arial" w:hAnsi="Arial"/>
          <w:sz w:val="18"/>
          <w:szCs w:val="18"/>
          <w:color w:val="auto"/>
        </w:rPr>
        <w:t>The Registrant may pay such expenses (including attorneys’ fees) incurred by former officers or other employees and agents upon such terms and conditions, if any, it deems appropriate.</w:t>
      </w:r>
    </w:p>
    <w:p>
      <w:pPr>
        <w:spacing w:after="0" w:line="132" w:lineRule="exact"/>
        <w:rPr>
          <w:sz w:val="20"/>
          <w:szCs w:val="20"/>
          <w:color w:val="auto"/>
        </w:rPr>
      </w:pPr>
    </w:p>
    <w:p>
      <w:pPr>
        <w:ind w:right="40" w:firstLine="913"/>
        <w:spacing w:after="0" w:line="323" w:lineRule="auto"/>
        <w:rPr>
          <w:sz w:val="20"/>
          <w:szCs w:val="20"/>
          <w:color w:val="auto"/>
        </w:rPr>
      </w:pPr>
      <w:r>
        <w:rPr>
          <w:rFonts w:ascii="Arial" w:cs="Arial" w:eastAsia="Arial" w:hAnsi="Arial"/>
          <w:sz w:val="15"/>
          <w:szCs w:val="15"/>
          <w:color w:val="auto"/>
        </w:rPr>
        <w:t>The indemnification and advancement of expenses described above are not exclusive of any other rights to which those seeking indemnification or advancement of expenses may be entitled under any law, by-law, agreement, vote of stockholders or disinterested directors, or otherwise, both as to action in such person’s official capacity and as to action in another capacity while holding such office, and, unless otherwise provided when authorized or ratified, continues as to a person who has ceased to be a director, officer, employee or agent and inures to the benefit of the heirs, executors and administrators of that person.</w:t>
      </w:r>
    </w:p>
    <w:p>
      <w:pPr>
        <w:spacing w:after="0" w:line="98" w:lineRule="exact"/>
        <w:rPr>
          <w:sz w:val="20"/>
          <w:szCs w:val="20"/>
          <w:color w:val="auto"/>
        </w:rPr>
      </w:pPr>
    </w:p>
    <w:p>
      <w:pPr>
        <w:ind w:right="20" w:firstLine="913"/>
        <w:spacing w:after="0" w:line="298" w:lineRule="auto"/>
        <w:rPr>
          <w:sz w:val="20"/>
          <w:szCs w:val="20"/>
          <w:color w:val="auto"/>
        </w:rPr>
      </w:pPr>
      <w:r>
        <w:rPr>
          <w:rFonts w:ascii="Arial" w:cs="Arial" w:eastAsia="Arial" w:hAnsi="Arial"/>
          <w:sz w:val="16"/>
          <w:szCs w:val="16"/>
          <w:color w:val="auto"/>
        </w:rPr>
        <w:t>The Registrant has the power to purchase and maintain insurance on behalf of any person who is or was a director, officer, employee or agent of the Registrant, or is or was serving at the request of the Registrant in such a capacity for another corporation, partnership, joint venture, trust or other enterprise or entity against any liability asserted against that person and incurred by that person in any of those capacities or arising out of such person’s status as such, whether or not the Registrant would have the power to indemnify such person against such liability.</w:t>
      </w:r>
    </w:p>
    <w:p>
      <w:pPr>
        <w:spacing w:after="0" w:line="113" w:lineRule="exact"/>
        <w:rPr>
          <w:sz w:val="20"/>
          <w:szCs w:val="20"/>
          <w:color w:val="auto"/>
        </w:rPr>
      </w:pPr>
    </w:p>
    <w:p>
      <w:pPr>
        <w:ind w:right="80" w:firstLine="913"/>
        <w:spacing w:after="0" w:line="254" w:lineRule="auto"/>
        <w:rPr>
          <w:sz w:val="20"/>
          <w:szCs w:val="20"/>
          <w:color w:val="auto"/>
        </w:rPr>
      </w:pPr>
      <w:r>
        <w:rPr>
          <w:rFonts w:ascii="Arial" w:cs="Arial" w:eastAsia="Arial" w:hAnsi="Arial"/>
          <w:sz w:val="18"/>
          <w:szCs w:val="18"/>
          <w:color w:val="auto"/>
        </w:rPr>
        <w:t>References to the Registrant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or is or was serving at the request of such constituent corporation as a director, officer, employee or agent of another corporation, partnership, joint venture, trust or other enterprise or entity, stands in the same position with respect to the resulting or surviving corporation as such person would have had with respect to such constituent corporation if its separate existence had continued.</w:t>
      </w:r>
    </w:p>
    <w:p>
      <w:pPr>
        <w:spacing w:after="0" w:line="144"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References to “other enterprises” includes employee benefit plans; references to “fines” includes any excise taxes assessed on a person with respect to any employee benefit plan; and references to “serving at the request of the Registrant” includes any service as a director, officer, employee or agent of the Registrant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Registrant.”</w:t>
      </w:r>
    </w:p>
    <w:p>
      <w:pPr>
        <w:spacing w:after="0" w:line="116" w:lineRule="exact"/>
        <w:rPr>
          <w:sz w:val="20"/>
          <w:szCs w:val="20"/>
          <w:color w:val="auto"/>
        </w:rPr>
      </w:pPr>
    </w:p>
    <w:p>
      <w:pPr>
        <w:ind w:right="120" w:firstLine="913"/>
        <w:spacing w:after="0" w:line="255" w:lineRule="auto"/>
        <w:rPr>
          <w:sz w:val="20"/>
          <w:szCs w:val="20"/>
          <w:color w:val="auto"/>
        </w:rPr>
      </w:pPr>
      <w:r>
        <w:rPr>
          <w:rFonts w:ascii="Arial" w:cs="Arial" w:eastAsia="Arial" w:hAnsi="Arial"/>
          <w:sz w:val="18"/>
          <w:szCs w:val="18"/>
          <w:color w:val="auto"/>
        </w:rPr>
        <w:t>A member of the Board of Directors, or a member of any committee designated by the Board of Directors, shall, in the performance of such member’s duties, be fully protected in relying in good faith upon the records of the Registrant and upon such information, opinions, reports or statements presented to the Registrant by any of the Registrant’s officers or employees, or committees of the Board of Directors, or by any other person as to matters the member reasonably believes are within such other person’s professional or expert competence and who has been selected with reasonable care by or on behalf of the Registrant.</w:t>
      </w:r>
    </w:p>
    <w:p>
      <w:pPr>
        <w:spacing w:after="0" w:line="143"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In addition, the Registrant maintains directors’ and officers’ liability insurance which insures against certain liabilities that the officers and directors of the Registrant may incur in such capacities.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Exemption from Registration Claimed.</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420"/>
          </w:cols>
          <w:pgMar w:left="240" w:top="28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Item 8. </w:t>
      </w:r>
      <w:r>
        <w:rPr>
          <w:rFonts w:ascii="Arial" w:cs="Arial" w:eastAsia="Arial" w:hAnsi="Arial"/>
          <w:sz w:val="18"/>
          <w:szCs w:val="18"/>
          <w:b w:val="1"/>
          <w:bCs w:val="1"/>
          <w:i w:val="1"/>
          <w:iCs w:val="1"/>
          <w:color w:val="auto"/>
        </w:rPr>
        <w:t>Exhibits.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20" w:type="dxa"/>
            <w:vAlign w:val="bottom"/>
          </w:tcPr>
          <w:p>
            <w:pPr>
              <w:spacing w:after="0"/>
              <w:rPr>
                <w:sz w:val="19"/>
                <w:szCs w:val="19"/>
                <w:color w:val="auto"/>
              </w:rPr>
            </w:pPr>
          </w:p>
        </w:tc>
        <w:tc>
          <w:tcPr>
            <w:tcW w:w="10700" w:type="dxa"/>
            <w:vAlign w:val="bottom"/>
            <w:gridSpan w:val="2"/>
          </w:tcPr>
          <w:p>
            <w:pPr>
              <w:ind w:left="200"/>
              <w:spacing w:after="0"/>
              <w:rPr>
                <w:sz w:val="20"/>
                <w:szCs w:val="20"/>
                <w:color w:val="auto"/>
              </w:rPr>
            </w:pPr>
            <w:r>
              <w:rPr>
                <w:rFonts w:ascii="Arial" w:cs="Arial" w:eastAsia="Arial" w:hAnsi="Arial"/>
                <w:sz w:val="18"/>
                <w:szCs w:val="18"/>
                <w:color w:val="auto"/>
              </w:rPr>
              <w:t>The following documents are filed as a part of this Registration Statement or incorporated by reference herein:</w:t>
            </w:r>
          </w:p>
        </w:tc>
      </w:tr>
      <w:tr>
        <w:trPr>
          <w:trHeight w:val="360"/>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840" w:type="dxa"/>
            <w:vAlign w:val="bottom"/>
          </w:tcPr>
          <w:p>
            <w:pPr>
              <w:spacing w:after="0"/>
              <w:rPr>
                <w:sz w:val="24"/>
                <w:szCs w:val="24"/>
                <w:color w:val="auto"/>
              </w:rPr>
            </w:pPr>
          </w:p>
        </w:tc>
        <w:tc>
          <w:tcPr>
            <w:tcW w:w="9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302"/>
        </w:trPr>
        <w:tc>
          <w:tcPr>
            <w:tcW w:w="720" w:type="dxa"/>
            <w:vAlign w:val="bottom"/>
          </w:tcPr>
          <w:p>
            <w:pPr>
              <w:spacing w:after="0"/>
              <w:rPr>
                <w:sz w:val="20"/>
                <w:szCs w:val="20"/>
                <w:color w:val="auto"/>
              </w:rPr>
            </w:pPr>
            <w:r>
              <w:rPr>
                <w:rFonts w:ascii="Arial" w:cs="Arial" w:eastAsia="Arial" w:hAnsi="Arial"/>
                <w:sz w:val="18"/>
                <w:szCs w:val="18"/>
                <w:color w:val="auto"/>
              </w:rPr>
              <w:t>4.1*</w:t>
            </w:r>
          </w:p>
        </w:tc>
        <w:tc>
          <w:tcPr>
            <w:tcW w:w="840" w:type="dxa"/>
            <w:vAlign w:val="bottom"/>
          </w:tcPr>
          <w:p>
            <w:pPr>
              <w:spacing w:after="0"/>
              <w:rPr>
                <w:sz w:val="24"/>
                <w:szCs w:val="24"/>
                <w:color w:val="auto"/>
              </w:rPr>
            </w:pPr>
          </w:p>
        </w:tc>
        <w:tc>
          <w:tcPr>
            <w:tcW w:w="9860" w:type="dxa"/>
            <w:vAlign w:val="bottom"/>
          </w:tcPr>
          <w:p>
            <w:pPr>
              <w:spacing w:after="0"/>
              <w:rPr>
                <w:sz w:val="20"/>
                <w:szCs w:val="20"/>
                <w:color w:val="auto"/>
              </w:rPr>
            </w:pPr>
            <w:r>
              <w:rPr>
                <w:rFonts w:ascii="Arial" w:cs="Arial" w:eastAsia="Arial" w:hAnsi="Arial"/>
                <w:sz w:val="18"/>
                <w:szCs w:val="18"/>
                <w:color w:val="auto"/>
                <w:w w:val="91"/>
              </w:rPr>
              <w:t>Articles of Incorporation of Schlumberger N.V. (Schlumberger Limited), as amended to date (incorporated by reference to Exhibit 3.1 to</w:t>
            </w:r>
          </w:p>
        </w:tc>
      </w:tr>
      <w:tr>
        <w:trPr>
          <w:trHeight w:val="222"/>
        </w:trPr>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Schlumberger’s Current Report on Form 8-K filed on April 7, 2011).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4.2*</w:t>
            </w:r>
          </w:p>
        </w:tc>
        <w:tc>
          <w:tcPr>
            <w:tcW w:w="840" w:type="dxa"/>
            <w:vAlign w:val="bottom"/>
          </w:tcPr>
          <w:p>
            <w:pPr>
              <w:spacing w:after="0"/>
              <w:rPr>
                <w:sz w:val="24"/>
                <w:szCs w:val="24"/>
                <w:color w:val="auto"/>
              </w:rPr>
            </w:pPr>
          </w:p>
        </w:tc>
        <w:tc>
          <w:tcPr>
            <w:tcW w:w="9860" w:type="dxa"/>
            <w:vAlign w:val="bottom"/>
          </w:tcPr>
          <w:p>
            <w:pPr>
              <w:spacing w:after="0"/>
              <w:rPr>
                <w:sz w:val="20"/>
                <w:szCs w:val="20"/>
                <w:color w:val="auto"/>
              </w:rPr>
            </w:pPr>
            <w:r>
              <w:rPr>
                <w:rFonts w:ascii="Arial" w:cs="Arial" w:eastAsia="Arial" w:hAnsi="Arial"/>
                <w:sz w:val="18"/>
                <w:szCs w:val="18"/>
                <w:color w:val="auto"/>
                <w:w w:val="88"/>
              </w:rPr>
              <w:t>Amended and Restated Bylaws of Schlumberger N.V. (Schlumberger Limited), as amended to date (incorporated by reference to Exhibit 3.1</w:t>
            </w:r>
          </w:p>
        </w:tc>
      </w:tr>
      <w:tr>
        <w:trPr>
          <w:trHeight w:val="222"/>
        </w:trPr>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to Schlumberger’s Current Report on Form 8-K filed July 20, 2012).</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4.3*</w:t>
            </w:r>
          </w:p>
        </w:tc>
        <w:tc>
          <w:tcPr>
            <w:tcW w:w="840" w:type="dxa"/>
            <w:vAlign w:val="bottom"/>
          </w:tcPr>
          <w:p>
            <w:pPr>
              <w:spacing w:after="0"/>
              <w:rPr>
                <w:sz w:val="24"/>
                <w:szCs w:val="24"/>
                <w:color w:val="auto"/>
              </w:rPr>
            </w:pPr>
          </w:p>
        </w:tc>
        <w:tc>
          <w:tcPr>
            <w:tcW w:w="9860" w:type="dxa"/>
            <w:vAlign w:val="bottom"/>
          </w:tcPr>
          <w:p>
            <w:pPr>
              <w:spacing w:after="0"/>
              <w:rPr>
                <w:sz w:val="20"/>
                <w:szCs w:val="20"/>
                <w:color w:val="auto"/>
              </w:rPr>
            </w:pPr>
            <w:r>
              <w:rPr>
                <w:rFonts w:ascii="Arial" w:cs="Arial" w:eastAsia="Arial" w:hAnsi="Arial"/>
                <w:sz w:val="18"/>
                <w:szCs w:val="18"/>
                <w:color w:val="auto"/>
                <w:w w:val="89"/>
              </w:rPr>
              <w:t>Schlumberger 2010 Omnibus Stock Incentive Plan (incorporated by reference to Appendix A to Schlumberger’s definitive proxy statement</w:t>
            </w:r>
          </w:p>
        </w:tc>
      </w:tr>
      <w:tr>
        <w:trPr>
          <w:trHeight w:val="222"/>
        </w:trPr>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for the 2010 Annual General Meeting of Stockholders held on April 7, 2010).</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4.4*</w:t>
            </w:r>
          </w:p>
        </w:tc>
        <w:tc>
          <w:tcPr>
            <w:tcW w:w="840" w:type="dxa"/>
            <w:vAlign w:val="bottom"/>
          </w:tcPr>
          <w:p>
            <w:pPr>
              <w:spacing w:after="0"/>
              <w:rPr>
                <w:sz w:val="24"/>
                <w:szCs w:val="24"/>
                <w:color w:val="auto"/>
              </w:rPr>
            </w:pPr>
          </w:p>
        </w:tc>
        <w:tc>
          <w:tcPr>
            <w:tcW w:w="9860" w:type="dxa"/>
            <w:vAlign w:val="bottom"/>
          </w:tcPr>
          <w:p>
            <w:pPr>
              <w:spacing w:after="0"/>
              <w:rPr>
                <w:sz w:val="20"/>
                <w:szCs w:val="20"/>
                <w:color w:val="auto"/>
              </w:rPr>
            </w:pPr>
            <w:r>
              <w:rPr>
                <w:rFonts w:ascii="Arial" w:cs="Arial" w:eastAsia="Arial" w:hAnsi="Arial"/>
                <w:sz w:val="18"/>
                <w:szCs w:val="18"/>
                <w:color w:val="auto"/>
                <w:w w:val="89"/>
              </w:rPr>
              <w:t>Schlumberger Discounted Stock Purchase Plan (incorporated by reference to Appendix B to Schlumberger’s definitive proxy statement for</w:t>
            </w:r>
          </w:p>
        </w:tc>
      </w:tr>
      <w:tr>
        <w:trPr>
          <w:trHeight w:val="222"/>
        </w:trPr>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the 2010 Annual General Meeting of Stockholders held on April 7, 2010).</w:t>
            </w:r>
          </w:p>
        </w:tc>
      </w:tr>
      <w:tr>
        <w:trPr>
          <w:trHeight w:val="324"/>
        </w:trPr>
        <w:tc>
          <w:tcPr>
            <w:tcW w:w="720" w:type="dxa"/>
            <w:vAlign w:val="bottom"/>
          </w:tcPr>
          <w:p>
            <w:pPr>
              <w:ind w:left="140"/>
              <w:spacing w:after="0"/>
              <w:rPr>
                <w:sz w:val="20"/>
                <w:szCs w:val="20"/>
                <w:color w:val="auto"/>
              </w:rPr>
            </w:pPr>
            <w:r>
              <w:rPr>
                <w:rFonts w:ascii="Arial" w:cs="Arial" w:eastAsia="Arial" w:hAnsi="Arial"/>
                <w:sz w:val="18"/>
                <w:szCs w:val="18"/>
                <w:color w:val="auto"/>
              </w:rPr>
              <w:t>5</w:t>
            </w:r>
          </w:p>
        </w:tc>
        <w:tc>
          <w:tcPr>
            <w:tcW w:w="840" w:type="dxa"/>
            <w:vAlign w:val="bottom"/>
          </w:tcPr>
          <w:p>
            <w:pPr>
              <w:spacing w:after="0"/>
              <w:rPr>
                <w:sz w:val="24"/>
                <w:szCs w:val="24"/>
                <w:color w:val="auto"/>
              </w:rPr>
            </w:pPr>
          </w:p>
        </w:tc>
        <w:tc>
          <w:tcPr>
            <w:tcW w:w="9860" w:type="dxa"/>
            <w:vAlign w:val="bottom"/>
          </w:tcPr>
          <w:p>
            <w:pPr>
              <w:spacing w:after="0"/>
              <w:rPr>
                <w:sz w:val="20"/>
                <w:szCs w:val="20"/>
                <w:color w:val="auto"/>
              </w:rPr>
            </w:pPr>
            <w:r>
              <w:rPr>
                <w:rFonts w:ascii="Arial" w:cs="Arial" w:eastAsia="Arial" w:hAnsi="Arial"/>
                <w:sz w:val="18"/>
                <w:szCs w:val="18"/>
                <w:color w:val="auto"/>
                <w:w w:val="98"/>
              </w:rPr>
              <w:t>Opinion of STvB Advocaten (Curaçao), N.V. as to the legality of the shares of common stock being registered (filed herewith).</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23.1</w:t>
            </w:r>
          </w:p>
        </w:tc>
        <w:tc>
          <w:tcPr>
            <w:tcW w:w="840" w:type="dxa"/>
            <w:vAlign w:val="bottom"/>
          </w:tcPr>
          <w:p>
            <w:pPr>
              <w:spacing w:after="0"/>
              <w:rPr>
                <w:sz w:val="24"/>
                <w:szCs w:val="24"/>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Consent of PricewaterhouseCoopers LLP, independent registered public accounting firm (filed herewith).</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23.2</w:t>
            </w:r>
          </w:p>
        </w:tc>
        <w:tc>
          <w:tcPr>
            <w:tcW w:w="840" w:type="dxa"/>
            <w:vAlign w:val="bottom"/>
          </w:tcPr>
          <w:p>
            <w:pPr>
              <w:spacing w:after="0"/>
              <w:rPr>
                <w:sz w:val="24"/>
                <w:szCs w:val="24"/>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Consent of STvB Advocaten (Curaçao), N.V. (included in Exhibit 5).</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24**</w:t>
            </w:r>
          </w:p>
        </w:tc>
        <w:tc>
          <w:tcPr>
            <w:tcW w:w="840" w:type="dxa"/>
            <w:vAlign w:val="bottom"/>
          </w:tcPr>
          <w:p>
            <w:pPr>
              <w:spacing w:after="0"/>
              <w:rPr>
                <w:sz w:val="24"/>
                <w:szCs w:val="24"/>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Powers of Attorney.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right="8240" w:firstLine="8"/>
        <w:spacing w:after="0" w:line="268" w:lineRule="auto"/>
        <w:tabs>
          <w:tab w:leader="none" w:pos="446"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Incorporated by reference as indicated. ** Previously filed.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Undertakings.</w:t>
      </w:r>
    </w:p>
    <w:p>
      <w:pPr>
        <w:spacing w:after="0" w:line="96" w:lineRule="exact"/>
        <w:rPr>
          <w:sz w:val="20"/>
          <w:szCs w:val="20"/>
          <w:color w:val="auto"/>
        </w:rPr>
      </w:pPr>
    </w:p>
    <w:p>
      <w:pPr>
        <w:ind w:left="700" w:hanging="23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90" w:lineRule="exact"/>
        <w:rPr>
          <w:rFonts w:ascii="Arial" w:cs="Arial" w:eastAsia="Arial" w:hAnsi="Arial"/>
          <w:sz w:val="18"/>
          <w:szCs w:val="18"/>
          <w:color w:val="auto"/>
        </w:rPr>
      </w:pPr>
    </w:p>
    <w:p>
      <w:pPr>
        <w:ind w:left="1560" w:hanging="219"/>
        <w:spacing w:after="0"/>
        <w:tabs>
          <w:tab w:leader="none" w:pos="1560"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90" w:lineRule="exact"/>
        <w:rPr>
          <w:rFonts w:ascii="Arial" w:cs="Arial" w:eastAsia="Arial" w:hAnsi="Arial"/>
          <w:sz w:val="18"/>
          <w:szCs w:val="18"/>
          <w:color w:val="auto"/>
        </w:rPr>
      </w:pPr>
    </w:p>
    <w:p>
      <w:pPr>
        <w:ind w:left="920" w:right="20" w:firstLine="421"/>
        <w:spacing w:after="0" w:line="253" w:lineRule="auto"/>
        <w:tabs>
          <w:tab w:leader="none" w:pos="1598"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of the Securities Act of 1933 if, in the aggregate, the changes in volume and price represent no more than a 20% change in the maximum aggregate offering price set forth in the “Calculation of Registration Fee” table in the effective registration statement; and</w:t>
      </w:r>
    </w:p>
    <w:p>
      <w:pPr>
        <w:spacing w:after="0" w:line="66" w:lineRule="exact"/>
        <w:rPr>
          <w:rFonts w:ascii="Arial" w:cs="Arial" w:eastAsia="Arial" w:hAnsi="Arial"/>
          <w:sz w:val="18"/>
          <w:szCs w:val="18"/>
          <w:color w:val="auto"/>
        </w:rPr>
      </w:pPr>
    </w:p>
    <w:p>
      <w:pPr>
        <w:ind w:left="920" w:right="280" w:firstLine="421"/>
        <w:spacing w:after="0" w:line="268" w:lineRule="auto"/>
        <w:tabs>
          <w:tab w:leader="none" w:pos="1647"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51" w:lineRule="exact"/>
        <w:rPr>
          <w:sz w:val="20"/>
          <w:szCs w:val="20"/>
          <w:color w:val="auto"/>
        </w:rPr>
      </w:pPr>
    </w:p>
    <w:p>
      <w:pPr>
        <w:ind w:left="460" w:right="40"/>
        <w:spacing w:after="0" w:line="306" w:lineRule="auto"/>
        <w:rPr>
          <w:sz w:val="20"/>
          <w:szCs w:val="20"/>
          <w:color w:val="auto"/>
        </w:rPr>
      </w:pPr>
      <w:r>
        <w:rPr>
          <w:rFonts w:ascii="Arial" w:cs="Arial" w:eastAsia="Arial" w:hAnsi="Arial"/>
          <w:sz w:val="16"/>
          <w:szCs w:val="16"/>
          <w:i w:val="1"/>
          <w:iCs w:val="1"/>
          <w:color w:val="auto"/>
        </w:rPr>
        <w:t xml:space="preserve">provided, however, </w:t>
      </w:r>
      <w:r>
        <w:rPr>
          <w:rFonts w:ascii="Arial" w:cs="Arial" w:eastAsia="Arial" w:hAnsi="Arial"/>
          <w:sz w:val="16"/>
          <w:szCs w:val="16"/>
          <w:color w:val="auto"/>
        </w:rPr>
        <w:t>that the undertakings set forth in paragraphs (a)(1)(i) and (a)(1)(ii) above do not apply if the information required to be included in a</w:t>
      </w:r>
      <w:r>
        <w:rPr>
          <w:rFonts w:ascii="Arial" w:cs="Arial" w:eastAsia="Arial" w:hAnsi="Arial"/>
          <w:sz w:val="16"/>
          <w:szCs w:val="16"/>
          <w:i w:val="1"/>
          <w:iCs w:val="1"/>
          <w:color w:val="auto"/>
        </w:rPr>
        <w:t xml:space="preserve"> </w:t>
      </w:r>
      <w:r>
        <w:rPr>
          <w:rFonts w:ascii="Arial" w:cs="Arial" w:eastAsia="Arial" w:hAnsi="Arial"/>
          <w:sz w:val="16"/>
          <w:szCs w:val="16"/>
          <w:color w:val="auto"/>
        </w:rPr>
        <w:t>post-effective amendment by those paragraphs is contained in reports filed with or furnished to the Commission by the Registrant pursuant to Section 13 or Section 15(d) of the Securities Exchange Act of 1934 that are incorporated by reference in the registration statement.</w:t>
      </w:r>
    </w:p>
    <w:p>
      <w:pPr>
        <w:spacing w:after="0" w:line="26" w:lineRule="exact"/>
        <w:rPr>
          <w:sz w:val="20"/>
          <w:szCs w:val="20"/>
          <w:color w:val="auto"/>
        </w:rPr>
      </w:pPr>
    </w:p>
    <w:p>
      <w:pPr>
        <w:ind w:left="460" w:right="20" w:firstLine="443"/>
        <w:spacing w:after="0" w:line="259" w:lineRule="auto"/>
        <w:tabs>
          <w:tab w:leader="none" w:pos="1147" w:val="left"/>
        </w:tabs>
        <w:numPr>
          <w:ilvl w:val="1"/>
          <w:numId w:val="4"/>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59" w:lineRule="exact"/>
        <w:rPr>
          <w:rFonts w:ascii="Arial" w:cs="Arial" w:eastAsia="Arial" w:hAnsi="Arial"/>
          <w:sz w:val="18"/>
          <w:szCs w:val="18"/>
          <w:color w:val="auto"/>
        </w:rPr>
      </w:pPr>
    </w:p>
    <w:p>
      <w:pPr>
        <w:ind w:left="460" w:right="820" w:firstLine="443"/>
        <w:spacing w:after="0" w:line="268" w:lineRule="auto"/>
        <w:tabs>
          <w:tab w:leader="none" w:pos="1147"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31" w:lineRule="exact"/>
        <w:rPr>
          <w:rFonts w:ascii="Arial" w:cs="Arial" w:eastAsia="Arial" w:hAnsi="Arial"/>
          <w:sz w:val="18"/>
          <w:szCs w:val="18"/>
          <w:color w:val="auto"/>
        </w:rPr>
      </w:pPr>
    </w:p>
    <w:p>
      <w:pPr>
        <w:ind w:right="200" w:firstLine="464"/>
        <w:spacing w:after="0" w:line="255" w:lineRule="auto"/>
        <w:tabs>
          <w:tab w:leader="none" w:pos="705"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29" w:lineRule="exact"/>
        <w:rPr>
          <w:rFonts w:ascii="Arial" w:cs="Arial" w:eastAsia="Arial" w:hAnsi="Arial"/>
          <w:sz w:val="18"/>
          <w:szCs w:val="18"/>
          <w:color w:val="auto"/>
        </w:rPr>
      </w:pPr>
    </w:p>
    <w:p>
      <w:pPr>
        <w:ind w:left="5680" w:hanging="112"/>
        <w:spacing w:after="0"/>
        <w:tabs>
          <w:tab w:leader="none" w:pos="5680" w:val="left"/>
        </w:tabs>
        <w:numPr>
          <w:ilvl w:val="2"/>
          <w:numId w:val="5"/>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420"/>
          </w:cols>
          <w:pgMar w:left="240" w:top="274" w:right="239" w:bottom="1440" w:gutter="0" w:footer="0" w:header="0"/>
        </w:sectPr>
      </w:pPr>
    </w:p>
    <w:bookmarkStart w:id="5" w:name="page6"/>
    <w:bookmarkEnd w:id="5"/>
    <w:p>
      <w:pPr>
        <w:ind w:left="-464" w:firstLine="464"/>
        <w:spacing w:after="0" w:line="289" w:lineRule="auto"/>
        <w:tabs>
          <w:tab w:leader="none" w:pos="231" w:val="left"/>
        </w:tabs>
        <w:numPr>
          <w:ilvl w:val="0"/>
          <w:numId w:val="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Insofar as indemnification for liabilities arising under the Securities Act of 1933 may be permitted to directors, officers and controlling persons of the Registrant pursuant to the provisions described under Item 6 above, or otherwise, the Registrant has been advised that in the opinion of the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04" w:lineRule="exact"/>
        <w:rPr>
          <w:rFonts w:ascii="Arial" w:cs="Arial" w:eastAsia="Arial" w:hAnsi="Arial"/>
          <w:sz w:val="16"/>
          <w:szCs w:val="16"/>
          <w:color w:val="auto"/>
        </w:rPr>
      </w:pPr>
    </w:p>
    <w:p>
      <w:pPr>
        <w:ind w:left="5216" w:hanging="112"/>
        <w:spacing w:after="0"/>
        <w:tabs>
          <w:tab w:leader="none" w:pos="5216" w:val="left"/>
        </w:tabs>
        <w:numPr>
          <w:ilvl w:val="1"/>
          <w:numId w:val="6"/>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0756"/>
          </w:cols>
          <w:pgMar w:left="704" w:top="280" w:right="439" w:bottom="1440" w:gutter="0" w:footer="0" w:header="0"/>
        </w:sectPr>
      </w:pPr>
    </w:p>
    <w:bookmarkStart w:id="6" w:name="page7"/>
    <w:bookmarkEnd w:id="6"/>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Houston, State of Texas, on December 21, 2012.</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Howard Guild</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Accounting Officer</w:t>
      </w:r>
    </w:p>
    <w:p>
      <w:pPr>
        <w:spacing w:after="0" w:line="165"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on December 21, 2012 in the capacities indicated.</w:t>
      </w:r>
    </w:p>
    <w:p>
      <w:pPr>
        <w:sectPr>
          <w:pgSz w:w="11900" w:h="16838" w:orient="portrait"/>
          <w:cols w:equalWidth="0" w:num="1">
            <w:col w:w="11220"/>
          </w:cols>
          <w:pgMar w:left="240" w:top="274" w:right="439" w:bottom="1440" w:gutter="0" w:footer="0" w:header="0"/>
        </w:sect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/s/ Paal Kibsgaard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4131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Paal Kibsgaard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4131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Simon Ayat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4131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Howard Guild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34131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Lubna Olayan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4131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Peter L.S. Currie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4131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Tony Isaac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4131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 Vaman Kamath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By:  /s/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Howard Guild</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Attorney-in-Fact</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br w:type="column"/>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10795</wp:posOffset>
            </wp:positionV>
            <wp:extent cx="34734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Nikolay Kudryavtsev</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10795</wp:posOffset>
            </wp:positionV>
            <wp:extent cx="34734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Adrian Lajous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10795</wp:posOffset>
            </wp:positionV>
            <wp:extent cx="34734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Michael E. Marks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27940</wp:posOffset>
            </wp:positionV>
            <wp:extent cx="34734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Elizabeth Anne Moler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10795</wp:posOffset>
            </wp:positionV>
            <wp:extent cx="34734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Leo Rafael Reif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10795</wp:posOffset>
            </wp:positionV>
            <wp:extent cx="347345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Tore I. Sandvold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10795</wp:posOffset>
            </wp:positionV>
            <wp:extent cx="347345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Henri Seydoux</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ectPr>
          <w:pgSz w:w="11900" w:h="16838" w:orient="portrait"/>
          <w:cols w:equalWidth="0" w:num="2">
            <w:col w:w="5860" w:space="200"/>
            <w:col w:w="5160"/>
          </w:cols>
          <w:pgMar w:left="240" w:top="274" w:right="4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760" w:type="dxa"/>
            <w:vAlign w:val="bottom"/>
          </w:tcPr>
          <w:p>
            <w:pPr>
              <w:ind w:left="3380"/>
              <w:spacing w:after="0"/>
              <w:rPr>
                <w:sz w:val="20"/>
                <w:szCs w:val="20"/>
                <w:color w:val="auto"/>
              </w:rPr>
            </w:pPr>
            <w:r>
              <w:rPr>
                <w:rFonts w:ascii="Arial" w:cs="Arial" w:eastAsia="Arial" w:hAnsi="Arial"/>
                <w:sz w:val="18"/>
                <w:szCs w:val="18"/>
                <w:b w:val="1"/>
                <w:bCs w:val="1"/>
                <w:color w:val="auto"/>
              </w:rPr>
              <w:t>EXHIBIT INDEX</w:t>
            </w:r>
          </w:p>
        </w:tc>
      </w:tr>
      <w:tr>
        <w:trPr>
          <w:trHeight w:val="360"/>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940" w:type="dxa"/>
            <w:vAlign w:val="bottom"/>
          </w:tcPr>
          <w:p>
            <w:pPr>
              <w:spacing w:after="0"/>
              <w:rPr>
                <w:sz w:val="24"/>
                <w:szCs w:val="24"/>
                <w:color w:val="auto"/>
              </w:rPr>
            </w:pPr>
          </w:p>
        </w:tc>
        <w:tc>
          <w:tcPr>
            <w:tcW w:w="9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302"/>
        </w:trPr>
        <w:tc>
          <w:tcPr>
            <w:tcW w:w="720" w:type="dxa"/>
            <w:vAlign w:val="bottom"/>
          </w:tcPr>
          <w:p>
            <w:pPr>
              <w:spacing w:after="0"/>
              <w:rPr>
                <w:sz w:val="20"/>
                <w:szCs w:val="20"/>
                <w:color w:val="auto"/>
              </w:rPr>
            </w:pPr>
            <w:r>
              <w:rPr>
                <w:rFonts w:ascii="Arial" w:cs="Arial" w:eastAsia="Arial" w:hAnsi="Arial"/>
                <w:sz w:val="18"/>
                <w:szCs w:val="18"/>
                <w:color w:val="auto"/>
              </w:rPr>
              <w:t>4.1*</w:t>
            </w:r>
          </w:p>
        </w:tc>
        <w:tc>
          <w:tcPr>
            <w:tcW w:w="940" w:type="dxa"/>
            <w:vAlign w:val="bottom"/>
          </w:tcPr>
          <w:p>
            <w:pPr>
              <w:spacing w:after="0"/>
              <w:rPr>
                <w:sz w:val="24"/>
                <w:szCs w:val="24"/>
                <w:color w:val="auto"/>
              </w:rPr>
            </w:pPr>
          </w:p>
        </w:tc>
        <w:tc>
          <w:tcPr>
            <w:tcW w:w="9760" w:type="dxa"/>
            <w:vAlign w:val="bottom"/>
          </w:tcPr>
          <w:p>
            <w:pPr>
              <w:spacing w:after="0"/>
              <w:rPr>
                <w:sz w:val="20"/>
                <w:szCs w:val="20"/>
                <w:color w:val="auto"/>
              </w:rPr>
            </w:pPr>
            <w:r>
              <w:rPr>
                <w:rFonts w:ascii="Arial" w:cs="Arial" w:eastAsia="Arial" w:hAnsi="Arial"/>
                <w:sz w:val="18"/>
                <w:szCs w:val="18"/>
                <w:color w:val="auto"/>
                <w:w w:val="90"/>
              </w:rPr>
              <w:t>Articles of Incorporation of Schlumberger N.V. (Schlumberger Limited), as amended to date (incorporated by reference to Exhibit 3.1 to</w:t>
            </w:r>
          </w:p>
        </w:tc>
      </w:tr>
      <w:tr>
        <w:trPr>
          <w:trHeight w:val="222"/>
        </w:trPr>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Schlumberger’s Current Report on Form 8-K filed on April 7, 2011).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4.2*</w:t>
            </w:r>
          </w:p>
        </w:tc>
        <w:tc>
          <w:tcPr>
            <w:tcW w:w="940" w:type="dxa"/>
            <w:vAlign w:val="bottom"/>
          </w:tcPr>
          <w:p>
            <w:pPr>
              <w:spacing w:after="0"/>
              <w:rPr>
                <w:sz w:val="24"/>
                <w:szCs w:val="24"/>
                <w:color w:val="auto"/>
              </w:rPr>
            </w:pPr>
          </w:p>
        </w:tc>
        <w:tc>
          <w:tcPr>
            <w:tcW w:w="9760" w:type="dxa"/>
            <w:vAlign w:val="bottom"/>
          </w:tcPr>
          <w:p>
            <w:pPr>
              <w:spacing w:after="0"/>
              <w:rPr>
                <w:sz w:val="20"/>
                <w:szCs w:val="20"/>
                <w:color w:val="auto"/>
              </w:rPr>
            </w:pPr>
            <w:r>
              <w:rPr>
                <w:rFonts w:ascii="Arial" w:cs="Arial" w:eastAsia="Arial" w:hAnsi="Arial"/>
                <w:sz w:val="18"/>
                <w:szCs w:val="18"/>
                <w:color w:val="auto"/>
                <w:w w:val="89"/>
              </w:rPr>
              <w:t>Amended and Restated Bylaws of Schlumberger N.V. (Schlumberger Limited), as amended to date (incorporated by reference to Exhibit</w:t>
            </w:r>
          </w:p>
        </w:tc>
      </w:tr>
      <w:tr>
        <w:trPr>
          <w:trHeight w:val="222"/>
        </w:trPr>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3.1 to Schlumberger’s Current Report on Form 8-K filed July 20, 2012).</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4.3*</w:t>
            </w:r>
          </w:p>
        </w:tc>
        <w:tc>
          <w:tcPr>
            <w:tcW w:w="940" w:type="dxa"/>
            <w:vAlign w:val="bottom"/>
          </w:tcPr>
          <w:p>
            <w:pPr>
              <w:spacing w:after="0"/>
              <w:rPr>
                <w:sz w:val="24"/>
                <w:szCs w:val="24"/>
                <w:color w:val="auto"/>
              </w:rPr>
            </w:pPr>
          </w:p>
        </w:tc>
        <w:tc>
          <w:tcPr>
            <w:tcW w:w="9760" w:type="dxa"/>
            <w:vAlign w:val="bottom"/>
          </w:tcPr>
          <w:p>
            <w:pPr>
              <w:spacing w:after="0"/>
              <w:rPr>
                <w:sz w:val="20"/>
                <w:szCs w:val="20"/>
                <w:color w:val="auto"/>
              </w:rPr>
            </w:pPr>
            <w:r>
              <w:rPr>
                <w:rFonts w:ascii="Arial" w:cs="Arial" w:eastAsia="Arial" w:hAnsi="Arial"/>
                <w:sz w:val="18"/>
                <w:szCs w:val="18"/>
                <w:color w:val="auto"/>
                <w:w w:val="96"/>
              </w:rPr>
              <w:t>Schlumberger 2010 Omnibus Stock Incentive Plan (incorporated by reference to Appendix A to Schlumberger’s definitive proxy</w:t>
            </w:r>
          </w:p>
        </w:tc>
      </w:tr>
      <w:tr>
        <w:trPr>
          <w:trHeight w:val="222"/>
        </w:trPr>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statement for the 2010 Annual General Meeting of Stockholders held on April 7, 2010).</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4.4*</w:t>
            </w:r>
          </w:p>
        </w:tc>
        <w:tc>
          <w:tcPr>
            <w:tcW w:w="940" w:type="dxa"/>
            <w:vAlign w:val="bottom"/>
          </w:tcPr>
          <w:p>
            <w:pPr>
              <w:spacing w:after="0"/>
              <w:rPr>
                <w:sz w:val="24"/>
                <w:szCs w:val="24"/>
                <w:color w:val="auto"/>
              </w:rPr>
            </w:pPr>
          </w:p>
        </w:tc>
        <w:tc>
          <w:tcPr>
            <w:tcW w:w="9760" w:type="dxa"/>
            <w:vAlign w:val="bottom"/>
          </w:tcPr>
          <w:p>
            <w:pPr>
              <w:spacing w:after="0"/>
              <w:rPr>
                <w:sz w:val="20"/>
                <w:szCs w:val="20"/>
                <w:color w:val="auto"/>
              </w:rPr>
            </w:pPr>
            <w:r>
              <w:rPr>
                <w:rFonts w:ascii="Arial" w:cs="Arial" w:eastAsia="Arial" w:hAnsi="Arial"/>
                <w:sz w:val="18"/>
                <w:szCs w:val="18"/>
                <w:color w:val="auto"/>
                <w:w w:val="90"/>
              </w:rPr>
              <w:t>Schlumberger Discounted Stock Purchase Plan (incorporated by reference to Appendix B to Schlumberger’s definitive proxy statement</w:t>
            </w:r>
          </w:p>
        </w:tc>
      </w:tr>
      <w:tr>
        <w:trPr>
          <w:trHeight w:val="222"/>
        </w:trPr>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for the 2010 Annual General Meeting of Stockholders held on April 7, 2010).</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5</w:t>
            </w:r>
          </w:p>
        </w:tc>
        <w:tc>
          <w:tcPr>
            <w:tcW w:w="940" w:type="dxa"/>
            <w:vAlign w:val="bottom"/>
          </w:tcPr>
          <w:p>
            <w:pPr>
              <w:spacing w:after="0"/>
              <w:rPr>
                <w:sz w:val="24"/>
                <w:szCs w:val="24"/>
                <w:color w:val="auto"/>
              </w:rPr>
            </w:pPr>
          </w:p>
        </w:tc>
        <w:tc>
          <w:tcPr>
            <w:tcW w:w="9760" w:type="dxa"/>
            <w:vAlign w:val="bottom"/>
          </w:tcPr>
          <w:p>
            <w:pPr>
              <w:spacing w:after="0"/>
              <w:rPr>
                <w:sz w:val="20"/>
                <w:szCs w:val="20"/>
                <w:color w:val="auto"/>
              </w:rPr>
            </w:pPr>
            <w:r>
              <w:rPr>
                <w:rFonts w:ascii="Arial" w:cs="Arial" w:eastAsia="Arial" w:hAnsi="Arial"/>
                <w:sz w:val="18"/>
                <w:szCs w:val="18"/>
                <w:color w:val="auto"/>
                <w:w w:val="97"/>
              </w:rPr>
              <w:t>Opinion of STvB Advocaten (Curaçao), N.V. as to the legality of the shares of common stock being registered (filed herewith).</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23.1</w:t>
            </w:r>
          </w:p>
        </w:tc>
        <w:tc>
          <w:tcPr>
            <w:tcW w:w="940" w:type="dxa"/>
            <w:vAlign w:val="bottom"/>
          </w:tcPr>
          <w:p>
            <w:pPr>
              <w:spacing w:after="0"/>
              <w:rPr>
                <w:sz w:val="24"/>
                <w:szCs w:val="24"/>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Consent of PricewaterhouseCoopers LLP, independent registered public accounting firm (filed herewith).</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23.2</w:t>
            </w:r>
          </w:p>
        </w:tc>
        <w:tc>
          <w:tcPr>
            <w:tcW w:w="940" w:type="dxa"/>
            <w:vAlign w:val="bottom"/>
          </w:tcPr>
          <w:p>
            <w:pPr>
              <w:spacing w:after="0"/>
              <w:rPr>
                <w:sz w:val="24"/>
                <w:szCs w:val="24"/>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Consent of STvB Advocaten (Curaçao), N.V. (included in Exhibit 5).</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24**</w:t>
            </w:r>
          </w:p>
        </w:tc>
        <w:tc>
          <w:tcPr>
            <w:tcW w:w="940" w:type="dxa"/>
            <w:vAlign w:val="bottom"/>
          </w:tcPr>
          <w:p>
            <w:pPr>
              <w:spacing w:after="0"/>
              <w:rPr>
                <w:sz w:val="24"/>
                <w:szCs w:val="24"/>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Powers of Attorney.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right="8240" w:firstLine="8"/>
        <w:spacing w:after="0" w:line="268" w:lineRule="auto"/>
        <w:tabs>
          <w:tab w:leader="none" w:pos="446"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Incorporated by reference as indicated. ** Previously filed.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420"/>
          </w:cols>
          <w:pgMar w:left="240" w:top="274"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BY COURIER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Schlumberger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5599 San Felipe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17th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77056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Curaçao, December 21,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color w:val="auto"/>
        </w:rPr>
        <w:t>In connection with Post-Effective Amendment No. 1 to the Registration Statement on Form S-8 (the “Registration Statement”) being filed by Schlumberger N.V. (Schlumberger Limited), a corporation organized under the laws of Curaçao (“Schlumberger”), with the Securities and Exchange Commission under the Securities Act of 1933, as amended (the “Securities Act”) relating to the registration of 30,000,000 shares of common stock, par value $0.01 per share (“Common Stock”), of Schlumberger, consisting of 27,500,000 shares (the “2010 Plan Shares”) that may be issued pursuant to the Schlumberger 2010 Omnibus Stock Incentive Plan (the “2010 Plan”) and 2,500,000 shares (the “DSPP Shares” and, together with the 2010 Plan Shares, the “Shares”) that may be issued pursuant to the Schlumberger Discounted Stock Purchase Plan, certain legal matters in connection with the Shares are being passed on for you by us. At your request, this opinion is being furnished for filing as Exhibit 5 to the Registration Statement.</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This opinion is limited to matters governed by the laws of Curaçao.</w:t>
      </w:r>
    </w:p>
    <w:p>
      <w:pPr>
        <w:spacing w:after="0" w:line="171" w:lineRule="exact"/>
        <w:rPr>
          <w:sz w:val="20"/>
          <w:szCs w:val="20"/>
          <w:color w:val="auto"/>
        </w:rPr>
      </w:pPr>
    </w:p>
    <w:p>
      <w:pPr>
        <w:ind w:right="180" w:firstLine="913"/>
        <w:spacing w:after="0" w:line="294" w:lineRule="auto"/>
        <w:rPr>
          <w:sz w:val="20"/>
          <w:szCs w:val="20"/>
          <w:color w:val="auto"/>
        </w:rPr>
      </w:pPr>
      <w:r>
        <w:rPr>
          <w:rFonts w:ascii="Arial" w:cs="Arial" w:eastAsia="Arial" w:hAnsi="Arial"/>
          <w:sz w:val="16"/>
          <w:szCs w:val="16"/>
          <w:color w:val="auto"/>
        </w:rPr>
        <w:t>We have reviewed the Articles of Incorporation and Amended and Restated By-Laws of Schlumberger, each as amended to date; have familiarized ourselves with the matters discussed herein; and have examined all statutes and other records, instruments and corporate documents pertaining to Schlumberger and the matters discussed herein that we deem necessary to examine for the purpose of this opinion. We have assumed that all signatures on all documents examined by us are genuine, that all documents submitted to us as originals are accurate and complete, that all documents submitted to us as copies are true and correct copies of the originals thereof and that all information submitted to us was accurate and complete.</w:t>
      </w:r>
    </w:p>
    <w:p>
      <w:pPr>
        <w:spacing w:after="0" w:line="116" w:lineRule="exact"/>
        <w:rPr>
          <w:sz w:val="20"/>
          <w:szCs w:val="20"/>
          <w:color w:val="auto"/>
        </w:rPr>
      </w:pPr>
    </w:p>
    <w:p>
      <w:pPr>
        <w:ind w:right="60" w:firstLine="913"/>
        <w:spacing w:after="0" w:line="290" w:lineRule="auto"/>
        <w:rPr>
          <w:sz w:val="20"/>
          <w:szCs w:val="20"/>
          <w:color w:val="auto"/>
        </w:rPr>
      </w:pPr>
      <w:r>
        <w:rPr>
          <w:rFonts w:ascii="Arial" w:cs="Arial" w:eastAsia="Arial" w:hAnsi="Arial"/>
          <w:sz w:val="16"/>
          <w:szCs w:val="16"/>
          <w:color w:val="auto"/>
        </w:rPr>
        <w:t>Based on our examination as aforesaid, we are of the opinion that following due authorization of a particular award as provided in and in accordance with the 2010 Plan or the DSPP, as case may be, the Shares issuable pursuant to such award will have been duly authorized by all necessary corporate action on the part of Schlumberger. Upon issuance and delivery of such Shares from time to time pursuant to and in accordance with the terms of the 2010 Plan or the DSPP, as the case may be, and the applicable award, including, without limitation, the lapse of any restrictions relating thereto, the satisfaction of any performance conditions associated therewith and any requisite determinations by or pursuant to the authority of the Board of Directors of Schlumberger or a duly constituted authorized committee thereof as provided therein, and, in the case of stock option awards, the payment of the exercise price fixed in such option at least equal to the par value of such 2010 Plan Shares, such Shares will be validly issued, fully paid and nonassessable.</w:t>
      </w:r>
    </w:p>
    <w:p>
      <w:pPr>
        <w:spacing w:after="0" w:line="118"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This opinion is limited to the original issuance of Shares by Schlumberger and does not cover shares of Common Stock delivered by Schlumberger out of shares of common stock reacquired by it.</w:t>
      </w:r>
    </w:p>
    <w:p>
      <w:pPr>
        <w:spacing w:after="0" w:line="132" w:lineRule="exact"/>
        <w:rPr>
          <w:sz w:val="20"/>
          <w:szCs w:val="20"/>
          <w:color w:val="auto"/>
        </w:rPr>
      </w:pPr>
    </w:p>
    <w:p>
      <w:pPr>
        <w:ind w:right="280" w:firstLine="913"/>
        <w:spacing w:after="0" w:line="259" w:lineRule="auto"/>
        <w:rPr>
          <w:sz w:val="20"/>
          <w:szCs w:val="20"/>
          <w:color w:val="auto"/>
        </w:rPr>
      </w:pPr>
      <w:r>
        <w:rPr>
          <w:rFonts w:ascii="Arial" w:cs="Arial" w:eastAsia="Arial" w:hAnsi="Arial"/>
          <w:sz w:val="18"/>
          <w:szCs w:val="18"/>
          <w:color w:val="auto"/>
        </w:rPr>
        <w:t>We consent to the filing of this opinion as an exhibit to the Registration Statement. In giving such consent, we do not thereby concede that we are within the category of persons whose consent is required under Section 7 of the Securities Act or the rules and regulations of the Securities and Exchange Commission promulgated thereunder.</w:t>
      </w:r>
    </w:p>
    <w:p>
      <w:pPr>
        <w:spacing w:after="0" w:line="14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Sincerely yours,</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Willem van Bokhorst</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STvB Advocaten (Curaçao), N.V.</w:t>
      </w:r>
    </w:p>
    <w:p>
      <w:pPr>
        <w:sectPr>
          <w:pgSz w:w="11900" w:h="16838" w:orient="portrait"/>
          <w:cols w:equalWidth="0" w:num="1">
            <w:col w:w="11420"/>
          </w:cols>
          <w:pgMar w:left="240" w:top="125"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23.1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We hereby consent to the incorporation by reference in this Post-Effective Amendment No. 1 to the Registration Statement on Form S-8 of Schlumberger Limited of our report dated February 1, 2012 relating to the consolidated financial statements and the effectiveness of internal control over financial reporting, which appears in Schlumberger Limited’s Annual Report on Form 10-K for the year ended December 31, 2011.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21, 2012</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Letter"/>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
    <w:nsid w:val="3D1B58BA"/>
    <w:multiLevelType w:val="hybridMultilevel"/>
    <w:lvl w:ilvl="0">
      <w:lvlJc w:val="left"/>
      <w:lvlText w:val="%1"/>
      <w:numFmt w:val="lowerLetter"/>
      <w:start w:val="1"/>
    </w:lvl>
    <w:lvl w:ilvl="1">
      <w:lvlJc w:val="left"/>
      <w:lvlText w:val="(%2)"/>
      <w:numFmt w:val="decimal"/>
      <w:start w:val="2"/>
    </w:lvl>
    <w:lvl w:ilvl="2">
      <w:lvlJc w:val="left"/>
      <w:lvlText w:val="-"/>
      <w:numFmt w:val="bullet"/>
      <w:start w:val="1"/>
    </w:lvl>
  </w:abstractNum>
  <w:abstractNum w:abstractNumId="4">
    <w:nsid w:val="507ED7AB"/>
    <w:multiLevelType w:val="hybridMultilevel"/>
    <w:lvl w:ilvl="0">
      <w:lvlJc w:val="left"/>
      <w:lvlText w:val="(%1)"/>
      <w:numFmt w:val="lowerLetter"/>
      <w:start w:val="2"/>
    </w:lvl>
    <w:lvl w:ilvl="1">
      <w:lvlJc w:val="left"/>
      <w:lvlText w:val="%2"/>
      <w:numFmt w:val="decimal"/>
      <w:start w:val="1"/>
    </w:lvl>
    <w:lvl w:ilvl="2">
      <w:lvlJc w:val="left"/>
      <w:lvlText w:val="-"/>
      <w:numFmt w:val="bullet"/>
      <w:start w:val="1"/>
    </w:lvl>
  </w:abstractNum>
  <w:abstractNum w:abstractNumId="5">
    <w:nsid w:val="2EB141F2"/>
    <w:multiLevelType w:val="hybridMultilevel"/>
    <w:lvl w:ilvl="0">
      <w:lvlJc w:val="left"/>
      <w:lvlText w:val="(%1)"/>
      <w:numFmt w:val="lowerLetter"/>
      <w:start w:val="3"/>
    </w:lvl>
    <w:lvl w:ilvl="1">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2019-12-09T08:03:58Z</dcterms:created>
  <dcterms:modified xsi:type="dcterms:W3CDTF">2019-12-09T08:03:58Z</dcterms:modified>
</cp:coreProperties>
</file>