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-603250</wp:posOffset>
            </wp:positionV>
            <wp:extent cx="8255" cy="6038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-611505</wp:posOffset>
            </wp:positionV>
            <wp:extent cx="8255" cy="6121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-586740</wp:posOffset>
            </wp:positionV>
            <wp:extent cx="1264920" cy="563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56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27940</wp:posOffset>
            </wp:positionV>
            <wp:extent cx="6968490" cy="1607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07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Fyfe Kevin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1" w:right="640" w:hanging="1"/>
        <w:spacing w:after="0" w:line="237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ind w:right="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Controller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9"/>
            <w:col w:w="3341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150495</wp:posOffset>
            </wp:positionV>
            <wp:extent cx="6968490" cy="12973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29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620" w:type="dxa"/>
            <w:vAlign w:val="bottom"/>
            <w:gridSpan w:val="6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10/18/2020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24,115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10/18/2020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2,361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15.58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21,754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0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-2601595</wp:posOffset>
            </wp:positionV>
            <wp:extent cx="7033895" cy="29051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0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3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36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3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0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309 shares acquired under the Schlumberger discounted stock purchase plan for the period ended June 30, 2020.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October 18, 2017 and vested 100% on October 18, 2020.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3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1997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2020-10-20T17:38:47Z</dcterms:created>
  <dcterms:modified xsi:type="dcterms:W3CDTF">2020-10-20T17:38:47Z</dcterms:modified>
</cp:coreProperties>
</file>